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footer1.xml" ContentType="application/vnd.openxmlformats-officedocument.wordprocessingml.footer+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21EF6" w:rsidRPr="00DE788B" w:rsidRDefault="00C21EF6" w:rsidP="002A471F">
      <w:pPr>
        <w:ind w:right="281"/>
        <w:jc w:val="center"/>
      </w:pPr>
      <w:bookmarkStart w:id="0" w:name="_GoBack"/>
      <w:bookmarkEnd w:id="0"/>
      <w:r w:rsidRPr="00DE788B">
        <w:rPr>
          <w:rFonts w:eastAsia="Times New Roman"/>
          <w:noProof/>
          <w:lang w:eastAsia="bg-BG"/>
        </w:rPr>
        <w:drawing>
          <wp:inline distT="0" distB="0" distL="0" distR="0">
            <wp:extent cx="2183765" cy="628015"/>
            <wp:effectExtent l="19050" t="0" r="6985" b="0"/>
            <wp:docPr id="6" name="Picture 14" descr="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LOGO-1"/>
                    <pic:cNvPicPr>
                      <a:picLocks noChangeAspect="1" noChangeArrowheads="1"/>
                    </pic:cNvPicPr>
                  </pic:nvPicPr>
                  <pic:blipFill>
                    <a:blip r:embed="rId8" cstate="print"/>
                    <a:srcRect/>
                    <a:stretch>
                      <a:fillRect/>
                    </a:stretch>
                  </pic:blipFill>
                  <pic:spPr bwMode="auto">
                    <a:xfrm>
                      <a:off x="0" y="0"/>
                      <a:ext cx="2183765" cy="628015"/>
                    </a:xfrm>
                    <a:prstGeom prst="rect">
                      <a:avLst/>
                    </a:prstGeom>
                    <a:noFill/>
                    <a:ln w="9525">
                      <a:noFill/>
                      <a:miter lim="800000"/>
                      <a:headEnd/>
                      <a:tailEnd/>
                    </a:ln>
                  </pic:spPr>
                </pic:pic>
              </a:graphicData>
            </a:graphic>
          </wp:inline>
        </w:drawing>
      </w:r>
      <w:r w:rsidRPr="00DE788B">
        <w:rPr>
          <w:noProof/>
          <w:lang w:eastAsia="bg-BG"/>
        </w:rPr>
        <w:drawing>
          <wp:inline distT="0" distB="0" distL="0" distR="0">
            <wp:extent cx="1085850" cy="539750"/>
            <wp:effectExtent l="19050" t="0" r="0" b="0"/>
            <wp:docPr id="7" name="Picture 1" descr="D:\SD-KV\TP\Сектор СУК\Работна сектор СУК\Христо\Бланки_нови_март_2017\Бланки ЦУ+ПТП 2017\Сертиф знак_Бюро Веритас\ISO 9001, ISO 14001 and OHSAS 18001 - BW.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SD-KV\TP\Сектор СУК\Работна сектор СУК\Христо\Бланки_нови_март_2017\Бланки ЦУ+ПТП 2017\Сертиф знак_Бюро Веритас\ISO 9001, ISO 14001 and OHSAS 18001 - BW.gif"/>
                    <pic:cNvPicPr>
                      <a:picLocks noChangeAspect="1" noChangeArrowheads="1"/>
                    </pic:cNvPicPr>
                  </pic:nvPicPr>
                  <pic:blipFill>
                    <a:blip r:embed="rId9" cstate="print"/>
                    <a:srcRect/>
                    <a:stretch>
                      <a:fillRect/>
                    </a:stretch>
                  </pic:blipFill>
                  <pic:spPr bwMode="auto">
                    <a:xfrm>
                      <a:off x="0" y="0"/>
                      <a:ext cx="1086419" cy="539086"/>
                    </a:xfrm>
                    <a:prstGeom prst="rect">
                      <a:avLst/>
                    </a:prstGeom>
                    <a:noFill/>
                    <a:ln w="9525">
                      <a:noFill/>
                      <a:miter lim="800000"/>
                      <a:headEnd/>
                      <a:tailEnd/>
                    </a:ln>
                  </pic:spPr>
                </pic:pic>
              </a:graphicData>
            </a:graphic>
          </wp:inline>
        </w:drawing>
      </w:r>
    </w:p>
    <w:p w:rsidR="00C21EF6" w:rsidRPr="00DE788B" w:rsidRDefault="00C21EF6" w:rsidP="00C21EF6">
      <w:pPr>
        <w:pBdr>
          <w:bottom w:val="thickThinSmallGap" w:sz="24" w:space="1" w:color="auto"/>
        </w:pBdr>
        <w:ind w:right="322"/>
        <w:jc w:val="center"/>
        <w:rPr>
          <w:rFonts w:eastAsia="Times New Roman"/>
          <w:sz w:val="32"/>
          <w:szCs w:val="36"/>
        </w:rPr>
      </w:pPr>
      <w:r w:rsidRPr="00DE788B">
        <w:rPr>
          <w:sz w:val="32"/>
          <w:szCs w:val="32"/>
        </w:rPr>
        <w:t>„</w:t>
      </w:r>
      <w:r w:rsidRPr="00DE788B">
        <w:rPr>
          <w:rFonts w:eastAsia="Times New Roman"/>
          <w:sz w:val="32"/>
          <w:szCs w:val="36"/>
        </w:rPr>
        <w:t>БДЖ – ТОВАРНИ ПРЕВОЗИ” ЕООД</w:t>
      </w:r>
    </w:p>
    <w:p w:rsidR="00C21EF6" w:rsidRPr="00DE788B" w:rsidRDefault="00C21EF6" w:rsidP="00C21EF6">
      <w:pPr>
        <w:pBdr>
          <w:bottom w:val="thickThinSmallGap" w:sz="24" w:space="1" w:color="auto"/>
        </w:pBdr>
        <w:ind w:right="322"/>
        <w:jc w:val="center"/>
        <w:rPr>
          <w:rFonts w:eastAsia="Times New Roman"/>
          <w:sz w:val="28"/>
          <w:szCs w:val="28"/>
        </w:rPr>
      </w:pPr>
      <w:r w:rsidRPr="00DE788B">
        <w:rPr>
          <w:rFonts w:eastAsia="Times New Roman"/>
          <w:sz w:val="28"/>
          <w:szCs w:val="28"/>
        </w:rPr>
        <w:t>ЦЕНТРАЛНО УПРАВЛЕНИЕ</w:t>
      </w:r>
    </w:p>
    <w:p w:rsidR="00C21EF6" w:rsidRPr="00DE788B" w:rsidRDefault="00C21EF6" w:rsidP="00C21EF6">
      <w:pPr>
        <w:rPr>
          <w:sz w:val="14"/>
          <w:szCs w:val="14"/>
        </w:rPr>
      </w:pPr>
      <w:r w:rsidRPr="00DE788B">
        <w:rPr>
          <w:sz w:val="14"/>
          <w:szCs w:val="14"/>
        </w:rPr>
        <w:t xml:space="preserve">ул.„Иван Вазов” № 3, </w:t>
      </w:r>
    </w:p>
    <w:p w:rsidR="00C21EF6" w:rsidRPr="00DE788B" w:rsidRDefault="00C21EF6" w:rsidP="00C21EF6">
      <w:pPr>
        <w:rPr>
          <w:sz w:val="14"/>
          <w:szCs w:val="14"/>
        </w:rPr>
      </w:pPr>
      <w:r w:rsidRPr="00DE788B">
        <w:rPr>
          <w:sz w:val="14"/>
          <w:szCs w:val="14"/>
        </w:rPr>
        <w:t>гр.София 1080</w:t>
      </w:r>
      <w:r w:rsidRPr="00DE788B">
        <w:rPr>
          <w:sz w:val="14"/>
          <w:szCs w:val="14"/>
        </w:rPr>
        <w:tab/>
      </w:r>
      <w:r w:rsidRPr="00DE788B">
        <w:rPr>
          <w:sz w:val="14"/>
          <w:szCs w:val="14"/>
        </w:rPr>
        <w:tab/>
      </w:r>
      <w:r w:rsidRPr="00DE788B">
        <w:rPr>
          <w:sz w:val="14"/>
          <w:szCs w:val="14"/>
        </w:rPr>
        <w:tab/>
      </w:r>
      <w:r w:rsidRPr="00DE788B">
        <w:rPr>
          <w:sz w:val="14"/>
          <w:szCs w:val="14"/>
        </w:rPr>
        <w:tab/>
      </w:r>
      <w:r w:rsidRPr="00DE788B">
        <w:rPr>
          <w:sz w:val="14"/>
          <w:szCs w:val="14"/>
        </w:rPr>
        <w:tab/>
      </w:r>
      <w:r w:rsidRPr="00DE788B">
        <w:rPr>
          <w:sz w:val="14"/>
          <w:szCs w:val="14"/>
        </w:rPr>
        <w:tab/>
      </w:r>
      <w:r w:rsidRPr="00DE788B">
        <w:rPr>
          <w:sz w:val="14"/>
          <w:szCs w:val="14"/>
        </w:rPr>
        <w:tab/>
      </w:r>
      <w:r w:rsidRPr="00DE788B">
        <w:rPr>
          <w:sz w:val="14"/>
          <w:szCs w:val="14"/>
        </w:rPr>
        <w:tab/>
      </w:r>
      <w:r w:rsidRPr="00DE788B">
        <w:rPr>
          <w:sz w:val="14"/>
          <w:szCs w:val="14"/>
        </w:rPr>
        <w:tab/>
      </w:r>
      <w:r w:rsidRPr="00DE788B">
        <w:rPr>
          <w:sz w:val="14"/>
          <w:szCs w:val="14"/>
        </w:rPr>
        <w:tab/>
      </w:r>
      <w:r w:rsidRPr="00DE788B">
        <w:rPr>
          <w:sz w:val="14"/>
          <w:szCs w:val="14"/>
          <w:u w:val="single"/>
        </w:rPr>
        <w:t>www.bdz.bg</w:t>
      </w:r>
    </w:p>
    <w:p w:rsidR="00C21EF6" w:rsidRPr="00DE788B" w:rsidRDefault="00C21EF6" w:rsidP="00C21EF6">
      <w:pPr>
        <w:rPr>
          <w:sz w:val="14"/>
          <w:szCs w:val="14"/>
        </w:rPr>
      </w:pPr>
      <w:r w:rsidRPr="00DE788B">
        <w:rPr>
          <w:sz w:val="14"/>
          <w:szCs w:val="14"/>
        </w:rPr>
        <w:t>факс:+359 2 987 79 83</w:t>
      </w:r>
      <w:r w:rsidRPr="00DE788B">
        <w:rPr>
          <w:sz w:val="14"/>
          <w:szCs w:val="14"/>
        </w:rPr>
        <w:tab/>
      </w:r>
      <w:r w:rsidRPr="00DE788B">
        <w:rPr>
          <w:sz w:val="14"/>
          <w:szCs w:val="14"/>
        </w:rPr>
        <w:tab/>
      </w:r>
      <w:r w:rsidRPr="00DE788B">
        <w:rPr>
          <w:sz w:val="14"/>
          <w:szCs w:val="14"/>
        </w:rPr>
        <w:tab/>
      </w:r>
      <w:r w:rsidRPr="00DE788B">
        <w:rPr>
          <w:sz w:val="14"/>
          <w:szCs w:val="14"/>
        </w:rPr>
        <w:tab/>
      </w:r>
      <w:r w:rsidRPr="00DE788B">
        <w:rPr>
          <w:sz w:val="14"/>
          <w:szCs w:val="14"/>
        </w:rPr>
        <w:tab/>
      </w:r>
      <w:r w:rsidRPr="00DE788B">
        <w:rPr>
          <w:sz w:val="14"/>
          <w:szCs w:val="14"/>
        </w:rPr>
        <w:tab/>
      </w:r>
      <w:r w:rsidRPr="00DE788B">
        <w:rPr>
          <w:sz w:val="14"/>
          <w:szCs w:val="14"/>
        </w:rPr>
        <w:tab/>
      </w:r>
      <w:r w:rsidRPr="00DE788B">
        <w:rPr>
          <w:sz w:val="14"/>
          <w:szCs w:val="14"/>
        </w:rPr>
        <w:tab/>
      </w:r>
      <w:r w:rsidRPr="00DE788B">
        <w:rPr>
          <w:sz w:val="14"/>
          <w:szCs w:val="14"/>
        </w:rPr>
        <w:tab/>
      </w:r>
      <w:r w:rsidRPr="00DE788B">
        <w:rPr>
          <w:sz w:val="14"/>
          <w:szCs w:val="14"/>
        </w:rPr>
        <w:tab/>
        <w:t xml:space="preserve">  e-mail: bdzcargo@bdz.bg </w:t>
      </w:r>
    </w:p>
    <w:p w:rsidR="00C21EF6" w:rsidRPr="00DE788B" w:rsidRDefault="00C21EF6" w:rsidP="00C21EF6">
      <w:pPr>
        <w:rPr>
          <w:sz w:val="14"/>
          <w:szCs w:val="14"/>
        </w:rPr>
      </w:pPr>
    </w:p>
    <w:p w:rsidR="00AA4652" w:rsidRPr="0060496C" w:rsidRDefault="00AA4652" w:rsidP="00FA71C5">
      <w:pPr>
        <w:jc w:val="center"/>
        <w:rPr>
          <w:b/>
          <w:sz w:val="28"/>
          <w:szCs w:val="28"/>
        </w:rPr>
      </w:pPr>
      <w:r w:rsidRPr="0060496C">
        <w:rPr>
          <w:b/>
          <w:sz w:val="28"/>
          <w:szCs w:val="28"/>
        </w:rPr>
        <w:t>Анализ</w:t>
      </w:r>
    </w:p>
    <w:p w:rsidR="00AA4652" w:rsidRPr="0060496C" w:rsidRDefault="00AA4652" w:rsidP="00AA4652">
      <w:pPr>
        <w:ind w:left="540"/>
        <w:jc w:val="center"/>
        <w:rPr>
          <w:b/>
          <w:sz w:val="28"/>
          <w:szCs w:val="28"/>
        </w:rPr>
      </w:pPr>
      <w:r w:rsidRPr="0060496C">
        <w:rPr>
          <w:b/>
          <w:sz w:val="28"/>
          <w:szCs w:val="28"/>
        </w:rPr>
        <w:t>за дейността на „БДЖ – Товарни превози” ЕООД</w:t>
      </w:r>
    </w:p>
    <w:p w:rsidR="00AA4652" w:rsidRPr="0060496C" w:rsidRDefault="00AA4652" w:rsidP="00AA4652">
      <w:pPr>
        <w:jc w:val="center"/>
        <w:rPr>
          <w:b/>
          <w:sz w:val="28"/>
          <w:szCs w:val="28"/>
        </w:rPr>
      </w:pPr>
      <w:r w:rsidRPr="0060496C">
        <w:rPr>
          <w:b/>
          <w:sz w:val="28"/>
          <w:szCs w:val="28"/>
        </w:rPr>
        <w:t>за 201</w:t>
      </w:r>
      <w:r w:rsidR="009B1F46" w:rsidRPr="0060496C">
        <w:rPr>
          <w:b/>
          <w:sz w:val="28"/>
          <w:szCs w:val="28"/>
        </w:rPr>
        <w:t>7</w:t>
      </w:r>
      <w:r w:rsidRPr="0060496C">
        <w:rPr>
          <w:b/>
          <w:sz w:val="28"/>
          <w:szCs w:val="28"/>
        </w:rPr>
        <w:t xml:space="preserve"> година</w:t>
      </w:r>
    </w:p>
    <w:p w:rsidR="008945BA" w:rsidRPr="00353032" w:rsidRDefault="008945BA" w:rsidP="00AA4652">
      <w:pPr>
        <w:jc w:val="center"/>
        <w:rPr>
          <w:b/>
          <w:sz w:val="28"/>
          <w:szCs w:val="28"/>
          <w:highlight w:val="yellow"/>
        </w:rPr>
      </w:pPr>
    </w:p>
    <w:p w:rsidR="00D65CF1" w:rsidRPr="004900DD" w:rsidRDefault="00421F11" w:rsidP="00814908">
      <w:pPr>
        <w:numPr>
          <w:ilvl w:val="0"/>
          <w:numId w:val="1"/>
        </w:numPr>
        <w:spacing w:after="120"/>
        <w:ind w:hanging="181"/>
        <w:jc w:val="both"/>
        <w:rPr>
          <w:rFonts w:ascii="Arial" w:hAnsi="Arial" w:cs="Arial"/>
          <w:b/>
          <w:color w:val="0000CC"/>
        </w:rPr>
      </w:pPr>
      <w:r w:rsidRPr="004900DD">
        <w:rPr>
          <w:rFonts w:ascii="Arial" w:hAnsi="Arial" w:cs="Arial"/>
          <w:b/>
          <w:color w:val="0000CC"/>
        </w:rPr>
        <w:t>Финансови показатели</w:t>
      </w:r>
    </w:p>
    <w:p w:rsidR="003A7A51" w:rsidRPr="00E13FE1" w:rsidRDefault="003A7A51" w:rsidP="003A7A51">
      <w:pPr>
        <w:spacing w:after="120"/>
        <w:jc w:val="both"/>
        <w:rPr>
          <w:rFonts w:ascii="Arial" w:hAnsi="Arial" w:cs="Arial"/>
          <w:b/>
          <w:color w:val="0000CC"/>
        </w:rPr>
      </w:pPr>
    </w:p>
    <w:p w:rsidR="00814908" w:rsidRPr="00E13FE1" w:rsidRDefault="004900DD" w:rsidP="00814908">
      <w:pPr>
        <w:spacing w:after="120"/>
        <w:jc w:val="both"/>
        <w:rPr>
          <w:rFonts w:ascii="Arial" w:hAnsi="Arial" w:cs="Arial"/>
          <w:b/>
          <w:color w:val="0000CC"/>
        </w:rPr>
      </w:pPr>
      <w:r w:rsidRPr="004900DD">
        <w:rPr>
          <w:noProof/>
          <w:lang w:eastAsia="bg-BG"/>
        </w:rPr>
        <w:drawing>
          <wp:inline distT="0" distB="0" distL="0" distR="0">
            <wp:extent cx="6248682" cy="6355080"/>
            <wp:effectExtent l="1905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a:srcRect/>
                    <a:stretch>
                      <a:fillRect/>
                    </a:stretch>
                  </pic:blipFill>
                  <pic:spPr bwMode="auto">
                    <a:xfrm>
                      <a:off x="0" y="0"/>
                      <a:ext cx="6248682" cy="6355080"/>
                    </a:xfrm>
                    <a:prstGeom prst="rect">
                      <a:avLst/>
                    </a:prstGeom>
                    <a:noFill/>
                    <a:ln w="9525">
                      <a:noFill/>
                      <a:miter lim="800000"/>
                      <a:headEnd/>
                      <a:tailEnd/>
                    </a:ln>
                  </pic:spPr>
                </pic:pic>
              </a:graphicData>
            </a:graphic>
          </wp:inline>
        </w:drawing>
      </w:r>
    </w:p>
    <w:p w:rsidR="00814908" w:rsidRPr="00E13FE1" w:rsidRDefault="00814908" w:rsidP="00814908">
      <w:pPr>
        <w:spacing w:after="120"/>
        <w:jc w:val="both"/>
      </w:pPr>
      <w:r w:rsidRPr="00E13FE1">
        <w:rPr>
          <w:b/>
        </w:rPr>
        <w:lastRenderedPageBreak/>
        <w:t xml:space="preserve">Приходите от продажби се увеличават </w:t>
      </w:r>
      <w:r w:rsidRPr="00E13FE1">
        <w:t xml:space="preserve">от </w:t>
      </w:r>
      <w:r w:rsidR="004900DD">
        <w:t>103 944</w:t>
      </w:r>
      <w:r w:rsidRPr="00E13FE1">
        <w:t xml:space="preserve"> хил. лева през</w:t>
      </w:r>
      <w:r w:rsidR="000D4243" w:rsidRPr="00E13FE1">
        <w:t xml:space="preserve"> </w:t>
      </w:r>
      <w:r w:rsidRPr="00E13FE1">
        <w:t xml:space="preserve">2016 г. на </w:t>
      </w:r>
      <w:r w:rsidR="004900DD">
        <w:t>109 434</w:t>
      </w:r>
      <w:r w:rsidRPr="00E13FE1">
        <w:t xml:space="preserve"> хил. лева през 2017 г., т.е. увеличението е </w:t>
      </w:r>
      <w:r w:rsidR="00DB07F6" w:rsidRPr="00E13FE1">
        <w:t xml:space="preserve">с </w:t>
      </w:r>
      <w:r w:rsidR="004900DD">
        <w:t>5</w:t>
      </w:r>
      <w:r w:rsidR="00D76605" w:rsidRPr="00E13FE1">
        <w:t xml:space="preserve"> </w:t>
      </w:r>
      <w:r w:rsidR="004900DD">
        <w:t>490</w:t>
      </w:r>
      <w:r w:rsidRPr="00E13FE1">
        <w:t xml:space="preserve"> хил. лева или </w:t>
      </w:r>
      <w:r w:rsidR="004900DD">
        <w:t>5</w:t>
      </w:r>
      <w:r w:rsidRPr="00E13FE1">
        <w:t>%.</w:t>
      </w:r>
      <w:r w:rsidR="000D4243" w:rsidRPr="00E13FE1">
        <w:t xml:space="preserve"> </w:t>
      </w:r>
      <w:r w:rsidRPr="00E13FE1">
        <w:t xml:space="preserve">Спрямо бизнес плана приходите са  увеличени с </w:t>
      </w:r>
      <w:r w:rsidR="004900DD">
        <w:t>6 735</w:t>
      </w:r>
      <w:r w:rsidRPr="00E13FE1">
        <w:t xml:space="preserve"> хил. лева</w:t>
      </w:r>
      <w:r w:rsidR="00E97590" w:rsidRPr="00E13FE1">
        <w:t xml:space="preserve"> или </w:t>
      </w:r>
      <w:r w:rsidR="004900DD">
        <w:t>6,6</w:t>
      </w:r>
      <w:r w:rsidR="00E97590" w:rsidRPr="00E13FE1">
        <w:t>%</w:t>
      </w:r>
      <w:r w:rsidRPr="00E13FE1">
        <w:t>.</w:t>
      </w:r>
      <w:r w:rsidR="000D4243" w:rsidRPr="00E13FE1">
        <w:t xml:space="preserve"> Дължи се на увеличени „Други приходи от дейността” на „БДЖ – Товарни превози” ЕООД с </w:t>
      </w:r>
      <w:r w:rsidR="004900DD">
        <w:t>5</w:t>
      </w:r>
      <w:r w:rsidR="00D76605" w:rsidRPr="00E13FE1">
        <w:t xml:space="preserve"> </w:t>
      </w:r>
      <w:r w:rsidR="004900DD">
        <w:t>827</w:t>
      </w:r>
      <w:r w:rsidR="000D4243" w:rsidRPr="00E13FE1">
        <w:t xml:space="preserve"> хил. лева спрямо 2016 година. Основно увеличението е от отдадени под наем локомотиви на външни клиенти и на свързани лица. </w:t>
      </w:r>
    </w:p>
    <w:p w:rsidR="00814908" w:rsidRPr="00E13FE1" w:rsidRDefault="00814908" w:rsidP="00814908">
      <w:pPr>
        <w:spacing w:after="120"/>
        <w:jc w:val="both"/>
      </w:pPr>
      <w:r w:rsidRPr="00E13FE1">
        <w:rPr>
          <w:b/>
        </w:rPr>
        <w:t>Оперативните разходи</w:t>
      </w:r>
      <w:r w:rsidRPr="00E13FE1">
        <w:t xml:space="preserve"> се увеличават от </w:t>
      </w:r>
      <w:r w:rsidR="004900DD">
        <w:t>9</w:t>
      </w:r>
      <w:r w:rsidR="002E243D" w:rsidRPr="00E13FE1">
        <w:t>9</w:t>
      </w:r>
      <w:r w:rsidR="000D4243" w:rsidRPr="00E13FE1">
        <w:t xml:space="preserve"> </w:t>
      </w:r>
      <w:r w:rsidR="004900DD">
        <w:t>472</w:t>
      </w:r>
      <w:r w:rsidR="000D4243" w:rsidRPr="00E13FE1">
        <w:t xml:space="preserve"> хил. лева през 2016 г. на </w:t>
      </w:r>
      <w:r w:rsidR="004900DD">
        <w:t>107 936</w:t>
      </w:r>
      <w:r w:rsidRPr="00E13FE1">
        <w:t xml:space="preserve"> хил. лева през 2017 г., т.е увеличението е с </w:t>
      </w:r>
      <w:r w:rsidR="004900DD">
        <w:t>8 464</w:t>
      </w:r>
      <w:r w:rsidR="000D4243" w:rsidRPr="00E13FE1">
        <w:t xml:space="preserve"> </w:t>
      </w:r>
      <w:r w:rsidRPr="00E13FE1">
        <w:t xml:space="preserve">хил. лева или </w:t>
      </w:r>
      <w:r w:rsidR="004900DD">
        <w:t>9</w:t>
      </w:r>
      <w:r w:rsidRPr="00E13FE1">
        <w:t xml:space="preserve">%. </w:t>
      </w:r>
      <w:r w:rsidR="00EE0078" w:rsidRPr="00E13FE1">
        <w:t>Дължи се на увеличени разходи за персонал</w:t>
      </w:r>
      <w:r w:rsidR="002E243D" w:rsidRPr="00E13FE1">
        <w:rPr>
          <w:lang w:val="en-GB"/>
        </w:rPr>
        <w:t xml:space="preserve"> (</w:t>
      </w:r>
      <w:r w:rsidR="002E243D" w:rsidRPr="00E13FE1">
        <w:t xml:space="preserve">с </w:t>
      </w:r>
      <w:r w:rsidR="0072445F">
        <w:t xml:space="preserve">5 </w:t>
      </w:r>
      <w:r w:rsidR="00F74B11">
        <w:rPr>
          <w:lang w:val="en-US"/>
        </w:rPr>
        <w:t>289</w:t>
      </w:r>
      <w:r w:rsidR="002E243D" w:rsidRPr="00E13FE1">
        <w:t xml:space="preserve"> хил. лева</w:t>
      </w:r>
      <w:r w:rsidR="002E243D" w:rsidRPr="00E13FE1">
        <w:rPr>
          <w:lang w:val="en-GB"/>
        </w:rPr>
        <w:t>)</w:t>
      </w:r>
      <w:r w:rsidR="00EE0078" w:rsidRPr="00E13FE1">
        <w:t>, енергия</w:t>
      </w:r>
      <w:r w:rsidR="0072445F">
        <w:t xml:space="preserve"> </w:t>
      </w:r>
      <w:r w:rsidR="002E243D" w:rsidRPr="00E13FE1">
        <w:rPr>
          <w:lang w:val="en-GB"/>
        </w:rPr>
        <w:t>(</w:t>
      </w:r>
      <w:r w:rsidR="002E243D" w:rsidRPr="00E13FE1">
        <w:t>с 2 3</w:t>
      </w:r>
      <w:r w:rsidR="0072445F">
        <w:t>32</w:t>
      </w:r>
      <w:r w:rsidR="002E243D" w:rsidRPr="00E13FE1">
        <w:t xml:space="preserve"> хил. лева</w:t>
      </w:r>
      <w:r w:rsidR="002E243D" w:rsidRPr="00E13FE1">
        <w:rPr>
          <w:lang w:val="en-GB"/>
        </w:rPr>
        <w:t>)</w:t>
      </w:r>
      <w:r w:rsidR="0072445F">
        <w:t>, външни услуги</w:t>
      </w:r>
      <w:r w:rsidR="0072445F">
        <w:rPr>
          <w:lang w:val="en-US"/>
        </w:rPr>
        <w:t xml:space="preserve"> (</w:t>
      </w:r>
      <w:r w:rsidR="0072445F">
        <w:t>с 1 652 хил. лева</w:t>
      </w:r>
      <w:r w:rsidR="0072445F">
        <w:rPr>
          <w:lang w:val="en-US"/>
        </w:rPr>
        <w:t>)</w:t>
      </w:r>
      <w:r w:rsidR="0072445F">
        <w:t xml:space="preserve"> </w:t>
      </w:r>
      <w:r w:rsidR="00EE0078" w:rsidRPr="00E13FE1">
        <w:t>и разходи за амортизации</w:t>
      </w:r>
      <w:r w:rsidR="0072445F">
        <w:t xml:space="preserve"> </w:t>
      </w:r>
      <w:r w:rsidR="002E243D" w:rsidRPr="00E13FE1">
        <w:rPr>
          <w:lang w:val="en-GB"/>
        </w:rPr>
        <w:t>(</w:t>
      </w:r>
      <w:r w:rsidR="002E243D" w:rsidRPr="00E13FE1">
        <w:t>с 1 </w:t>
      </w:r>
      <w:r w:rsidR="0072445F">
        <w:t>454</w:t>
      </w:r>
      <w:r w:rsidR="002E243D" w:rsidRPr="00E13FE1">
        <w:t xml:space="preserve"> хил. лева</w:t>
      </w:r>
      <w:r w:rsidR="002E243D" w:rsidRPr="00E13FE1">
        <w:rPr>
          <w:lang w:val="en-GB"/>
        </w:rPr>
        <w:t>)</w:t>
      </w:r>
      <w:r w:rsidR="00EE0078" w:rsidRPr="00E13FE1">
        <w:t xml:space="preserve">. </w:t>
      </w:r>
      <w:r w:rsidRPr="00E13FE1">
        <w:t xml:space="preserve">Спрямо бизнес плана разходите нарастват с </w:t>
      </w:r>
      <w:r w:rsidR="0072445F">
        <w:t>10</w:t>
      </w:r>
      <w:r w:rsidR="002E243D" w:rsidRPr="00E13FE1">
        <w:t xml:space="preserve"> </w:t>
      </w:r>
      <w:r w:rsidR="0072445F">
        <w:t>219</w:t>
      </w:r>
      <w:r w:rsidRPr="00E13FE1">
        <w:t xml:space="preserve"> хил. лева или </w:t>
      </w:r>
      <w:r w:rsidR="0072445F">
        <w:t>10</w:t>
      </w:r>
      <w:r w:rsidRPr="00E13FE1">
        <w:t>%.</w:t>
      </w:r>
      <w:r w:rsidR="0072445F">
        <w:t xml:space="preserve"> </w:t>
      </w:r>
      <w:r w:rsidR="0072445F" w:rsidRPr="00E13FE1">
        <w:t>Дължи се на увеличени разходи за персонал</w:t>
      </w:r>
      <w:r w:rsidR="0072445F" w:rsidRPr="00E13FE1">
        <w:rPr>
          <w:lang w:val="en-GB"/>
        </w:rPr>
        <w:t xml:space="preserve"> (</w:t>
      </w:r>
      <w:r w:rsidR="0072445F" w:rsidRPr="00E13FE1">
        <w:t xml:space="preserve">с </w:t>
      </w:r>
      <w:r w:rsidR="0072445F">
        <w:t>5 096</w:t>
      </w:r>
      <w:r w:rsidR="0072445F" w:rsidRPr="00E13FE1">
        <w:t xml:space="preserve"> хил. лева</w:t>
      </w:r>
      <w:r w:rsidR="0072445F" w:rsidRPr="00E13FE1">
        <w:rPr>
          <w:lang w:val="en-GB"/>
        </w:rPr>
        <w:t>)</w:t>
      </w:r>
      <w:r w:rsidR="0072445F" w:rsidRPr="00E13FE1">
        <w:t>, енергия</w:t>
      </w:r>
      <w:r w:rsidR="0072445F">
        <w:t xml:space="preserve"> </w:t>
      </w:r>
      <w:r w:rsidR="0072445F" w:rsidRPr="00E13FE1">
        <w:rPr>
          <w:lang w:val="en-GB"/>
        </w:rPr>
        <w:t>(</w:t>
      </w:r>
      <w:r w:rsidR="0072445F" w:rsidRPr="00E13FE1">
        <w:t>с 2 </w:t>
      </w:r>
      <w:r w:rsidR="0072445F">
        <w:t>930</w:t>
      </w:r>
      <w:r w:rsidR="0072445F" w:rsidRPr="00E13FE1">
        <w:t xml:space="preserve"> хил. лева</w:t>
      </w:r>
      <w:r w:rsidR="0072445F" w:rsidRPr="00E13FE1">
        <w:rPr>
          <w:lang w:val="en-GB"/>
        </w:rPr>
        <w:t>)</w:t>
      </w:r>
      <w:r w:rsidR="0072445F">
        <w:t xml:space="preserve"> и външни услуги</w:t>
      </w:r>
      <w:r w:rsidR="0072445F">
        <w:rPr>
          <w:lang w:val="en-US"/>
        </w:rPr>
        <w:t xml:space="preserve"> (</w:t>
      </w:r>
      <w:r w:rsidR="0072445F">
        <w:t>с 2 808 хил. лева</w:t>
      </w:r>
      <w:r w:rsidR="0072445F">
        <w:rPr>
          <w:lang w:val="en-US"/>
        </w:rPr>
        <w:t>)</w:t>
      </w:r>
      <w:r w:rsidR="0072445F">
        <w:t>.</w:t>
      </w:r>
    </w:p>
    <w:p w:rsidR="00814908" w:rsidRPr="00E13FE1" w:rsidRDefault="00814908" w:rsidP="00532BE8">
      <w:pPr>
        <w:spacing w:after="120"/>
        <w:jc w:val="both"/>
      </w:pPr>
      <w:r w:rsidRPr="00E13FE1">
        <w:rPr>
          <w:b/>
        </w:rPr>
        <w:t xml:space="preserve">EBITDA Оперативната печалба преди лихви, данъци, обезценки и амортизации </w:t>
      </w:r>
      <w:r w:rsidRPr="00E13FE1">
        <w:t>намалява от</w:t>
      </w:r>
      <w:r w:rsidR="001141A6" w:rsidRPr="00E13FE1">
        <w:t xml:space="preserve"> </w:t>
      </w:r>
      <w:r w:rsidR="00EF6CEA">
        <w:t>4 472</w:t>
      </w:r>
      <w:r w:rsidR="001141A6" w:rsidRPr="00E13FE1">
        <w:t xml:space="preserve"> </w:t>
      </w:r>
      <w:r w:rsidRPr="00E13FE1">
        <w:t xml:space="preserve">хил. лева през 2016 г. на </w:t>
      </w:r>
      <w:r w:rsidR="00EF6CEA">
        <w:t>1</w:t>
      </w:r>
      <w:r w:rsidRPr="00E13FE1">
        <w:t xml:space="preserve"> </w:t>
      </w:r>
      <w:r w:rsidR="00EF6CEA">
        <w:t>498</w:t>
      </w:r>
      <w:r w:rsidRPr="00E13FE1">
        <w:t xml:space="preserve"> хил. лева през 2017 г., т.е. намалението е </w:t>
      </w:r>
      <w:r w:rsidRPr="00E13FE1">
        <w:br/>
      </w:r>
      <w:r w:rsidR="00532BE8" w:rsidRPr="00E13FE1">
        <w:t xml:space="preserve">с </w:t>
      </w:r>
      <w:r w:rsidRPr="00E13FE1">
        <w:t xml:space="preserve">2 </w:t>
      </w:r>
      <w:r w:rsidR="00EF6CEA">
        <w:t>974</w:t>
      </w:r>
      <w:r w:rsidRPr="00E13FE1">
        <w:t xml:space="preserve"> хил. лева</w:t>
      </w:r>
      <w:r w:rsidR="00DB07F6" w:rsidRPr="00E13FE1">
        <w:t xml:space="preserve"> </w:t>
      </w:r>
      <w:r w:rsidR="00C05445">
        <w:t>или 67</w:t>
      </w:r>
      <w:r w:rsidRPr="00E13FE1">
        <w:t xml:space="preserve">%. Спрямо бизнес плана оперативната печалба </w:t>
      </w:r>
      <w:r w:rsidRPr="00E13FE1">
        <w:rPr>
          <w:b/>
        </w:rPr>
        <w:t xml:space="preserve">EBITDA намалява с </w:t>
      </w:r>
      <w:r w:rsidR="00C05445">
        <w:rPr>
          <w:b/>
        </w:rPr>
        <w:t>3 484</w:t>
      </w:r>
      <w:r w:rsidRPr="00E13FE1">
        <w:rPr>
          <w:b/>
        </w:rPr>
        <w:t xml:space="preserve"> хил. лева</w:t>
      </w:r>
      <w:r w:rsidR="00E92EC3" w:rsidRPr="00E13FE1">
        <w:rPr>
          <w:b/>
        </w:rPr>
        <w:t xml:space="preserve"> или </w:t>
      </w:r>
      <w:r w:rsidR="00C05445">
        <w:rPr>
          <w:b/>
        </w:rPr>
        <w:t>70</w:t>
      </w:r>
      <w:r w:rsidR="00E92EC3" w:rsidRPr="00E13FE1">
        <w:rPr>
          <w:b/>
        </w:rPr>
        <w:t>%</w:t>
      </w:r>
      <w:r w:rsidRPr="00E13FE1">
        <w:rPr>
          <w:b/>
        </w:rPr>
        <w:t xml:space="preserve">. </w:t>
      </w:r>
      <w:r w:rsidR="00C05445">
        <w:rPr>
          <w:b/>
        </w:rPr>
        <w:t xml:space="preserve">Дължи се на по-голям ръст на увеличение на разходите </w:t>
      </w:r>
      <w:r w:rsidR="00C05445">
        <w:rPr>
          <w:b/>
          <w:lang w:val="en-US"/>
        </w:rPr>
        <w:t>(</w:t>
      </w:r>
      <w:r w:rsidR="00C05445">
        <w:rPr>
          <w:b/>
        </w:rPr>
        <w:t>9%</w:t>
      </w:r>
      <w:r w:rsidR="00C05445">
        <w:rPr>
          <w:b/>
          <w:lang w:val="en-US"/>
        </w:rPr>
        <w:t>)</w:t>
      </w:r>
      <w:r w:rsidR="00C05445">
        <w:rPr>
          <w:b/>
        </w:rPr>
        <w:t xml:space="preserve">, отколкото увеличение на приходите </w:t>
      </w:r>
      <w:r w:rsidR="00C05445">
        <w:rPr>
          <w:b/>
          <w:lang w:val="en-US"/>
        </w:rPr>
        <w:t>(</w:t>
      </w:r>
      <w:r w:rsidR="00C05445">
        <w:rPr>
          <w:b/>
        </w:rPr>
        <w:t>5%</w:t>
      </w:r>
      <w:r w:rsidR="00C05445">
        <w:rPr>
          <w:b/>
          <w:lang w:val="en-US"/>
        </w:rPr>
        <w:t>)</w:t>
      </w:r>
      <w:r w:rsidR="00C05445">
        <w:rPr>
          <w:b/>
        </w:rPr>
        <w:t xml:space="preserve">. </w:t>
      </w:r>
    </w:p>
    <w:p w:rsidR="00814908" w:rsidRPr="00E13FE1" w:rsidRDefault="00814908" w:rsidP="00814908">
      <w:pPr>
        <w:spacing w:after="120"/>
        <w:jc w:val="both"/>
      </w:pPr>
      <w:r w:rsidRPr="00E13FE1">
        <w:rPr>
          <w:b/>
        </w:rPr>
        <w:t xml:space="preserve">EBIT </w:t>
      </w:r>
      <w:r w:rsidRPr="00E13FE1">
        <w:t xml:space="preserve">е отрицателна величина и се влошава от </w:t>
      </w:r>
      <w:r w:rsidR="00C05445">
        <w:t>-742</w:t>
      </w:r>
      <w:r w:rsidRPr="00E13FE1">
        <w:t xml:space="preserve"> хил. лева през 2016 г. на – </w:t>
      </w:r>
      <w:r w:rsidR="00C05445">
        <w:t>5 228</w:t>
      </w:r>
      <w:r w:rsidRPr="00E13FE1">
        <w:t xml:space="preserve"> хил. лева през 2017 г., т. е.</w:t>
      </w:r>
      <w:r w:rsidR="00A918E4" w:rsidRPr="00E13FE1">
        <w:t xml:space="preserve"> </w:t>
      </w:r>
      <w:r w:rsidRPr="00E13FE1">
        <w:t xml:space="preserve">влошаването е с </w:t>
      </w:r>
      <w:r w:rsidR="00A918E4" w:rsidRPr="00E13FE1">
        <w:t xml:space="preserve">4 </w:t>
      </w:r>
      <w:r w:rsidR="00C05445">
        <w:t>487</w:t>
      </w:r>
      <w:r w:rsidRPr="00E13FE1">
        <w:t xml:space="preserve"> хил. лева. Дължи се основно на увеличените разходи за амортизации спрямо същи</w:t>
      </w:r>
      <w:r w:rsidR="00F74B11">
        <w:t>я</w:t>
      </w:r>
      <w:r w:rsidRPr="00E13FE1">
        <w:t xml:space="preserve"> период на м.г. с </w:t>
      </w:r>
      <w:r w:rsidR="001141A6" w:rsidRPr="00E13FE1">
        <w:t>1</w:t>
      </w:r>
      <w:r w:rsidR="00532BE8" w:rsidRPr="00E13FE1">
        <w:t> </w:t>
      </w:r>
      <w:r w:rsidR="00C05445">
        <w:t>454</w:t>
      </w:r>
      <w:r w:rsidR="00532BE8" w:rsidRPr="00E13FE1">
        <w:t xml:space="preserve"> </w:t>
      </w:r>
      <w:r w:rsidR="00A918E4" w:rsidRPr="00E13FE1">
        <w:t>хил. лева</w:t>
      </w:r>
      <w:r w:rsidRPr="00E13FE1">
        <w:t xml:space="preserve">. Спрямо бизнес плана </w:t>
      </w:r>
      <w:r w:rsidR="00C05445">
        <w:rPr>
          <w:b/>
        </w:rPr>
        <w:t>EBI</w:t>
      </w:r>
      <w:r w:rsidR="00F74B11">
        <w:rPr>
          <w:b/>
          <w:lang w:val="en-US"/>
        </w:rPr>
        <w:t xml:space="preserve">T </w:t>
      </w:r>
      <w:r w:rsidR="00C05445">
        <w:rPr>
          <w:b/>
        </w:rPr>
        <w:t>се влошава с 4 212</w:t>
      </w:r>
      <w:r w:rsidRPr="00E13FE1">
        <w:rPr>
          <w:b/>
        </w:rPr>
        <w:t xml:space="preserve"> хил. лева</w:t>
      </w:r>
      <w:r w:rsidR="00E92EC3" w:rsidRPr="00E13FE1">
        <w:rPr>
          <w:b/>
        </w:rPr>
        <w:t xml:space="preserve"> или </w:t>
      </w:r>
      <w:r w:rsidR="00C05445">
        <w:rPr>
          <w:b/>
        </w:rPr>
        <w:t>415</w:t>
      </w:r>
      <w:r w:rsidR="00E92EC3" w:rsidRPr="00E13FE1">
        <w:rPr>
          <w:b/>
        </w:rPr>
        <w:t>%</w:t>
      </w:r>
      <w:r w:rsidRPr="00E13FE1">
        <w:rPr>
          <w:b/>
        </w:rPr>
        <w:t xml:space="preserve">. </w:t>
      </w:r>
    </w:p>
    <w:p w:rsidR="00EE0078" w:rsidRPr="00E13FE1" w:rsidRDefault="00814908" w:rsidP="00EE0078">
      <w:pPr>
        <w:jc w:val="both"/>
      </w:pPr>
      <w:r w:rsidRPr="00E13FE1">
        <w:rPr>
          <w:b/>
        </w:rPr>
        <w:t>Нетният финансов резултат</w:t>
      </w:r>
      <w:r w:rsidRPr="00E13FE1">
        <w:t xml:space="preserve"> е негативен (загуба) и се влошава от </w:t>
      </w:r>
      <w:r w:rsidR="00C05445">
        <w:t>-447</w:t>
      </w:r>
      <w:r w:rsidRPr="00E13FE1">
        <w:t xml:space="preserve"> хил. лева през </w:t>
      </w:r>
      <w:r w:rsidRPr="00E13FE1">
        <w:br/>
        <w:t xml:space="preserve">2016 г. на </w:t>
      </w:r>
      <w:r w:rsidR="00A918E4" w:rsidRPr="00E13FE1">
        <w:t xml:space="preserve">– </w:t>
      </w:r>
      <w:r w:rsidR="00C05445">
        <w:t>6 203</w:t>
      </w:r>
      <w:r w:rsidRPr="00E13FE1">
        <w:t xml:space="preserve">  хил. лева през 2017 г., т.е. влошаването е с </w:t>
      </w:r>
      <w:r w:rsidR="00A918E4" w:rsidRPr="00E13FE1">
        <w:t xml:space="preserve">5 </w:t>
      </w:r>
      <w:r w:rsidR="00C05445">
        <w:t>756</w:t>
      </w:r>
      <w:r w:rsidR="001141A6" w:rsidRPr="00E13FE1">
        <w:t xml:space="preserve"> </w:t>
      </w:r>
      <w:r w:rsidRPr="00E13FE1">
        <w:t>хил. лева.</w:t>
      </w:r>
      <w:r w:rsidR="00EE0078" w:rsidRPr="00E13FE1">
        <w:t xml:space="preserve"> Дължи се на </w:t>
      </w:r>
      <w:r w:rsidR="00917B60" w:rsidRPr="00E13FE1">
        <w:t>промяна в структурата на превозените товари и превоз на товари с по-ниска приходна ставка,</w:t>
      </w:r>
      <w:r w:rsidR="00EE0078" w:rsidRPr="00E13FE1">
        <w:t xml:space="preserve"> увеличение на минималната работна заплата за страната от 01 януари 2017 г. и привеждане в съответствие на възнагражденията на работниците и служителите на „БДЖ – Товарни превози” ЕООД и </w:t>
      </w:r>
      <w:r w:rsidR="00A918E4" w:rsidRPr="00E13FE1">
        <w:t>на</w:t>
      </w:r>
      <w:r w:rsidR="00EE0078" w:rsidRPr="00E13FE1">
        <w:t xml:space="preserve"> увеличение на разходите за амортизации за 2017 г.;</w:t>
      </w:r>
    </w:p>
    <w:p w:rsidR="00EE0078" w:rsidRPr="00E13FE1" w:rsidRDefault="00EE0078" w:rsidP="00EE0078">
      <w:pPr>
        <w:jc w:val="both"/>
      </w:pPr>
    </w:p>
    <w:p w:rsidR="00814908" w:rsidRPr="00E13FE1" w:rsidRDefault="00814908" w:rsidP="00814908">
      <w:pPr>
        <w:spacing w:after="120"/>
        <w:jc w:val="both"/>
      </w:pPr>
      <w:r w:rsidRPr="00E13FE1">
        <w:rPr>
          <w:b/>
        </w:rPr>
        <w:t xml:space="preserve">Собственият капитал </w:t>
      </w:r>
      <w:r w:rsidRPr="00E13FE1">
        <w:t>намалява от 109 357 хил. лева през 2016 г. на 10</w:t>
      </w:r>
      <w:r w:rsidR="00C05445">
        <w:t>0</w:t>
      </w:r>
      <w:r w:rsidR="00A918E4" w:rsidRPr="00E13FE1">
        <w:t> </w:t>
      </w:r>
      <w:r w:rsidR="00C05445">
        <w:t>368</w:t>
      </w:r>
      <w:r w:rsidR="00A918E4" w:rsidRPr="00E13FE1">
        <w:t xml:space="preserve"> </w:t>
      </w:r>
      <w:r w:rsidRPr="00E13FE1">
        <w:t xml:space="preserve">хил. лева през 2017 г., т.е. намалението е с </w:t>
      </w:r>
      <w:r w:rsidR="00C05445">
        <w:t>8</w:t>
      </w:r>
      <w:r w:rsidR="00A918E4" w:rsidRPr="00E13FE1">
        <w:t xml:space="preserve"> </w:t>
      </w:r>
      <w:r w:rsidR="00C05445">
        <w:t>989</w:t>
      </w:r>
      <w:r w:rsidRPr="00E13FE1">
        <w:t xml:space="preserve"> хил. лева или </w:t>
      </w:r>
      <w:r w:rsidR="00C05445">
        <w:t>8</w:t>
      </w:r>
      <w:r w:rsidRPr="00E13FE1">
        <w:t>%.</w:t>
      </w:r>
      <w:r w:rsidR="001141A6" w:rsidRPr="00E13FE1">
        <w:t xml:space="preserve"> </w:t>
      </w:r>
      <w:r w:rsidRPr="00E13FE1">
        <w:t>Намалението на собствения капитал е вследствие на отчетената загуба от началото на годината.</w:t>
      </w:r>
    </w:p>
    <w:p w:rsidR="00814908" w:rsidRPr="00E13FE1" w:rsidRDefault="00814908" w:rsidP="00814908">
      <w:pPr>
        <w:spacing w:after="120"/>
        <w:jc w:val="both"/>
      </w:pPr>
      <w:r w:rsidRPr="00E13FE1">
        <w:rPr>
          <w:b/>
        </w:rPr>
        <w:t>Нетните активи</w:t>
      </w:r>
      <w:r w:rsidR="00056902">
        <w:t xml:space="preserve"> намаляват със 7 863</w:t>
      </w:r>
      <w:r w:rsidRPr="00E13FE1">
        <w:t xml:space="preserve"> хил. лева от 133 633 хил. лева на 1</w:t>
      </w:r>
      <w:r w:rsidR="00056902">
        <w:t>25 770</w:t>
      </w:r>
      <w:r w:rsidRPr="00E13FE1">
        <w:t xml:space="preserve"> хил. лева.</w:t>
      </w:r>
    </w:p>
    <w:p w:rsidR="00814908" w:rsidRPr="0044272C" w:rsidRDefault="00814908" w:rsidP="00583A49">
      <w:pPr>
        <w:spacing w:after="120"/>
        <w:jc w:val="both"/>
        <w:rPr>
          <w:color w:val="000000" w:themeColor="text1"/>
        </w:rPr>
      </w:pPr>
      <w:r w:rsidRPr="00E13FE1">
        <w:rPr>
          <w:b/>
        </w:rPr>
        <w:t xml:space="preserve">Задлъжнялостта </w:t>
      </w:r>
      <w:r w:rsidRPr="00E13FE1">
        <w:t xml:space="preserve">се увеличава с </w:t>
      </w:r>
      <w:r w:rsidR="00056902">
        <w:t>5 430</w:t>
      </w:r>
      <w:r w:rsidR="006A1A16" w:rsidRPr="00E13FE1">
        <w:t xml:space="preserve"> </w:t>
      </w:r>
      <w:r w:rsidRPr="00E13FE1">
        <w:t xml:space="preserve">хил. лева от 100 110 </w:t>
      </w:r>
      <w:r w:rsidR="00226AF5" w:rsidRPr="00E13FE1">
        <w:t>хил. лева на 10</w:t>
      </w:r>
      <w:r w:rsidR="00056902">
        <w:t>5</w:t>
      </w:r>
      <w:r w:rsidR="00226AF5" w:rsidRPr="00E13FE1">
        <w:t xml:space="preserve"> </w:t>
      </w:r>
      <w:r w:rsidR="00056902">
        <w:t>540</w:t>
      </w:r>
      <w:r w:rsidR="00226AF5" w:rsidRPr="00E13FE1">
        <w:t xml:space="preserve"> хил. лева, </w:t>
      </w:r>
      <w:r w:rsidR="00226AF5" w:rsidRPr="0044272C">
        <w:rPr>
          <w:color w:val="000000" w:themeColor="text1"/>
        </w:rPr>
        <w:t>основно от увеличени задължения към НК „ ЖИ”.</w:t>
      </w:r>
    </w:p>
    <w:p w:rsidR="00FA6300" w:rsidRPr="0044272C" w:rsidRDefault="00FA6300" w:rsidP="00583A49">
      <w:pPr>
        <w:spacing w:after="120"/>
        <w:jc w:val="both"/>
        <w:rPr>
          <w:color w:val="000000" w:themeColor="text1"/>
        </w:rPr>
      </w:pPr>
    </w:p>
    <w:p w:rsidR="00056902" w:rsidRDefault="00056902" w:rsidP="00583A49">
      <w:pPr>
        <w:spacing w:after="120"/>
        <w:jc w:val="both"/>
      </w:pPr>
    </w:p>
    <w:p w:rsidR="00056902" w:rsidRDefault="00056902" w:rsidP="00583A49">
      <w:pPr>
        <w:spacing w:after="120"/>
        <w:jc w:val="both"/>
      </w:pPr>
    </w:p>
    <w:p w:rsidR="00056902" w:rsidRDefault="00056902" w:rsidP="00583A49">
      <w:pPr>
        <w:spacing w:after="120"/>
        <w:jc w:val="both"/>
      </w:pPr>
    </w:p>
    <w:p w:rsidR="00056902" w:rsidRDefault="00056902" w:rsidP="00583A49">
      <w:pPr>
        <w:spacing w:after="120"/>
        <w:jc w:val="both"/>
      </w:pPr>
    </w:p>
    <w:p w:rsidR="00056902" w:rsidRDefault="00056902" w:rsidP="00583A49">
      <w:pPr>
        <w:spacing w:after="120"/>
        <w:jc w:val="both"/>
      </w:pPr>
    </w:p>
    <w:p w:rsidR="00056902" w:rsidRDefault="00056902" w:rsidP="00583A49">
      <w:pPr>
        <w:spacing w:after="120"/>
        <w:jc w:val="both"/>
      </w:pPr>
    </w:p>
    <w:p w:rsidR="00056902" w:rsidRDefault="00056902" w:rsidP="00583A49">
      <w:pPr>
        <w:spacing w:after="120"/>
        <w:jc w:val="both"/>
      </w:pPr>
    </w:p>
    <w:p w:rsidR="00056902" w:rsidRDefault="00056902" w:rsidP="00583A49">
      <w:pPr>
        <w:spacing w:after="120"/>
        <w:jc w:val="both"/>
      </w:pPr>
    </w:p>
    <w:p w:rsidR="00056902" w:rsidRDefault="00056902" w:rsidP="00583A49">
      <w:pPr>
        <w:spacing w:after="120"/>
        <w:jc w:val="both"/>
      </w:pPr>
    </w:p>
    <w:p w:rsidR="00056902" w:rsidRDefault="00056902" w:rsidP="00583A49">
      <w:pPr>
        <w:spacing w:after="120"/>
        <w:jc w:val="both"/>
      </w:pPr>
    </w:p>
    <w:p w:rsidR="00056902" w:rsidRPr="00E13FE1" w:rsidRDefault="00056902" w:rsidP="00583A49">
      <w:pPr>
        <w:spacing w:after="120"/>
        <w:jc w:val="both"/>
      </w:pPr>
    </w:p>
    <w:p w:rsidR="00F7536F" w:rsidRPr="00E13FE1" w:rsidRDefault="00F7536F" w:rsidP="00F7536F">
      <w:pPr>
        <w:numPr>
          <w:ilvl w:val="0"/>
          <w:numId w:val="1"/>
        </w:numPr>
        <w:spacing w:after="120"/>
        <w:ind w:hanging="181"/>
        <w:jc w:val="both"/>
        <w:rPr>
          <w:rFonts w:ascii="Arial" w:hAnsi="Arial" w:cs="Arial"/>
          <w:b/>
          <w:color w:val="0000CC"/>
        </w:rPr>
      </w:pPr>
      <w:r w:rsidRPr="00E13FE1">
        <w:rPr>
          <w:rFonts w:ascii="Arial" w:hAnsi="Arial" w:cs="Arial"/>
          <w:b/>
          <w:color w:val="0000CC"/>
        </w:rPr>
        <w:lastRenderedPageBreak/>
        <w:t>Обемни показатели</w:t>
      </w:r>
    </w:p>
    <w:p w:rsidR="00F7536F" w:rsidRDefault="00066007" w:rsidP="00F7536F">
      <w:pPr>
        <w:tabs>
          <w:tab w:val="left" w:pos="567"/>
          <w:tab w:val="left" w:pos="720"/>
        </w:tabs>
        <w:spacing w:after="120"/>
        <w:ind w:right="-54"/>
        <w:jc w:val="both"/>
        <w:rPr>
          <w:lang w:val="en-US"/>
        </w:rPr>
      </w:pPr>
      <w:r w:rsidRPr="0098516D">
        <w:t xml:space="preserve">През </w:t>
      </w:r>
      <w:r w:rsidR="00F7536F" w:rsidRPr="0098516D">
        <w:t xml:space="preserve">2017 г. са превозени </w:t>
      </w:r>
      <w:r w:rsidRPr="0098516D">
        <w:t>6 230,14</w:t>
      </w:r>
      <w:r w:rsidR="00F7536F" w:rsidRPr="0098516D">
        <w:t xml:space="preserve"> хил.тона товари, с </w:t>
      </w:r>
      <w:r w:rsidRPr="0098516D">
        <w:t>29,01</w:t>
      </w:r>
      <w:r w:rsidR="00F7536F" w:rsidRPr="0098516D">
        <w:t xml:space="preserve"> хил. тона товари по</w:t>
      </w:r>
      <w:r w:rsidRPr="0098516D">
        <w:t>вече</w:t>
      </w:r>
      <w:r w:rsidR="00F7536F" w:rsidRPr="0098516D">
        <w:t xml:space="preserve"> в сравнение</w:t>
      </w:r>
      <w:r w:rsidRPr="0098516D">
        <w:t xml:space="preserve"> с </w:t>
      </w:r>
      <w:r w:rsidR="00F7536F" w:rsidRPr="0098516D">
        <w:t>2016 г</w:t>
      </w:r>
      <w:r w:rsidRPr="0098516D">
        <w:t>.</w:t>
      </w:r>
      <w:r w:rsidR="00F7536F" w:rsidRPr="0098516D">
        <w:t xml:space="preserve"> и с </w:t>
      </w:r>
      <w:r w:rsidRPr="0098516D">
        <w:t>329,69</w:t>
      </w:r>
      <w:r w:rsidR="00F7536F" w:rsidRPr="0098516D">
        <w:t xml:space="preserve"> хил. тона повече от бизнес плана.</w:t>
      </w:r>
    </w:p>
    <w:tbl>
      <w:tblPr>
        <w:tblW w:w="10263" w:type="dxa"/>
        <w:tblInd w:w="55" w:type="dxa"/>
        <w:tblCellMar>
          <w:left w:w="70" w:type="dxa"/>
          <w:right w:w="70" w:type="dxa"/>
        </w:tblCellMar>
        <w:tblLook w:val="04A0" w:firstRow="1" w:lastRow="0" w:firstColumn="1" w:lastColumn="0" w:noHBand="0" w:noVBand="1"/>
      </w:tblPr>
      <w:tblGrid>
        <w:gridCol w:w="387"/>
        <w:gridCol w:w="2797"/>
        <w:gridCol w:w="839"/>
        <w:gridCol w:w="1248"/>
        <w:gridCol w:w="1248"/>
        <w:gridCol w:w="1248"/>
        <w:gridCol w:w="1248"/>
        <w:gridCol w:w="1248"/>
      </w:tblGrid>
      <w:tr w:rsidR="004A32D4" w:rsidRPr="004A32D4" w:rsidTr="004A32D4">
        <w:trPr>
          <w:trHeight w:val="229"/>
        </w:trPr>
        <w:tc>
          <w:tcPr>
            <w:tcW w:w="38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32D4" w:rsidRPr="004A32D4" w:rsidRDefault="004A32D4" w:rsidP="004A32D4">
            <w:pPr>
              <w:jc w:val="cente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N</w:t>
            </w:r>
          </w:p>
        </w:tc>
        <w:tc>
          <w:tcPr>
            <w:tcW w:w="279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32D4" w:rsidRPr="004A32D4" w:rsidRDefault="004A32D4" w:rsidP="004A32D4">
            <w:pPr>
              <w:jc w:val="cente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ПОКАЗАТЕЛИ</w:t>
            </w:r>
          </w:p>
        </w:tc>
        <w:tc>
          <w:tcPr>
            <w:tcW w:w="83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A32D4" w:rsidRPr="004A32D4" w:rsidRDefault="004A32D4" w:rsidP="004A32D4">
            <w:pPr>
              <w:jc w:val="cente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Мярка</w:t>
            </w:r>
          </w:p>
        </w:tc>
        <w:tc>
          <w:tcPr>
            <w:tcW w:w="3743" w:type="dxa"/>
            <w:gridSpan w:val="3"/>
            <w:tcBorders>
              <w:top w:val="single" w:sz="4" w:space="0" w:color="auto"/>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12-те месеца</w:t>
            </w:r>
          </w:p>
        </w:tc>
        <w:tc>
          <w:tcPr>
            <w:tcW w:w="2495" w:type="dxa"/>
            <w:gridSpan w:val="2"/>
            <w:tcBorders>
              <w:top w:val="single" w:sz="4" w:space="0" w:color="auto"/>
              <w:left w:val="nil"/>
              <w:bottom w:val="single" w:sz="4" w:space="0" w:color="auto"/>
              <w:right w:val="single" w:sz="4" w:space="0" w:color="auto"/>
            </w:tcBorders>
            <w:shd w:val="clear" w:color="auto" w:fill="auto"/>
            <w:noWrap/>
            <w:vAlign w:val="center"/>
            <w:hideMark/>
          </w:tcPr>
          <w:p w:rsidR="004A32D4" w:rsidRPr="004A32D4" w:rsidRDefault="004A32D4" w:rsidP="004A32D4">
            <w:pPr>
              <w:jc w:val="center"/>
              <w:rPr>
                <w:rFonts w:ascii="Calibri" w:eastAsia="Times New Roman" w:hAnsi="Calibri" w:cs="Calibri"/>
                <w:b/>
                <w:bCs/>
                <w:i/>
                <w:iCs/>
                <w:sz w:val="18"/>
                <w:szCs w:val="18"/>
                <w:lang w:eastAsia="bg-BG"/>
              </w:rPr>
            </w:pPr>
            <w:r w:rsidRPr="004A32D4">
              <w:rPr>
                <w:rFonts w:ascii="Calibri" w:eastAsia="Times New Roman" w:hAnsi="Calibri" w:cs="Calibri"/>
                <w:b/>
                <w:bCs/>
                <w:i/>
                <w:iCs/>
                <w:sz w:val="18"/>
                <w:szCs w:val="18"/>
                <w:lang w:eastAsia="bg-BG"/>
              </w:rPr>
              <w:t>Изменение 12-те месеца към</w:t>
            </w:r>
          </w:p>
        </w:tc>
      </w:tr>
      <w:tr w:rsidR="004A32D4" w:rsidRPr="004A32D4" w:rsidTr="004A32D4">
        <w:trPr>
          <w:trHeight w:val="229"/>
        </w:trPr>
        <w:tc>
          <w:tcPr>
            <w:tcW w:w="387" w:type="dxa"/>
            <w:vMerge/>
            <w:tcBorders>
              <w:top w:val="single" w:sz="4" w:space="0" w:color="auto"/>
              <w:left w:val="single" w:sz="4" w:space="0" w:color="auto"/>
              <w:bottom w:val="single" w:sz="4" w:space="0" w:color="auto"/>
              <w:right w:val="single" w:sz="4" w:space="0" w:color="auto"/>
            </w:tcBorders>
            <w:vAlign w:val="center"/>
            <w:hideMark/>
          </w:tcPr>
          <w:p w:rsidR="004A32D4" w:rsidRPr="004A32D4" w:rsidRDefault="004A32D4" w:rsidP="004A32D4">
            <w:pPr>
              <w:rPr>
                <w:rFonts w:ascii="Calibri" w:eastAsia="Times New Roman" w:hAnsi="Calibri" w:cs="Calibri"/>
                <w:b/>
                <w:bCs/>
                <w:sz w:val="18"/>
                <w:szCs w:val="18"/>
                <w:lang w:eastAsia="bg-BG"/>
              </w:rPr>
            </w:pPr>
          </w:p>
        </w:tc>
        <w:tc>
          <w:tcPr>
            <w:tcW w:w="2797" w:type="dxa"/>
            <w:vMerge/>
            <w:tcBorders>
              <w:top w:val="single" w:sz="4" w:space="0" w:color="auto"/>
              <w:left w:val="single" w:sz="4" w:space="0" w:color="auto"/>
              <w:bottom w:val="single" w:sz="4" w:space="0" w:color="auto"/>
              <w:right w:val="single" w:sz="4" w:space="0" w:color="auto"/>
            </w:tcBorders>
            <w:vAlign w:val="center"/>
            <w:hideMark/>
          </w:tcPr>
          <w:p w:rsidR="004A32D4" w:rsidRPr="004A32D4" w:rsidRDefault="004A32D4" w:rsidP="004A32D4">
            <w:pPr>
              <w:rPr>
                <w:rFonts w:ascii="Calibri" w:eastAsia="Times New Roman" w:hAnsi="Calibri" w:cs="Calibri"/>
                <w:b/>
                <w:bCs/>
                <w:sz w:val="18"/>
                <w:szCs w:val="18"/>
                <w:lang w:eastAsia="bg-BG"/>
              </w:rPr>
            </w:pPr>
          </w:p>
        </w:tc>
        <w:tc>
          <w:tcPr>
            <w:tcW w:w="839" w:type="dxa"/>
            <w:vMerge/>
            <w:tcBorders>
              <w:top w:val="single" w:sz="4" w:space="0" w:color="auto"/>
              <w:left w:val="single" w:sz="4" w:space="0" w:color="auto"/>
              <w:bottom w:val="single" w:sz="4" w:space="0" w:color="auto"/>
              <w:right w:val="single" w:sz="4" w:space="0" w:color="auto"/>
            </w:tcBorders>
            <w:vAlign w:val="center"/>
            <w:hideMark/>
          </w:tcPr>
          <w:p w:rsidR="004A32D4" w:rsidRPr="004A32D4" w:rsidRDefault="004A32D4" w:rsidP="004A32D4">
            <w:pPr>
              <w:rPr>
                <w:rFonts w:ascii="Calibri" w:eastAsia="Times New Roman" w:hAnsi="Calibri" w:cs="Calibri"/>
                <w:b/>
                <w:bCs/>
                <w:sz w:val="18"/>
                <w:szCs w:val="18"/>
                <w:lang w:eastAsia="bg-BG"/>
              </w:rPr>
            </w:pP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2017</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план</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2016</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b/>
                <w:bCs/>
                <w:i/>
                <w:iCs/>
                <w:sz w:val="18"/>
                <w:szCs w:val="18"/>
                <w:lang w:eastAsia="bg-BG"/>
              </w:rPr>
            </w:pPr>
            <w:r w:rsidRPr="004A32D4">
              <w:rPr>
                <w:rFonts w:ascii="Calibri" w:eastAsia="Times New Roman" w:hAnsi="Calibri" w:cs="Calibri"/>
                <w:b/>
                <w:bCs/>
                <w:i/>
                <w:iCs/>
                <w:sz w:val="18"/>
                <w:szCs w:val="18"/>
                <w:lang w:eastAsia="bg-BG"/>
              </w:rPr>
              <w:t>2016 г</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b/>
                <w:bCs/>
                <w:i/>
                <w:iCs/>
                <w:sz w:val="18"/>
                <w:szCs w:val="18"/>
                <w:lang w:eastAsia="bg-BG"/>
              </w:rPr>
            </w:pPr>
            <w:r w:rsidRPr="004A32D4">
              <w:rPr>
                <w:rFonts w:ascii="Calibri" w:eastAsia="Times New Roman" w:hAnsi="Calibri" w:cs="Calibri"/>
                <w:b/>
                <w:bCs/>
                <w:i/>
                <w:iCs/>
                <w:sz w:val="18"/>
                <w:szCs w:val="18"/>
                <w:lang w:eastAsia="bg-BG"/>
              </w:rPr>
              <w:t>план</w:t>
            </w:r>
          </w:p>
        </w:tc>
      </w:tr>
      <w:tr w:rsidR="004A32D4" w:rsidRPr="004A32D4" w:rsidTr="004A32D4">
        <w:trPr>
          <w:trHeight w:val="229"/>
        </w:trPr>
        <w:tc>
          <w:tcPr>
            <w:tcW w:w="387" w:type="dxa"/>
            <w:tcBorders>
              <w:top w:val="nil"/>
              <w:left w:val="single" w:sz="4" w:space="0" w:color="auto"/>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b/>
                <w:bCs/>
                <w:i/>
                <w:iCs/>
                <w:sz w:val="18"/>
                <w:szCs w:val="18"/>
                <w:lang w:eastAsia="bg-BG"/>
              </w:rPr>
            </w:pPr>
            <w:r w:rsidRPr="004A32D4">
              <w:rPr>
                <w:rFonts w:ascii="Calibri" w:eastAsia="Times New Roman" w:hAnsi="Calibri" w:cs="Calibri"/>
                <w:b/>
                <w:bCs/>
                <w:i/>
                <w:iCs/>
                <w:sz w:val="18"/>
                <w:szCs w:val="18"/>
                <w:lang w:eastAsia="bg-BG"/>
              </w:rPr>
              <w:t>I</w:t>
            </w:r>
          </w:p>
        </w:tc>
        <w:tc>
          <w:tcPr>
            <w:tcW w:w="2797"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b/>
                <w:bCs/>
                <w:i/>
                <w:iCs/>
                <w:sz w:val="18"/>
                <w:szCs w:val="18"/>
                <w:lang w:eastAsia="bg-BG"/>
              </w:rPr>
            </w:pPr>
            <w:r w:rsidRPr="004A32D4">
              <w:rPr>
                <w:rFonts w:ascii="Calibri" w:eastAsia="Times New Roman" w:hAnsi="Calibri" w:cs="Calibri"/>
                <w:b/>
                <w:bCs/>
                <w:i/>
                <w:iCs/>
                <w:sz w:val="18"/>
                <w:szCs w:val="18"/>
                <w:lang w:eastAsia="bg-BG"/>
              </w:rPr>
              <w:t>ПРЕВОЗ НА ТОВАРИ</w:t>
            </w:r>
          </w:p>
        </w:tc>
        <w:tc>
          <w:tcPr>
            <w:tcW w:w="839"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i/>
                <w:iCs/>
                <w:sz w:val="18"/>
                <w:szCs w:val="18"/>
                <w:lang w:eastAsia="bg-BG"/>
              </w:rPr>
            </w:pPr>
            <w:r w:rsidRPr="004A32D4">
              <w:rPr>
                <w:rFonts w:ascii="Calibri" w:eastAsia="Times New Roman" w:hAnsi="Calibri" w:cs="Calibri"/>
                <w:i/>
                <w:iCs/>
                <w:sz w:val="18"/>
                <w:szCs w:val="18"/>
                <w:lang w:eastAsia="bg-BG"/>
              </w:rPr>
              <w:t xml:space="preserve"> + /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i/>
                <w:iCs/>
                <w:sz w:val="18"/>
                <w:szCs w:val="18"/>
                <w:lang w:eastAsia="bg-BG"/>
              </w:rPr>
            </w:pPr>
            <w:r w:rsidRPr="004A32D4">
              <w:rPr>
                <w:rFonts w:ascii="Calibri" w:eastAsia="Times New Roman" w:hAnsi="Calibri" w:cs="Calibri"/>
                <w:i/>
                <w:iCs/>
                <w:sz w:val="18"/>
                <w:szCs w:val="18"/>
                <w:lang w:eastAsia="bg-BG"/>
              </w:rPr>
              <w:t xml:space="preserve"> + / -</w:t>
            </w:r>
          </w:p>
        </w:tc>
      </w:tr>
      <w:tr w:rsidR="004A32D4" w:rsidRPr="004A32D4" w:rsidTr="004A32D4">
        <w:trPr>
          <w:trHeight w:val="229"/>
        </w:trPr>
        <w:tc>
          <w:tcPr>
            <w:tcW w:w="387" w:type="dxa"/>
            <w:tcBorders>
              <w:top w:val="nil"/>
              <w:left w:val="single" w:sz="4" w:space="0" w:color="auto"/>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1</w:t>
            </w:r>
          </w:p>
        </w:tc>
        <w:tc>
          <w:tcPr>
            <w:tcW w:w="2797"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Превоз на товари</w:t>
            </w:r>
          </w:p>
        </w:tc>
        <w:tc>
          <w:tcPr>
            <w:tcW w:w="839"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хт</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6 230,14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5 900,45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6 201,13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29,01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329,69 </w:t>
            </w:r>
          </w:p>
        </w:tc>
      </w:tr>
      <w:tr w:rsidR="004A32D4" w:rsidRPr="004A32D4" w:rsidTr="004A32D4">
        <w:trPr>
          <w:trHeight w:val="229"/>
        </w:trPr>
        <w:tc>
          <w:tcPr>
            <w:tcW w:w="387" w:type="dxa"/>
            <w:tcBorders>
              <w:top w:val="nil"/>
              <w:left w:val="single" w:sz="4" w:space="0" w:color="auto"/>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2</w:t>
            </w:r>
          </w:p>
        </w:tc>
        <w:tc>
          <w:tcPr>
            <w:tcW w:w="2797"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Средно превозно разстояние</w:t>
            </w:r>
          </w:p>
        </w:tc>
        <w:tc>
          <w:tcPr>
            <w:tcW w:w="839"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км</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261,92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270,77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253,72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8,20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(8,85)</w:t>
            </w:r>
          </w:p>
        </w:tc>
      </w:tr>
      <w:tr w:rsidR="004A32D4" w:rsidRPr="004A32D4" w:rsidTr="004A32D4">
        <w:trPr>
          <w:trHeight w:val="229"/>
        </w:trPr>
        <w:tc>
          <w:tcPr>
            <w:tcW w:w="387" w:type="dxa"/>
            <w:tcBorders>
              <w:top w:val="nil"/>
              <w:left w:val="single" w:sz="4" w:space="0" w:color="auto"/>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3</w:t>
            </w:r>
          </w:p>
        </w:tc>
        <w:tc>
          <w:tcPr>
            <w:tcW w:w="2797"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Нетотонкилометри</w:t>
            </w:r>
          </w:p>
        </w:tc>
        <w:tc>
          <w:tcPr>
            <w:tcW w:w="839"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млн</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1 631,82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1 597,64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1 573,37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58,45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34,18 </w:t>
            </w:r>
          </w:p>
        </w:tc>
      </w:tr>
      <w:tr w:rsidR="004A32D4" w:rsidRPr="004A32D4" w:rsidTr="004A32D4">
        <w:trPr>
          <w:trHeight w:val="229"/>
        </w:trPr>
        <w:tc>
          <w:tcPr>
            <w:tcW w:w="387" w:type="dxa"/>
            <w:tcBorders>
              <w:top w:val="nil"/>
              <w:left w:val="single" w:sz="4" w:space="0" w:color="auto"/>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4</w:t>
            </w:r>
          </w:p>
        </w:tc>
        <w:tc>
          <w:tcPr>
            <w:tcW w:w="2797"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Приходи - нето</w:t>
            </w:r>
          </w:p>
        </w:tc>
        <w:tc>
          <w:tcPr>
            <w:tcW w:w="839"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лв</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 xml:space="preserve">     96 991 901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 xml:space="preserve">     97 021 436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 xml:space="preserve">     97 768 510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 xml:space="preserve">        (776 609)</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 xml:space="preserve">          (29 535)</w:t>
            </w:r>
          </w:p>
        </w:tc>
      </w:tr>
      <w:tr w:rsidR="004A32D4" w:rsidRPr="004A32D4" w:rsidTr="004A32D4">
        <w:trPr>
          <w:trHeight w:val="229"/>
        </w:trPr>
        <w:tc>
          <w:tcPr>
            <w:tcW w:w="387" w:type="dxa"/>
            <w:tcBorders>
              <w:top w:val="nil"/>
              <w:left w:val="single" w:sz="4" w:space="0" w:color="auto"/>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5</w:t>
            </w:r>
          </w:p>
        </w:tc>
        <w:tc>
          <w:tcPr>
            <w:tcW w:w="2797"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Нетна приходна ставка</w:t>
            </w:r>
          </w:p>
        </w:tc>
        <w:tc>
          <w:tcPr>
            <w:tcW w:w="839"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лв</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0,05944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0,06073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0,06214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(0,00270)</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(0,00129)</w:t>
            </w:r>
          </w:p>
        </w:tc>
      </w:tr>
      <w:tr w:rsidR="004A32D4" w:rsidRPr="004A32D4" w:rsidTr="004A32D4">
        <w:trPr>
          <w:trHeight w:val="229"/>
        </w:trPr>
        <w:tc>
          <w:tcPr>
            <w:tcW w:w="387" w:type="dxa"/>
            <w:tcBorders>
              <w:top w:val="nil"/>
              <w:left w:val="single" w:sz="4" w:space="0" w:color="auto"/>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b/>
                <w:bCs/>
                <w:i/>
                <w:iCs/>
                <w:sz w:val="18"/>
                <w:szCs w:val="18"/>
                <w:lang w:eastAsia="bg-BG"/>
              </w:rPr>
            </w:pPr>
            <w:r w:rsidRPr="004A32D4">
              <w:rPr>
                <w:rFonts w:ascii="Calibri" w:eastAsia="Times New Roman" w:hAnsi="Calibri" w:cs="Calibri"/>
                <w:b/>
                <w:bCs/>
                <w:i/>
                <w:iCs/>
                <w:sz w:val="18"/>
                <w:szCs w:val="18"/>
                <w:lang w:eastAsia="bg-BG"/>
              </w:rPr>
              <w:t>II</w:t>
            </w:r>
          </w:p>
        </w:tc>
        <w:tc>
          <w:tcPr>
            <w:tcW w:w="2797"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b/>
                <w:bCs/>
                <w:i/>
                <w:iCs/>
                <w:sz w:val="18"/>
                <w:szCs w:val="18"/>
                <w:lang w:eastAsia="bg-BG"/>
              </w:rPr>
            </w:pPr>
            <w:r w:rsidRPr="004A32D4">
              <w:rPr>
                <w:rFonts w:ascii="Calibri" w:eastAsia="Times New Roman" w:hAnsi="Calibri" w:cs="Calibri"/>
                <w:b/>
                <w:bCs/>
                <w:i/>
                <w:iCs/>
                <w:sz w:val="18"/>
                <w:szCs w:val="18"/>
                <w:lang w:eastAsia="bg-BG"/>
              </w:rPr>
              <w:t xml:space="preserve">Товаро- разтоварна дейност </w:t>
            </w:r>
          </w:p>
        </w:tc>
        <w:tc>
          <w:tcPr>
            <w:tcW w:w="839"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b/>
                <w:bCs/>
                <w:i/>
                <w:iCs/>
                <w:sz w:val="18"/>
                <w:szCs w:val="18"/>
                <w:u w:val="single"/>
                <w:lang w:eastAsia="bg-BG"/>
              </w:rPr>
            </w:pPr>
            <w:r w:rsidRPr="004A32D4">
              <w:rPr>
                <w:rFonts w:ascii="Calibri" w:eastAsia="Times New Roman" w:hAnsi="Calibri" w:cs="Calibri"/>
                <w:b/>
                <w:bCs/>
                <w:i/>
                <w:iCs/>
                <w:sz w:val="18"/>
                <w:szCs w:val="18"/>
                <w:u w:val="single"/>
                <w:lang w:eastAsia="bg-BG"/>
              </w:rPr>
              <w:t>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   </w:t>
            </w:r>
          </w:p>
        </w:tc>
      </w:tr>
      <w:tr w:rsidR="004A32D4" w:rsidRPr="004A32D4" w:rsidTr="004A32D4">
        <w:trPr>
          <w:trHeight w:val="229"/>
        </w:trPr>
        <w:tc>
          <w:tcPr>
            <w:tcW w:w="387" w:type="dxa"/>
            <w:tcBorders>
              <w:top w:val="nil"/>
              <w:left w:val="single" w:sz="4" w:space="0" w:color="auto"/>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w:t>
            </w:r>
          </w:p>
        </w:tc>
        <w:tc>
          <w:tcPr>
            <w:tcW w:w="2797"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Приходи - нето</w:t>
            </w:r>
          </w:p>
        </w:tc>
        <w:tc>
          <w:tcPr>
            <w:tcW w:w="839"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лв</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153 010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144 000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148 735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4 274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9 010 </w:t>
            </w:r>
          </w:p>
        </w:tc>
      </w:tr>
      <w:tr w:rsidR="004A32D4" w:rsidRPr="004A32D4" w:rsidTr="004A32D4">
        <w:trPr>
          <w:trHeight w:val="229"/>
        </w:trPr>
        <w:tc>
          <w:tcPr>
            <w:tcW w:w="387" w:type="dxa"/>
            <w:tcBorders>
              <w:top w:val="nil"/>
              <w:left w:val="single" w:sz="4" w:space="0" w:color="auto"/>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b/>
                <w:bCs/>
                <w:i/>
                <w:iCs/>
                <w:sz w:val="18"/>
                <w:szCs w:val="18"/>
                <w:lang w:eastAsia="bg-BG"/>
              </w:rPr>
            </w:pPr>
            <w:r w:rsidRPr="004A32D4">
              <w:rPr>
                <w:rFonts w:ascii="Calibri" w:eastAsia="Times New Roman" w:hAnsi="Calibri" w:cs="Calibri"/>
                <w:b/>
                <w:bCs/>
                <w:i/>
                <w:iCs/>
                <w:sz w:val="18"/>
                <w:szCs w:val="18"/>
                <w:lang w:eastAsia="bg-BG"/>
              </w:rPr>
              <w:t>III</w:t>
            </w:r>
          </w:p>
        </w:tc>
        <w:tc>
          <w:tcPr>
            <w:tcW w:w="2797"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b/>
                <w:bCs/>
                <w:i/>
                <w:iCs/>
                <w:sz w:val="18"/>
                <w:szCs w:val="18"/>
                <w:lang w:eastAsia="bg-BG"/>
              </w:rPr>
            </w:pPr>
            <w:r w:rsidRPr="004A32D4">
              <w:rPr>
                <w:rFonts w:ascii="Calibri" w:eastAsia="Times New Roman" w:hAnsi="Calibri" w:cs="Calibri"/>
                <w:b/>
                <w:bCs/>
                <w:i/>
                <w:iCs/>
                <w:sz w:val="18"/>
                <w:szCs w:val="18"/>
                <w:lang w:eastAsia="bg-BG"/>
              </w:rPr>
              <w:t xml:space="preserve">Спедиционна дейност </w:t>
            </w:r>
          </w:p>
        </w:tc>
        <w:tc>
          <w:tcPr>
            <w:tcW w:w="839"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b/>
                <w:bCs/>
                <w:i/>
                <w:iCs/>
                <w:sz w:val="18"/>
                <w:szCs w:val="18"/>
                <w:u w:val="single"/>
                <w:lang w:eastAsia="bg-BG"/>
              </w:rPr>
            </w:pPr>
            <w:r w:rsidRPr="004A32D4">
              <w:rPr>
                <w:rFonts w:ascii="Calibri" w:eastAsia="Times New Roman" w:hAnsi="Calibri" w:cs="Calibri"/>
                <w:b/>
                <w:bCs/>
                <w:i/>
                <w:iCs/>
                <w:sz w:val="18"/>
                <w:szCs w:val="18"/>
                <w:u w:val="single"/>
                <w:lang w:eastAsia="bg-BG"/>
              </w:rPr>
              <w:t>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   </w:t>
            </w:r>
          </w:p>
        </w:tc>
      </w:tr>
      <w:tr w:rsidR="004A32D4" w:rsidRPr="004A32D4" w:rsidTr="004A32D4">
        <w:trPr>
          <w:trHeight w:val="229"/>
        </w:trPr>
        <w:tc>
          <w:tcPr>
            <w:tcW w:w="387" w:type="dxa"/>
            <w:tcBorders>
              <w:top w:val="nil"/>
              <w:left w:val="single" w:sz="4" w:space="0" w:color="auto"/>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w:t>
            </w:r>
          </w:p>
        </w:tc>
        <w:tc>
          <w:tcPr>
            <w:tcW w:w="2797"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Приходи - нето</w:t>
            </w:r>
          </w:p>
        </w:tc>
        <w:tc>
          <w:tcPr>
            <w:tcW w:w="839"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лв</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8 407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8 000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9 472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(1 066)</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407 </w:t>
            </w:r>
          </w:p>
        </w:tc>
      </w:tr>
      <w:tr w:rsidR="004A32D4" w:rsidRPr="004A32D4" w:rsidTr="004A32D4">
        <w:trPr>
          <w:trHeight w:val="229"/>
        </w:trPr>
        <w:tc>
          <w:tcPr>
            <w:tcW w:w="387" w:type="dxa"/>
            <w:tcBorders>
              <w:top w:val="nil"/>
              <w:left w:val="single" w:sz="4" w:space="0" w:color="auto"/>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b/>
                <w:bCs/>
                <w:i/>
                <w:iCs/>
                <w:sz w:val="18"/>
                <w:szCs w:val="18"/>
                <w:lang w:eastAsia="bg-BG"/>
              </w:rPr>
            </w:pPr>
            <w:r w:rsidRPr="004A32D4">
              <w:rPr>
                <w:rFonts w:ascii="Calibri" w:eastAsia="Times New Roman" w:hAnsi="Calibri" w:cs="Calibri"/>
                <w:b/>
                <w:bCs/>
                <w:i/>
                <w:iCs/>
                <w:sz w:val="18"/>
                <w:szCs w:val="18"/>
                <w:lang w:eastAsia="bg-BG"/>
              </w:rPr>
              <w:t>IV</w:t>
            </w:r>
          </w:p>
        </w:tc>
        <w:tc>
          <w:tcPr>
            <w:tcW w:w="2797"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b/>
                <w:bCs/>
                <w:i/>
                <w:iCs/>
                <w:sz w:val="18"/>
                <w:szCs w:val="18"/>
                <w:lang w:eastAsia="bg-BG"/>
              </w:rPr>
            </w:pPr>
            <w:r w:rsidRPr="004A32D4">
              <w:rPr>
                <w:rFonts w:ascii="Calibri" w:eastAsia="Times New Roman" w:hAnsi="Calibri" w:cs="Calibri"/>
                <w:b/>
                <w:bCs/>
                <w:i/>
                <w:iCs/>
                <w:sz w:val="18"/>
                <w:szCs w:val="18"/>
                <w:lang w:eastAsia="bg-BG"/>
              </w:rPr>
              <w:t xml:space="preserve">Др. приходи от експл. дейност </w:t>
            </w:r>
          </w:p>
        </w:tc>
        <w:tc>
          <w:tcPr>
            <w:tcW w:w="839"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   </w:t>
            </w:r>
          </w:p>
        </w:tc>
      </w:tr>
      <w:tr w:rsidR="004A32D4" w:rsidRPr="004A32D4" w:rsidTr="004A32D4">
        <w:trPr>
          <w:trHeight w:val="229"/>
        </w:trPr>
        <w:tc>
          <w:tcPr>
            <w:tcW w:w="387" w:type="dxa"/>
            <w:tcBorders>
              <w:top w:val="nil"/>
              <w:left w:val="single" w:sz="4" w:space="0" w:color="auto"/>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w:t>
            </w:r>
          </w:p>
        </w:tc>
        <w:tc>
          <w:tcPr>
            <w:tcW w:w="2797"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Приходи - нето</w:t>
            </w:r>
          </w:p>
        </w:tc>
        <w:tc>
          <w:tcPr>
            <w:tcW w:w="839"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лв</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1 191 697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930 000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1 229 040 </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(37 343)</w:t>
            </w:r>
          </w:p>
        </w:tc>
        <w:tc>
          <w:tcPr>
            <w:tcW w:w="1248" w:type="dxa"/>
            <w:tcBorders>
              <w:top w:val="nil"/>
              <w:left w:val="nil"/>
              <w:bottom w:val="single" w:sz="4"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sz w:val="18"/>
                <w:szCs w:val="18"/>
                <w:lang w:eastAsia="bg-BG"/>
              </w:rPr>
            </w:pPr>
            <w:r w:rsidRPr="004A32D4">
              <w:rPr>
                <w:rFonts w:ascii="Calibri" w:eastAsia="Times New Roman" w:hAnsi="Calibri" w:cs="Calibri"/>
                <w:sz w:val="18"/>
                <w:szCs w:val="18"/>
                <w:lang w:eastAsia="bg-BG"/>
              </w:rPr>
              <w:t xml:space="preserve">          261 697 </w:t>
            </w:r>
          </w:p>
        </w:tc>
      </w:tr>
      <w:tr w:rsidR="004A32D4" w:rsidRPr="004A32D4" w:rsidTr="004A32D4">
        <w:trPr>
          <w:trHeight w:val="243"/>
        </w:trPr>
        <w:tc>
          <w:tcPr>
            <w:tcW w:w="387" w:type="dxa"/>
            <w:tcBorders>
              <w:top w:val="nil"/>
              <w:left w:val="single" w:sz="4" w:space="0" w:color="auto"/>
              <w:bottom w:val="double" w:sz="6"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b/>
                <w:bCs/>
                <w:color w:val="000000"/>
                <w:sz w:val="18"/>
                <w:szCs w:val="18"/>
                <w:lang w:eastAsia="bg-BG"/>
              </w:rPr>
            </w:pPr>
            <w:r w:rsidRPr="004A32D4">
              <w:rPr>
                <w:rFonts w:ascii="Calibri" w:eastAsia="Times New Roman" w:hAnsi="Calibri" w:cs="Calibri"/>
                <w:b/>
                <w:bCs/>
                <w:color w:val="000000"/>
                <w:sz w:val="18"/>
                <w:szCs w:val="18"/>
                <w:lang w:eastAsia="bg-BG"/>
              </w:rPr>
              <w:t> </w:t>
            </w:r>
          </w:p>
        </w:tc>
        <w:tc>
          <w:tcPr>
            <w:tcW w:w="2797" w:type="dxa"/>
            <w:tcBorders>
              <w:top w:val="nil"/>
              <w:left w:val="nil"/>
              <w:bottom w:val="double" w:sz="6"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b/>
                <w:bCs/>
                <w:color w:val="000000"/>
                <w:sz w:val="18"/>
                <w:szCs w:val="18"/>
                <w:lang w:eastAsia="bg-BG"/>
              </w:rPr>
            </w:pPr>
            <w:r w:rsidRPr="004A32D4">
              <w:rPr>
                <w:rFonts w:ascii="Calibri" w:eastAsia="Times New Roman" w:hAnsi="Calibri" w:cs="Calibri"/>
                <w:b/>
                <w:bCs/>
                <w:color w:val="000000"/>
                <w:sz w:val="18"/>
                <w:szCs w:val="18"/>
                <w:lang w:eastAsia="bg-BG"/>
              </w:rPr>
              <w:t xml:space="preserve">ПРИХОДИ </w:t>
            </w:r>
          </w:p>
        </w:tc>
        <w:tc>
          <w:tcPr>
            <w:tcW w:w="839" w:type="dxa"/>
            <w:tcBorders>
              <w:top w:val="nil"/>
              <w:left w:val="nil"/>
              <w:bottom w:val="double" w:sz="6" w:space="0" w:color="auto"/>
              <w:right w:val="single" w:sz="4" w:space="0" w:color="auto"/>
            </w:tcBorders>
            <w:shd w:val="clear" w:color="auto" w:fill="auto"/>
            <w:noWrap/>
            <w:vAlign w:val="bottom"/>
            <w:hideMark/>
          </w:tcPr>
          <w:p w:rsidR="004A32D4" w:rsidRPr="004A32D4" w:rsidRDefault="004A32D4" w:rsidP="004A32D4">
            <w:pPr>
              <w:jc w:val="center"/>
              <w:rPr>
                <w:rFonts w:ascii="Calibri" w:eastAsia="Times New Roman" w:hAnsi="Calibri" w:cs="Calibri"/>
                <w:color w:val="000000"/>
                <w:sz w:val="18"/>
                <w:szCs w:val="18"/>
                <w:lang w:eastAsia="bg-BG"/>
              </w:rPr>
            </w:pPr>
            <w:r w:rsidRPr="004A32D4">
              <w:rPr>
                <w:rFonts w:ascii="Calibri" w:eastAsia="Times New Roman" w:hAnsi="Calibri" w:cs="Calibri"/>
                <w:color w:val="000000"/>
                <w:sz w:val="18"/>
                <w:szCs w:val="18"/>
                <w:lang w:eastAsia="bg-BG"/>
              </w:rPr>
              <w:t>лв</w:t>
            </w:r>
          </w:p>
        </w:tc>
        <w:tc>
          <w:tcPr>
            <w:tcW w:w="1248" w:type="dxa"/>
            <w:tcBorders>
              <w:top w:val="nil"/>
              <w:left w:val="nil"/>
              <w:bottom w:val="double" w:sz="6"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 xml:space="preserve">     98 345 015 </w:t>
            </w:r>
          </w:p>
        </w:tc>
        <w:tc>
          <w:tcPr>
            <w:tcW w:w="1248" w:type="dxa"/>
            <w:tcBorders>
              <w:top w:val="nil"/>
              <w:left w:val="nil"/>
              <w:bottom w:val="double" w:sz="6"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 xml:space="preserve">     98 103 436 </w:t>
            </w:r>
          </w:p>
        </w:tc>
        <w:tc>
          <w:tcPr>
            <w:tcW w:w="1248" w:type="dxa"/>
            <w:tcBorders>
              <w:top w:val="nil"/>
              <w:left w:val="nil"/>
              <w:bottom w:val="double" w:sz="6"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 xml:space="preserve">     99 155 758 </w:t>
            </w:r>
          </w:p>
        </w:tc>
        <w:tc>
          <w:tcPr>
            <w:tcW w:w="1248" w:type="dxa"/>
            <w:tcBorders>
              <w:top w:val="nil"/>
              <w:left w:val="nil"/>
              <w:bottom w:val="double" w:sz="6"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 xml:space="preserve">        (810 743)</w:t>
            </w:r>
          </w:p>
        </w:tc>
        <w:tc>
          <w:tcPr>
            <w:tcW w:w="1248" w:type="dxa"/>
            <w:tcBorders>
              <w:top w:val="nil"/>
              <w:left w:val="nil"/>
              <w:bottom w:val="double" w:sz="6" w:space="0" w:color="auto"/>
              <w:right w:val="single" w:sz="4" w:space="0" w:color="auto"/>
            </w:tcBorders>
            <w:shd w:val="clear" w:color="auto" w:fill="auto"/>
            <w:noWrap/>
            <w:vAlign w:val="bottom"/>
            <w:hideMark/>
          </w:tcPr>
          <w:p w:rsidR="004A32D4" w:rsidRPr="004A32D4" w:rsidRDefault="004A32D4" w:rsidP="004A32D4">
            <w:pPr>
              <w:rPr>
                <w:rFonts w:ascii="Calibri" w:eastAsia="Times New Roman" w:hAnsi="Calibri" w:cs="Calibri"/>
                <w:b/>
                <w:bCs/>
                <w:sz w:val="18"/>
                <w:szCs w:val="18"/>
                <w:lang w:eastAsia="bg-BG"/>
              </w:rPr>
            </w:pPr>
            <w:r w:rsidRPr="004A32D4">
              <w:rPr>
                <w:rFonts w:ascii="Calibri" w:eastAsia="Times New Roman" w:hAnsi="Calibri" w:cs="Calibri"/>
                <w:b/>
                <w:bCs/>
                <w:sz w:val="18"/>
                <w:szCs w:val="18"/>
                <w:lang w:eastAsia="bg-BG"/>
              </w:rPr>
              <w:t xml:space="preserve">          241 579 </w:t>
            </w:r>
          </w:p>
        </w:tc>
      </w:tr>
    </w:tbl>
    <w:p w:rsidR="004A32D4" w:rsidRDefault="004A32D4" w:rsidP="00F7536F">
      <w:pPr>
        <w:tabs>
          <w:tab w:val="left" w:pos="567"/>
          <w:tab w:val="left" w:pos="720"/>
        </w:tabs>
        <w:spacing w:after="120"/>
        <w:ind w:right="-54"/>
        <w:jc w:val="both"/>
        <w:rPr>
          <w:lang w:val="en-US"/>
        </w:rPr>
      </w:pPr>
    </w:p>
    <w:p w:rsidR="00F7536F" w:rsidRPr="007A6D19" w:rsidRDefault="00F7536F" w:rsidP="00F7536F">
      <w:pPr>
        <w:spacing w:after="120"/>
        <w:jc w:val="both"/>
      </w:pPr>
      <w:r w:rsidRPr="00C533CE">
        <w:t xml:space="preserve">От данните по отчет за изпълнението на някои обемни показатели на „БДЖ - Товарни превози” </w:t>
      </w:r>
      <w:r w:rsidRPr="007A6D19">
        <w:t xml:space="preserve">ЕООД за 2017 г. могат да се направят следните изводи: </w:t>
      </w:r>
    </w:p>
    <w:p w:rsidR="00F7536F" w:rsidRPr="007A6D19" w:rsidRDefault="00C533CE" w:rsidP="00F7536F">
      <w:pPr>
        <w:numPr>
          <w:ilvl w:val="0"/>
          <w:numId w:val="4"/>
        </w:numPr>
        <w:spacing w:after="120"/>
        <w:ind w:left="567" w:hanging="210"/>
        <w:jc w:val="both"/>
      </w:pPr>
      <w:r w:rsidRPr="007A6D19">
        <w:rPr>
          <w:b/>
        </w:rPr>
        <w:t xml:space="preserve">Увеличени </w:t>
      </w:r>
      <w:r w:rsidR="00F7536F" w:rsidRPr="007A6D19">
        <w:rPr>
          <w:b/>
        </w:rPr>
        <w:t>са превозените товари</w:t>
      </w:r>
      <w:r w:rsidR="00F7536F" w:rsidRPr="007A6D19">
        <w:t xml:space="preserve"> с </w:t>
      </w:r>
      <w:r w:rsidRPr="007A6D19">
        <w:t>29,01</w:t>
      </w:r>
      <w:r w:rsidR="00F7536F" w:rsidRPr="007A6D19">
        <w:t xml:space="preserve"> хил. тона (0,</w:t>
      </w:r>
      <w:r w:rsidRPr="007A6D19">
        <w:t>47</w:t>
      </w:r>
      <w:r w:rsidR="00F7536F" w:rsidRPr="007A6D19">
        <w:t>%)</w:t>
      </w:r>
      <w:r w:rsidRPr="007A6D19">
        <w:t xml:space="preserve"> </w:t>
      </w:r>
      <w:r w:rsidR="00F7536F" w:rsidRPr="007A6D19">
        <w:t xml:space="preserve">спрямо предходната година, а спрямо бизнес плана са увеличени с </w:t>
      </w:r>
      <w:r w:rsidRPr="007A6D19">
        <w:t>329,69</w:t>
      </w:r>
      <w:r w:rsidR="00F7536F" w:rsidRPr="007A6D19">
        <w:t xml:space="preserve"> хил. тона или </w:t>
      </w:r>
      <w:r w:rsidRPr="007A6D19">
        <w:t>5,59</w:t>
      </w:r>
      <w:r w:rsidR="00F7536F" w:rsidRPr="007A6D19">
        <w:t>%.</w:t>
      </w:r>
    </w:p>
    <w:p w:rsidR="00F7536F" w:rsidRPr="00154ACA" w:rsidRDefault="00F7536F" w:rsidP="00F7536F">
      <w:pPr>
        <w:spacing w:after="120"/>
        <w:ind w:firstLine="357"/>
        <w:jc w:val="both"/>
      </w:pPr>
      <w:r w:rsidRPr="00154ACA">
        <w:t>Спрямо предходната година са намалени превозите от:</w:t>
      </w:r>
    </w:p>
    <w:p w:rsidR="00F7536F" w:rsidRPr="00154ACA" w:rsidRDefault="00F7536F" w:rsidP="00F7536F">
      <w:pPr>
        <w:numPr>
          <w:ilvl w:val="0"/>
          <w:numId w:val="14"/>
        </w:numPr>
        <w:ind w:left="1134" w:hanging="215"/>
        <w:jc w:val="both"/>
      </w:pPr>
      <w:r w:rsidRPr="00154ACA">
        <w:t xml:space="preserve">  мините на „ТИ БИ ЕЛ” ЕООД – с</w:t>
      </w:r>
      <w:r w:rsidR="00154ACA" w:rsidRPr="00154ACA">
        <w:t xml:space="preserve"> 809,4</w:t>
      </w:r>
      <w:r w:rsidRPr="00154ACA">
        <w:t xml:space="preserve"> хил. тона или 6</w:t>
      </w:r>
      <w:r w:rsidR="00154ACA" w:rsidRPr="00154ACA">
        <w:t>4</w:t>
      </w:r>
      <w:r w:rsidRPr="00154ACA">
        <w:t>%;</w:t>
      </w:r>
    </w:p>
    <w:p w:rsidR="00F7536F" w:rsidRPr="00154ACA" w:rsidRDefault="00F7536F" w:rsidP="00F7536F">
      <w:pPr>
        <w:numPr>
          <w:ilvl w:val="0"/>
          <w:numId w:val="14"/>
        </w:numPr>
        <w:ind w:left="1134" w:hanging="215"/>
        <w:jc w:val="both"/>
      </w:pPr>
      <w:r w:rsidRPr="00154ACA">
        <w:t>„Девня цимент” – с 3</w:t>
      </w:r>
      <w:r w:rsidR="00154ACA" w:rsidRPr="00154ACA">
        <w:t>3,7</w:t>
      </w:r>
      <w:r w:rsidRPr="00154ACA">
        <w:t xml:space="preserve"> хил. тона или 3</w:t>
      </w:r>
      <w:r w:rsidR="00154ACA" w:rsidRPr="00154ACA">
        <w:t>6</w:t>
      </w:r>
      <w:r w:rsidRPr="00154ACA">
        <w:t>%;</w:t>
      </w:r>
    </w:p>
    <w:p w:rsidR="00F7536F" w:rsidRPr="00154ACA" w:rsidRDefault="00F7536F" w:rsidP="00F7536F">
      <w:pPr>
        <w:numPr>
          <w:ilvl w:val="0"/>
          <w:numId w:val="14"/>
        </w:numPr>
        <w:ind w:left="1134" w:hanging="215"/>
        <w:jc w:val="both"/>
      </w:pPr>
      <w:r w:rsidRPr="00154ACA">
        <w:t xml:space="preserve"> „Прайм спед” АД  - с 12,</w:t>
      </w:r>
      <w:r w:rsidR="00154ACA" w:rsidRPr="00154ACA">
        <w:t>3</w:t>
      </w:r>
      <w:r w:rsidRPr="00154ACA">
        <w:t xml:space="preserve"> хил. тона или 1</w:t>
      </w:r>
      <w:r w:rsidR="00154ACA" w:rsidRPr="00154ACA">
        <w:t>3</w:t>
      </w:r>
      <w:r w:rsidRPr="00154ACA">
        <w:t>%;</w:t>
      </w:r>
    </w:p>
    <w:p w:rsidR="00F7536F" w:rsidRPr="00154ACA" w:rsidRDefault="00F7536F" w:rsidP="00F7536F">
      <w:pPr>
        <w:numPr>
          <w:ilvl w:val="0"/>
          <w:numId w:val="14"/>
        </w:numPr>
        <w:ind w:left="1134" w:hanging="215"/>
        <w:jc w:val="both"/>
      </w:pPr>
      <w:r w:rsidRPr="00154ACA">
        <w:t>„Шенкер” ЕООД – с 2,</w:t>
      </w:r>
      <w:r w:rsidR="00154ACA" w:rsidRPr="00154ACA">
        <w:t>3</w:t>
      </w:r>
      <w:r w:rsidRPr="00154ACA">
        <w:t xml:space="preserve"> хил. тона или </w:t>
      </w:r>
      <w:r w:rsidR="00154ACA" w:rsidRPr="00154ACA">
        <w:t>2</w:t>
      </w:r>
      <w:r w:rsidRPr="00154ACA">
        <w:t>%</w:t>
      </w:r>
      <w:r w:rsidR="00154ACA" w:rsidRPr="00154ACA">
        <w:t>.</w:t>
      </w:r>
    </w:p>
    <w:p w:rsidR="00F7536F" w:rsidRPr="001A524B" w:rsidRDefault="00F7536F" w:rsidP="00F7536F">
      <w:pPr>
        <w:ind w:left="993"/>
        <w:jc w:val="both"/>
      </w:pPr>
    </w:p>
    <w:p w:rsidR="00F7536F" w:rsidRPr="004C79B0" w:rsidRDefault="00F7536F" w:rsidP="00F7536F">
      <w:pPr>
        <w:numPr>
          <w:ilvl w:val="0"/>
          <w:numId w:val="4"/>
        </w:numPr>
        <w:spacing w:after="120"/>
        <w:ind w:left="567" w:hanging="210"/>
        <w:jc w:val="both"/>
        <w:rPr>
          <w:i/>
          <w:sz w:val="22"/>
          <w:szCs w:val="22"/>
        </w:rPr>
      </w:pPr>
      <w:r w:rsidRPr="001A524B">
        <w:rPr>
          <w:b/>
        </w:rPr>
        <w:t>Увеличено е средното превозно разстояние</w:t>
      </w:r>
      <w:r w:rsidRPr="001A524B">
        <w:t xml:space="preserve"> с </w:t>
      </w:r>
      <w:r w:rsidR="004424C9" w:rsidRPr="001A524B">
        <w:t>8,2</w:t>
      </w:r>
      <w:r w:rsidRPr="001A524B">
        <w:t xml:space="preserve"> км (</w:t>
      </w:r>
      <w:r w:rsidR="001A524B" w:rsidRPr="001A524B">
        <w:t>3,2</w:t>
      </w:r>
      <w:r w:rsidRPr="001A524B">
        <w:t xml:space="preserve">%) спрямо съответния период на 2016 г. Причина за увеличението е промяната в структурата на превозените товари по </w:t>
      </w:r>
      <w:r w:rsidRPr="004C79B0">
        <w:t>видове:</w:t>
      </w:r>
    </w:p>
    <w:p w:rsidR="00F7536F" w:rsidRPr="004C79B0" w:rsidRDefault="00F7536F" w:rsidP="00F7536F">
      <w:pPr>
        <w:numPr>
          <w:ilvl w:val="0"/>
          <w:numId w:val="14"/>
        </w:numPr>
        <w:spacing w:after="120"/>
        <w:ind w:left="1134" w:hanging="218"/>
        <w:jc w:val="both"/>
      </w:pPr>
      <w:r w:rsidRPr="004C79B0">
        <w:t xml:space="preserve">Твърдите минерални горива намаляват относителния си дял в общия обем превозени товари през 2017 г. с </w:t>
      </w:r>
      <w:r w:rsidR="004C79B0" w:rsidRPr="004C79B0">
        <w:t>13,7</w:t>
      </w:r>
      <w:r w:rsidRPr="004C79B0">
        <w:t>%, в сравнение с 2016 г., но средното превозно разстояние нараства от 21</w:t>
      </w:r>
      <w:r w:rsidR="004C79B0" w:rsidRPr="004C79B0">
        <w:t>1</w:t>
      </w:r>
      <w:r w:rsidRPr="004C79B0">
        <w:t xml:space="preserve"> км м.г. на 28</w:t>
      </w:r>
      <w:r w:rsidR="004C79B0" w:rsidRPr="004C79B0">
        <w:t>9</w:t>
      </w:r>
      <w:r w:rsidRPr="004C79B0">
        <w:t xml:space="preserve"> км през </w:t>
      </w:r>
      <w:r w:rsidR="00D55B29" w:rsidRPr="004C79B0">
        <w:t>2017 г.</w:t>
      </w:r>
      <w:r w:rsidRPr="004C79B0">
        <w:t>, т.е. със 7</w:t>
      </w:r>
      <w:r w:rsidR="004C79B0" w:rsidRPr="004C79B0">
        <w:t>8</w:t>
      </w:r>
      <w:r w:rsidRPr="004C79B0">
        <w:t xml:space="preserve"> км или 3</w:t>
      </w:r>
      <w:r w:rsidR="004C79B0" w:rsidRPr="004C79B0">
        <w:t>6</w:t>
      </w:r>
      <w:r w:rsidRPr="004C79B0">
        <w:t>,</w:t>
      </w:r>
      <w:r w:rsidR="004C79B0" w:rsidRPr="004C79B0">
        <w:t>8</w:t>
      </w:r>
      <w:r w:rsidRPr="004C79B0">
        <w:t>%;</w:t>
      </w:r>
    </w:p>
    <w:p w:rsidR="00F7536F" w:rsidRPr="002F5E8C" w:rsidRDefault="00F7536F" w:rsidP="00F7536F">
      <w:pPr>
        <w:numPr>
          <w:ilvl w:val="0"/>
          <w:numId w:val="14"/>
        </w:numPr>
        <w:spacing w:after="120"/>
        <w:ind w:left="1134" w:hanging="218"/>
        <w:jc w:val="both"/>
      </w:pPr>
      <w:r w:rsidRPr="002F5E8C">
        <w:t>Увеличен е относителният дял на превозите на селскостопански продукти и живи животни с 1%, като при тях средното превозно разстояние е 31</w:t>
      </w:r>
      <w:r w:rsidR="002F5E8C" w:rsidRPr="002F5E8C">
        <w:t>0</w:t>
      </w:r>
      <w:r w:rsidRPr="002F5E8C">
        <w:t xml:space="preserve"> км, при 23</w:t>
      </w:r>
      <w:r w:rsidR="002F5E8C" w:rsidRPr="002F5E8C">
        <w:t>6</w:t>
      </w:r>
      <w:r w:rsidRPr="002F5E8C">
        <w:t xml:space="preserve"> км за 2016 г., т.е. увеличение със 7</w:t>
      </w:r>
      <w:r w:rsidR="002F5E8C" w:rsidRPr="002F5E8C">
        <w:t>4</w:t>
      </w:r>
      <w:r w:rsidRPr="002F5E8C">
        <w:t>,</w:t>
      </w:r>
      <w:r w:rsidR="002F5E8C" w:rsidRPr="002F5E8C">
        <w:t>1</w:t>
      </w:r>
      <w:r w:rsidRPr="002F5E8C">
        <w:t xml:space="preserve"> км или 3</w:t>
      </w:r>
      <w:r w:rsidR="002F5E8C" w:rsidRPr="002F5E8C">
        <w:t>1</w:t>
      </w:r>
      <w:r w:rsidRPr="002F5E8C">
        <w:t>,</w:t>
      </w:r>
      <w:r w:rsidR="002F5E8C" w:rsidRPr="002F5E8C">
        <w:t>4</w:t>
      </w:r>
      <w:r w:rsidRPr="002F5E8C">
        <w:t xml:space="preserve">%; </w:t>
      </w:r>
    </w:p>
    <w:p w:rsidR="00F7536F" w:rsidRPr="00EE556A" w:rsidRDefault="00F7536F" w:rsidP="00F7536F">
      <w:pPr>
        <w:numPr>
          <w:ilvl w:val="0"/>
          <w:numId w:val="14"/>
        </w:numPr>
        <w:spacing w:after="120"/>
        <w:ind w:left="1134" w:hanging="218"/>
        <w:jc w:val="both"/>
      </w:pPr>
      <w:r w:rsidRPr="00EE556A">
        <w:t xml:space="preserve">Увеличава се относителният дял на превозените нефт и нефтопродукти с </w:t>
      </w:r>
      <w:r w:rsidR="002F5E8C" w:rsidRPr="00EE556A">
        <w:t>9,2</w:t>
      </w:r>
      <w:r w:rsidRPr="00EE556A">
        <w:t xml:space="preserve">% през 2017 г. спрямо 2016 г., като средното превозно разстояние при тях нараства с </w:t>
      </w:r>
      <w:r w:rsidR="002F5E8C" w:rsidRPr="00EE556A">
        <w:t>21,0</w:t>
      </w:r>
      <w:r w:rsidRPr="00EE556A">
        <w:t xml:space="preserve"> км или </w:t>
      </w:r>
      <w:r w:rsidR="002F5E8C" w:rsidRPr="00EE556A">
        <w:t>9,2</w:t>
      </w:r>
      <w:r w:rsidRPr="00EE556A">
        <w:t>%;</w:t>
      </w:r>
    </w:p>
    <w:p w:rsidR="00F7536F" w:rsidRPr="00276A24" w:rsidRDefault="00F7536F" w:rsidP="00F7536F">
      <w:pPr>
        <w:numPr>
          <w:ilvl w:val="0"/>
          <w:numId w:val="14"/>
        </w:numPr>
        <w:spacing w:after="120"/>
        <w:ind w:left="1134" w:hanging="218"/>
        <w:jc w:val="both"/>
      </w:pPr>
      <w:r w:rsidRPr="005E3FFF">
        <w:t>Превозените торове увеличават както своя относителен дял с 0,</w:t>
      </w:r>
      <w:r w:rsidR="00EE75B6" w:rsidRPr="005E3FFF">
        <w:t>8</w:t>
      </w:r>
      <w:r w:rsidRPr="005E3FFF">
        <w:t>% през 2017 г., така и средното превозно разстояние, което е 31</w:t>
      </w:r>
      <w:r w:rsidR="00EE75B6" w:rsidRPr="005E3FFF">
        <w:t>0</w:t>
      </w:r>
      <w:r w:rsidRPr="005E3FFF">
        <w:t xml:space="preserve"> км, при 28</w:t>
      </w:r>
      <w:r w:rsidR="00EE75B6" w:rsidRPr="005E3FFF">
        <w:t>8</w:t>
      </w:r>
      <w:r w:rsidRPr="005E3FFF">
        <w:t xml:space="preserve"> км през предходната </w:t>
      </w:r>
      <w:r w:rsidRPr="00276A24">
        <w:t xml:space="preserve">година или увеличение </w:t>
      </w:r>
      <w:r w:rsidR="00EE75B6" w:rsidRPr="00276A24">
        <w:t>7,7</w:t>
      </w:r>
      <w:r w:rsidRPr="00276A24">
        <w:t>%;</w:t>
      </w:r>
    </w:p>
    <w:p w:rsidR="00F7536F" w:rsidRPr="00276A24" w:rsidRDefault="00F7536F" w:rsidP="00F7536F">
      <w:pPr>
        <w:numPr>
          <w:ilvl w:val="0"/>
          <w:numId w:val="14"/>
        </w:numPr>
        <w:spacing w:after="120"/>
        <w:ind w:left="1134" w:hanging="218"/>
        <w:jc w:val="both"/>
      </w:pPr>
      <w:r w:rsidRPr="00276A24">
        <w:t xml:space="preserve">Увеличава се относителният дял на превозените обработени и необработени нерудни суровини с 3%, като средното превозно разстояние при тях нараства с </w:t>
      </w:r>
      <w:r w:rsidR="00264C31" w:rsidRPr="00276A24">
        <w:t>5,5</w:t>
      </w:r>
      <w:r w:rsidRPr="00276A24">
        <w:t xml:space="preserve"> км или </w:t>
      </w:r>
      <w:r w:rsidR="00264C31" w:rsidRPr="00276A24">
        <w:t>2</w:t>
      </w:r>
      <w:r w:rsidRPr="00276A24">
        <w:t>% и е 28</w:t>
      </w:r>
      <w:r w:rsidR="00264C31" w:rsidRPr="00276A24">
        <w:t>6</w:t>
      </w:r>
      <w:r w:rsidRPr="00276A24">
        <w:t xml:space="preserve"> км, при 2</w:t>
      </w:r>
      <w:r w:rsidR="00264C31" w:rsidRPr="00276A24">
        <w:t>80</w:t>
      </w:r>
      <w:r w:rsidRPr="00276A24">
        <w:t xml:space="preserve"> км за </w:t>
      </w:r>
      <w:r w:rsidR="00D55B29" w:rsidRPr="00276A24">
        <w:t>2016</w:t>
      </w:r>
      <w:r w:rsidRPr="00276A24">
        <w:t xml:space="preserve"> година.</w:t>
      </w:r>
    </w:p>
    <w:p w:rsidR="00F7536F" w:rsidRPr="00C30E83" w:rsidRDefault="00F7536F" w:rsidP="00F7536F">
      <w:pPr>
        <w:numPr>
          <w:ilvl w:val="0"/>
          <w:numId w:val="4"/>
        </w:numPr>
        <w:ind w:left="567" w:hanging="210"/>
        <w:jc w:val="both"/>
      </w:pPr>
      <w:r w:rsidRPr="000E3539">
        <w:lastRenderedPageBreak/>
        <w:t xml:space="preserve">Отчита се </w:t>
      </w:r>
      <w:r w:rsidRPr="000E3539">
        <w:rPr>
          <w:b/>
        </w:rPr>
        <w:t>увеличение на нето тонкилометровата работа</w:t>
      </w:r>
      <w:r w:rsidR="000E3539" w:rsidRPr="000E3539">
        <w:t xml:space="preserve"> с 58,45</w:t>
      </w:r>
      <w:r w:rsidRPr="000E3539">
        <w:t xml:space="preserve"> млн. ткм или </w:t>
      </w:r>
      <w:r w:rsidR="000E3539" w:rsidRPr="000E3539">
        <w:t>3,7</w:t>
      </w:r>
      <w:r w:rsidRPr="000E3539">
        <w:t xml:space="preserve">% </w:t>
      </w:r>
      <w:r w:rsidRPr="00C30E83">
        <w:t xml:space="preserve">спрямо 2016 година, а спрямо плана увеличението е </w:t>
      </w:r>
      <w:r w:rsidR="000E3539" w:rsidRPr="00C30E83">
        <w:t>34,2</w:t>
      </w:r>
      <w:r w:rsidRPr="00C30E83">
        <w:t xml:space="preserve"> млн. ткм или </w:t>
      </w:r>
      <w:r w:rsidR="000E3539" w:rsidRPr="00C30E83">
        <w:t>2,1</w:t>
      </w:r>
      <w:r w:rsidRPr="00C30E83">
        <w:t>%.</w:t>
      </w:r>
    </w:p>
    <w:p w:rsidR="00F7536F" w:rsidRPr="00C30E83" w:rsidRDefault="00F7536F" w:rsidP="00F7536F">
      <w:pPr>
        <w:numPr>
          <w:ilvl w:val="0"/>
          <w:numId w:val="4"/>
        </w:numPr>
        <w:ind w:left="567" w:hanging="210"/>
        <w:jc w:val="both"/>
      </w:pPr>
      <w:r w:rsidRPr="00C30E83">
        <w:t>За 2017 г.</w:t>
      </w:r>
      <w:r w:rsidRPr="00C30E83">
        <w:rPr>
          <w:b/>
        </w:rPr>
        <w:t xml:space="preserve"> е намалена приходната ставка </w:t>
      </w:r>
      <w:r w:rsidRPr="00C30E83">
        <w:t>с 4,</w:t>
      </w:r>
      <w:r w:rsidR="00C30E83" w:rsidRPr="00C30E83">
        <w:rPr>
          <w:lang w:val="en-US"/>
        </w:rPr>
        <w:t>3</w:t>
      </w:r>
      <w:r w:rsidRPr="00C30E83">
        <w:t>%, спрямо предходната година и с 2,</w:t>
      </w:r>
      <w:r w:rsidR="00C30E83" w:rsidRPr="00C30E83">
        <w:rPr>
          <w:lang w:val="en-US"/>
        </w:rPr>
        <w:t>1</w:t>
      </w:r>
      <w:r w:rsidRPr="00C30E83">
        <w:t xml:space="preserve">% спрямо </w:t>
      </w:r>
      <w:r w:rsidR="00C30E83" w:rsidRPr="00C30E83">
        <w:t xml:space="preserve">бизнес </w:t>
      </w:r>
      <w:r w:rsidRPr="00C30E83">
        <w:t xml:space="preserve">плана. </w:t>
      </w:r>
    </w:p>
    <w:p w:rsidR="000E1500" w:rsidRDefault="000E1500" w:rsidP="00EB086E">
      <w:pPr>
        <w:pStyle w:val="BodyText"/>
        <w:jc w:val="both"/>
        <w:rPr>
          <w:sz w:val="24"/>
        </w:rPr>
      </w:pPr>
    </w:p>
    <w:p w:rsidR="00EB086E" w:rsidRPr="00EB086E" w:rsidRDefault="00EB086E" w:rsidP="000E1500">
      <w:pPr>
        <w:pStyle w:val="BodyText"/>
        <w:ind w:firstLine="357"/>
        <w:jc w:val="both"/>
        <w:rPr>
          <w:sz w:val="24"/>
        </w:rPr>
      </w:pPr>
      <w:r w:rsidRPr="00EB086E">
        <w:rPr>
          <w:sz w:val="24"/>
        </w:rPr>
        <w:t>Намаление на средните приходни  ставки се наблюдава при следните по-големи клиенти:</w:t>
      </w:r>
    </w:p>
    <w:p w:rsidR="00EB086E" w:rsidRPr="00D00CB6" w:rsidRDefault="001E1E5F" w:rsidP="00EB086E">
      <w:pPr>
        <w:numPr>
          <w:ilvl w:val="0"/>
          <w:numId w:val="35"/>
        </w:numPr>
        <w:jc w:val="both"/>
        <w:rPr>
          <w:b/>
          <w:i/>
        </w:rPr>
      </w:pPr>
      <w:r>
        <w:t>„Трансленд”</w:t>
      </w:r>
      <w:r w:rsidR="00D00CB6">
        <w:t xml:space="preserve"> ООД - </w:t>
      </w:r>
      <w:r w:rsidR="00EB086E" w:rsidRPr="00EB086E">
        <w:t>преобладават превози с по-ниска приходна ставка</w:t>
      </w:r>
      <w:r w:rsidR="00D00CB6">
        <w:t xml:space="preserve"> </w:t>
      </w:r>
      <w:r w:rsidR="00D00CB6" w:rsidRPr="00D00CB6">
        <w:rPr>
          <w:i/>
          <w:lang w:val="en-US"/>
        </w:rPr>
        <w:t>(</w:t>
      </w:r>
      <w:r w:rsidR="00EB086E" w:rsidRPr="00D00CB6">
        <w:rPr>
          <w:i/>
        </w:rPr>
        <w:t xml:space="preserve">концентрат по релацията гара Кремиковци – Драгоман граница, руди Бургас – Драгоман граница, захар Драгоман граница – Софийски възел, плосковалцувани продукти Русе граница – гара Русе север и гара Бургас – гара Долно Езерово, нефтопродукти от Кардам граница – гара Добрич север и отпадъци </w:t>
      </w:r>
      <w:r w:rsidR="00EB086E" w:rsidRPr="00D00CB6">
        <w:rPr>
          <w:bCs/>
          <w:i/>
        </w:rPr>
        <w:t>гара Варна – гара Бели Извор</w:t>
      </w:r>
      <w:r w:rsidR="00D00CB6" w:rsidRPr="00D00CB6">
        <w:rPr>
          <w:bCs/>
          <w:i/>
          <w:lang w:val="en-US"/>
        </w:rPr>
        <w:t>)</w:t>
      </w:r>
      <w:r w:rsidR="00EB086E" w:rsidRPr="00D00CB6">
        <w:rPr>
          <w:bCs/>
          <w:i/>
        </w:rPr>
        <w:t>;</w:t>
      </w:r>
    </w:p>
    <w:p w:rsidR="001E1E5F" w:rsidRPr="001E1E5F" w:rsidRDefault="001E1E5F" w:rsidP="00EB086E">
      <w:pPr>
        <w:numPr>
          <w:ilvl w:val="0"/>
          <w:numId w:val="35"/>
        </w:numPr>
        <w:jc w:val="both"/>
        <w:rPr>
          <w:b/>
        </w:rPr>
      </w:pPr>
      <w:r w:rsidRPr="001E1E5F">
        <w:rPr>
          <w:bCs/>
        </w:rPr>
        <w:t>„Каолин” АД - извършените превози на пясък, каолин, глини, фелдшпат</w:t>
      </w:r>
      <w:r w:rsidR="00D00CB6">
        <w:rPr>
          <w:bCs/>
        </w:rPr>
        <w:t>,</w:t>
      </w:r>
      <w:r w:rsidRPr="001E1E5F">
        <w:rPr>
          <w:bCs/>
        </w:rPr>
        <w:t xml:space="preserve"> са с по-ниска приходна ставка;</w:t>
      </w:r>
    </w:p>
    <w:p w:rsidR="001E1E5F" w:rsidRPr="00D00CB6" w:rsidRDefault="001E1E5F" w:rsidP="001E1E5F">
      <w:pPr>
        <w:numPr>
          <w:ilvl w:val="0"/>
          <w:numId w:val="35"/>
        </w:numPr>
        <w:jc w:val="both"/>
        <w:rPr>
          <w:bCs/>
          <w:i/>
        </w:rPr>
      </w:pPr>
      <w:r w:rsidRPr="001E1E5F">
        <w:rPr>
          <w:bCs/>
        </w:rPr>
        <w:t xml:space="preserve">„ТТЛ” ЕООД - </w:t>
      </w:r>
      <w:r w:rsidR="00D00CB6">
        <w:rPr>
          <w:bCs/>
        </w:rPr>
        <w:t xml:space="preserve">основният обем превози </w:t>
      </w:r>
      <w:r w:rsidRPr="001E1E5F">
        <w:rPr>
          <w:bCs/>
        </w:rPr>
        <w:t>са с по-ниска приходна ставка, спрямо превозите по останалите релации (</w:t>
      </w:r>
      <w:r w:rsidRPr="00D00CB6">
        <w:rPr>
          <w:bCs/>
          <w:i/>
        </w:rPr>
        <w:t>газьол и газ по релацията  Бургас – Белозем и на дизел Белозем – Илиянци/Курило и Русе север);</w:t>
      </w:r>
    </w:p>
    <w:p w:rsidR="001E1E5F" w:rsidRDefault="001E1E5F" w:rsidP="001E1E5F">
      <w:pPr>
        <w:numPr>
          <w:ilvl w:val="0"/>
          <w:numId w:val="35"/>
        </w:numPr>
        <w:jc w:val="both"/>
        <w:rPr>
          <w:bCs/>
        </w:rPr>
      </w:pPr>
      <w:r>
        <w:rPr>
          <w:bCs/>
        </w:rPr>
        <w:t>„Консорциум МТ Транс” ООД – преобладават превозите на руда, които са с по-ниска приходна ставка;</w:t>
      </w:r>
    </w:p>
    <w:p w:rsidR="00EB086E" w:rsidRPr="00516426" w:rsidRDefault="00516426" w:rsidP="00EB086E">
      <w:pPr>
        <w:numPr>
          <w:ilvl w:val="0"/>
          <w:numId w:val="35"/>
        </w:numPr>
        <w:jc w:val="both"/>
        <w:rPr>
          <w:lang w:val="en-US"/>
        </w:rPr>
      </w:pPr>
      <w:r w:rsidRPr="00516426">
        <w:rPr>
          <w:bCs/>
        </w:rPr>
        <w:t>„Неохим” АД – преобладаващи превози на амоняк и торове, които са с по-ниска приходна ставка.</w:t>
      </w:r>
    </w:p>
    <w:p w:rsidR="00EB086E" w:rsidRDefault="00EB086E" w:rsidP="00EB086E">
      <w:pPr>
        <w:jc w:val="both"/>
        <w:rPr>
          <w:highlight w:val="yellow"/>
          <w:lang w:val="en-US"/>
        </w:rPr>
      </w:pPr>
    </w:p>
    <w:p w:rsidR="00F7536F" w:rsidRDefault="00F7536F" w:rsidP="00F7536F">
      <w:pPr>
        <w:jc w:val="both"/>
      </w:pPr>
      <w:r w:rsidRPr="0060496C">
        <w:t xml:space="preserve">По </w:t>
      </w:r>
      <w:r w:rsidRPr="0060496C">
        <w:rPr>
          <w:b/>
        </w:rPr>
        <w:t>видове товари</w:t>
      </w:r>
      <w:r w:rsidRPr="0060496C">
        <w:t xml:space="preserve"> превозените количества са както следва:</w:t>
      </w:r>
    </w:p>
    <w:p w:rsidR="0060496C" w:rsidRPr="0060496C" w:rsidRDefault="0060496C" w:rsidP="00F7536F">
      <w:pPr>
        <w:jc w:val="both"/>
      </w:pPr>
    </w:p>
    <w:tbl>
      <w:tblPr>
        <w:tblW w:w="10334" w:type="dxa"/>
        <w:tblInd w:w="-214" w:type="dxa"/>
        <w:tblCellMar>
          <w:left w:w="70" w:type="dxa"/>
          <w:right w:w="70" w:type="dxa"/>
        </w:tblCellMar>
        <w:tblLook w:val="04A0" w:firstRow="1" w:lastRow="0" w:firstColumn="1" w:lastColumn="0" w:noHBand="0" w:noVBand="1"/>
      </w:tblPr>
      <w:tblGrid>
        <w:gridCol w:w="3025"/>
        <w:gridCol w:w="939"/>
        <w:gridCol w:w="849"/>
        <w:gridCol w:w="952"/>
        <w:gridCol w:w="888"/>
        <w:gridCol w:w="850"/>
        <w:gridCol w:w="1004"/>
        <w:gridCol w:w="912"/>
        <w:gridCol w:w="915"/>
      </w:tblGrid>
      <w:tr w:rsidR="0060496C" w:rsidRPr="0060496C" w:rsidTr="002B620B">
        <w:trPr>
          <w:trHeight w:val="254"/>
        </w:trPr>
        <w:tc>
          <w:tcPr>
            <w:tcW w:w="3025" w:type="dxa"/>
            <w:vMerge w:val="restart"/>
            <w:tcBorders>
              <w:top w:val="single" w:sz="4" w:space="0" w:color="auto"/>
              <w:left w:val="single" w:sz="4" w:space="0" w:color="auto"/>
              <w:bottom w:val="single" w:sz="4" w:space="0" w:color="auto"/>
              <w:right w:val="single" w:sz="4" w:space="0" w:color="auto"/>
            </w:tcBorders>
            <w:shd w:val="clear" w:color="auto" w:fill="auto"/>
            <w:noWrap/>
            <w:hideMark/>
          </w:tcPr>
          <w:p w:rsidR="0060496C" w:rsidRPr="0060496C" w:rsidRDefault="0060496C" w:rsidP="0060496C">
            <w:pPr>
              <w:jc w:val="center"/>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Вид товар</w:t>
            </w:r>
          </w:p>
        </w:tc>
        <w:tc>
          <w:tcPr>
            <w:tcW w:w="2740" w:type="dxa"/>
            <w:gridSpan w:val="3"/>
            <w:tcBorders>
              <w:top w:val="single" w:sz="4" w:space="0" w:color="auto"/>
              <w:left w:val="nil"/>
              <w:bottom w:val="single" w:sz="4" w:space="0" w:color="auto"/>
              <w:right w:val="single" w:sz="4" w:space="0" w:color="auto"/>
            </w:tcBorders>
            <w:shd w:val="clear" w:color="auto" w:fill="auto"/>
            <w:noWrap/>
            <w:vAlign w:val="bottom"/>
            <w:hideMark/>
          </w:tcPr>
          <w:p w:rsidR="0060496C" w:rsidRPr="0060496C" w:rsidRDefault="0060496C" w:rsidP="00D4164B">
            <w:pPr>
              <w:jc w:val="center"/>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отче</w:t>
            </w:r>
            <w:r w:rsidR="00D4164B">
              <w:rPr>
                <w:rFonts w:ascii="Calibri" w:eastAsia="Times New Roman" w:hAnsi="Calibri" w:cs="Calibri"/>
                <w:b/>
                <w:bCs/>
                <w:color w:val="000000"/>
                <w:sz w:val="18"/>
                <w:szCs w:val="18"/>
                <w:lang w:eastAsia="bg-BG"/>
              </w:rPr>
              <w:t>т</w:t>
            </w:r>
            <w:r w:rsidRPr="0060496C">
              <w:rPr>
                <w:rFonts w:ascii="Calibri" w:eastAsia="Times New Roman" w:hAnsi="Calibri" w:cs="Calibri"/>
                <w:b/>
                <w:bCs/>
                <w:color w:val="000000"/>
                <w:sz w:val="18"/>
                <w:szCs w:val="18"/>
                <w:lang w:eastAsia="bg-BG"/>
              </w:rPr>
              <w:t xml:space="preserve"> 2017</w:t>
            </w:r>
          </w:p>
        </w:tc>
        <w:tc>
          <w:tcPr>
            <w:tcW w:w="2742" w:type="dxa"/>
            <w:gridSpan w:val="3"/>
            <w:tcBorders>
              <w:top w:val="single" w:sz="4" w:space="0" w:color="auto"/>
              <w:left w:val="nil"/>
              <w:bottom w:val="single" w:sz="4" w:space="0" w:color="auto"/>
              <w:right w:val="single" w:sz="4" w:space="0" w:color="auto"/>
            </w:tcBorders>
            <w:shd w:val="clear" w:color="auto" w:fill="auto"/>
            <w:noWrap/>
            <w:vAlign w:val="bottom"/>
            <w:hideMark/>
          </w:tcPr>
          <w:p w:rsidR="0060496C" w:rsidRPr="0060496C" w:rsidRDefault="0060496C" w:rsidP="0060496C">
            <w:pPr>
              <w:jc w:val="center"/>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отчет 2016</w:t>
            </w:r>
          </w:p>
        </w:tc>
        <w:tc>
          <w:tcPr>
            <w:tcW w:w="1827" w:type="dxa"/>
            <w:gridSpan w:val="2"/>
            <w:tcBorders>
              <w:top w:val="single" w:sz="4" w:space="0" w:color="auto"/>
              <w:left w:val="nil"/>
              <w:bottom w:val="single" w:sz="4" w:space="0" w:color="auto"/>
              <w:right w:val="single" w:sz="4" w:space="0" w:color="auto"/>
            </w:tcBorders>
            <w:shd w:val="clear" w:color="auto" w:fill="auto"/>
            <w:noWrap/>
            <w:vAlign w:val="bottom"/>
            <w:hideMark/>
          </w:tcPr>
          <w:p w:rsidR="0060496C" w:rsidRPr="0060496C" w:rsidRDefault="0060496C" w:rsidP="0060496C">
            <w:pPr>
              <w:jc w:val="center"/>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2017/2016 +/-</w:t>
            </w:r>
          </w:p>
        </w:tc>
      </w:tr>
      <w:tr w:rsidR="0060496C" w:rsidRPr="0060496C" w:rsidTr="002B620B">
        <w:trPr>
          <w:trHeight w:val="254"/>
        </w:trPr>
        <w:tc>
          <w:tcPr>
            <w:tcW w:w="3025" w:type="dxa"/>
            <w:vMerge/>
            <w:tcBorders>
              <w:top w:val="single" w:sz="4" w:space="0" w:color="auto"/>
              <w:left w:val="single" w:sz="4" w:space="0" w:color="auto"/>
              <w:bottom w:val="single" w:sz="4" w:space="0" w:color="auto"/>
              <w:right w:val="single" w:sz="4" w:space="0" w:color="auto"/>
            </w:tcBorders>
            <w:vAlign w:val="center"/>
            <w:hideMark/>
          </w:tcPr>
          <w:p w:rsidR="0060496C" w:rsidRPr="0060496C" w:rsidRDefault="0060496C" w:rsidP="0060496C">
            <w:pPr>
              <w:rPr>
                <w:rFonts w:ascii="Calibri" w:eastAsia="Times New Roman" w:hAnsi="Calibri" w:cs="Calibri"/>
                <w:b/>
                <w:bCs/>
                <w:color w:val="000000"/>
                <w:sz w:val="18"/>
                <w:szCs w:val="18"/>
                <w:lang w:eastAsia="bg-BG"/>
              </w:rPr>
            </w:pPr>
          </w:p>
        </w:tc>
        <w:tc>
          <w:tcPr>
            <w:tcW w:w="939" w:type="dxa"/>
            <w:tcBorders>
              <w:top w:val="nil"/>
              <w:left w:val="nil"/>
              <w:bottom w:val="single" w:sz="4" w:space="0" w:color="auto"/>
              <w:right w:val="single" w:sz="4" w:space="0" w:color="auto"/>
            </w:tcBorders>
            <w:shd w:val="clear" w:color="auto" w:fill="auto"/>
            <w:noWrap/>
            <w:vAlign w:val="bottom"/>
            <w:hideMark/>
          </w:tcPr>
          <w:p w:rsidR="0060496C" w:rsidRPr="0060496C" w:rsidRDefault="0060496C" w:rsidP="0060496C">
            <w:pPr>
              <w:jc w:val="center"/>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х. тона</w:t>
            </w:r>
          </w:p>
        </w:tc>
        <w:tc>
          <w:tcPr>
            <w:tcW w:w="849" w:type="dxa"/>
            <w:tcBorders>
              <w:top w:val="nil"/>
              <w:left w:val="nil"/>
              <w:bottom w:val="single" w:sz="4" w:space="0" w:color="auto"/>
              <w:right w:val="single" w:sz="4" w:space="0" w:color="auto"/>
            </w:tcBorders>
            <w:shd w:val="clear" w:color="auto" w:fill="auto"/>
            <w:noWrap/>
            <w:vAlign w:val="bottom"/>
            <w:hideMark/>
          </w:tcPr>
          <w:p w:rsidR="0060496C" w:rsidRPr="0060496C" w:rsidRDefault="0060496C" w:rsidP="0060496C">
            <w:pPr>
              <w:jc w:val="center"/>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отн. дял %</w:t>
            </w:r>
          </w:p>
        </w:tc>
        <w:tc>
          <w:tcPr>
            <w:tcW w:w="952" w:type="dxa"/>
            <w:tcBorders>
              <w:top w:val="nil"/>
              <w:left w:val="nil"/>
              <w:bottom w:val="single" w:sz="4" w:space="0" w:color="auto"/>
              <w:right w:val="single" w:sz="4" w:space="0" w:color="auto"/>
            </w:tcBorders>
            <w:shd w:val="clear" w:color="auto" w:fill="auto"/>
            <w:noWrap/>
            <w:vAlign w:val="bottom"/>
            <w:hideMark/>
          </w:tcPr>
          <w:p w:rsidR="0060496C" w:rsidRPr="0060496C" w:rsidRDefault="0060496C" w:rsidP="0060496C">
            <w:pPr>
              <w:jc w:val="center"/>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млн. ткм</w:t>
            </w:r>
          </w:p>
        </w:tc>
        <w:tc>
          <w:tcPr>
            <w:tcW w:w="888" w:type="dxa"/>
            <w:tcBorders>
              <w:top w:val="nil"/>
              <w:left w:val="nil"/>
              <w:bottom w:val="single" w:sz="4" w:space="0" w:color="auto"/>
              <w:right w:val="single" w:sz="4" w:space="0" w:color="auto"/>
            </w:tcBorders>
            <w:shd w:val="clear" w:color="auto" w:fill="auto"/>
            <w:noWrap/>
            <w:vAlign w:val="bottom"/>
            <w:hideMark/>
          </w:tcPr>
          <w:p w:rsidR="0060496C" w:rsidRPr="0060496C" w:rsidRDefault="0060496C" w:rsidP="0060496C">
            <w:pPr>
              <w:jc w:val="center"/>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х.тона</w:t>
            </w:r>
          </w:p>
        </w:tc>
        <w:tc>
          <w:tcPr>
            <w:tcW w:w="850" w:type="dxa"/>
            <w:tcBorders>
              <w:top w:val="nil"/>
              <w:left w:val="nil"/>
              <w:bottom w:val="single" w:sz="4" w:space="0" w:color="auto"/>
              <w:right w:val="single" w:sz="4" w:space="0" w:color="auto"/>
            </w:tcBorders>
            <w:shd w:val="clear" w:color="auto" w:fill="auto"/>
            <w:noWrap/>
            <w:vAlign w:val="bottom"/>
            <w:hideMark/>
          </w:tcPr>
          <w:p w:rsidR="0060496C" w:rsidRPr="0060496C" w:rsidRDefault="0060496C" w:rsidP="0060496C">
            <w:pPr>
              <w:jc w:val="center"/>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отн. дял %</w:t>
            </w:r>
          </w:p>
        </w:tc>
        <w:tc>
          <w:tcPr>
            <w:tcW w:w="1004" w:type="dxa"/>
            <w:tcBorders>
              <w:top w:val="nil"/>
              <w:left w:val="nil"/>
              <w:bottom w:val="single" w:sz="4" w:space="0" w:color="auto"/>
              <w:right w:val="single" w:sz="4" w:space="0" w:color="auto"/>
            </w:tcBorders>
            <w:shd w:val="clear" w:color="auto" w:fill="auto"/>
            <w:noWrap/>
            <w:vAlign w:val="bottom"/>
            <w:hideMark/>
          </w:tcPr>
          <w:p w:rsidR="0060496C" w:rsidRPr="0060496C" w:rsidRDefault="0060496C" w:rsidP="0060496C">
            <w:pPr>
              <w:jc w:val="center"/>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млн. ткм</w:t>
            </w:r>
          </w:p>
        </w:tc>
        <w:tc>
          <w:tcPr>
            <w:tcW w:w="912" w:type="dxa"/>
            <w:tcBorders>
              <w:top w:val="nil"/>
              <w:left w:val="nil"/>
              <w:bottom w:val="single" w:sz="4" w:space="0" w:color="auto"/>
              <w:right w:val="single" w:sz="4" w:space="0" w:color="auto"/>
            </w:tcBorders>
            <w:shd w:val="clear" w:color="auto" w:fill="auto"/>
            <w:noWrap/>
            <w:vAlign w:val="bottom"/>
            <w:hideMark/>
          </w:tcPr>
          <w:p w:rsidR="0060496C" w:rsidRPr="0060496C" w:rsidRDefault="0060496C" w:rsidP="0060496C">
            <w:pPr>
              <w:jc w:val="center"/>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х. тона</w:t>
            </w:r>
          </w:p>
        </w:tc>
        <w:tc>
          <w:tcPr>
            <w:tcW w:w="914" w:type="dxa"/>
            <w:tcBorders>
              <w:top w:val="nil"/>
              <w:left w:val="nil"/>
              <w:bottom w:val="single" w:sz="4" w:space="0" w:color="auto"/>
              <w:right w:val="single" w:sz="4" w:space="0" w:color="auto"/>
            </w:tcBorders>
            <w:shd w:val="clear" w:color="auto" w:fill="auto"/>
            <w:noWrap/>
            <w:vAlign w:val="bottom"/>
            <w:hideMark/>
          </w:tcPr>
          <w:p w:rsidR="0060496C" w:rsidRPr="0060496C" w:rsidRDefault="0060496C" w:rsidP="0060496C">
            <w:pPr>
              <w:jc w:val="center"/>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ткм</w:t>
            </w:r>
          </w:p>
        </w:tc>
      </w:tr>
      <w:tr w:rsidR="0060496C" w:rsidRPr="0060496C" w:rsidTr="002B620B">
        <w:trPr>
          <w:trHeight w:val="254"/>
        </w:trPr>
        <w:tc>
          <w:tcPr>
            <w:tcW w:w="3025" w:type="dxa"/>
            <w:tcBorders>
              <w:top w:val="single" w:sz="4" w:space="0" w:color="auto"/>
              <w:left w:val="single" w:sz="4" w:space="0" w:color="auto"/>
              <w:bottom w:val="nil"/>
              <w:right w:val="nil"/>
            </w:tcBorders>
            <w:shd w:val="clear" w:color="auto" w:fill="auto"/>
            <w:noWrap/>
            <w:vAlign w:val="bottom"/>
            <w:hideMark/>
          </w:tcPr>
          <w:p w:rsidR="0060496C" w:rsidRPr="0060496C" w:rsidRDefault="0060496C" w:rsidP="0060496C">
            <w:pPr>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Обраб. и необраб. нерудни суровини</w:t>
            </w:r>
          </w:p>
        </w:tc>
        <w:tc>
          <w:tcPr>
            <w:tcW w:w="939" w:type="dxa"/>
            <w:tcBorders>
              <w:top w:val="nil"/>
              <w:left w:val="single" w:sz="4" w:space="0" w:color="auto"/>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1 447,69</w:t>
            </w:r>
          </w:p>
        </w:tc>
        <w:tc>
          <w:tcPr>
            <w:tcW w:w="849"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23,2%</w:t>
            </w:r>
          </w:p>
        </w:tc>
        <w:tc>
          <w:tcPr>
            <w:tcW w:w="95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413,80</w:t>
            </w:r>
          </w:p>
        </w:tc>
        <w:tc>
          <w:tcPr>
            <w:tcW w:w="888"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1 251,58</w:t>
            </w:r>
          </w:p>
        </w:tc>
        <w:tc>
          <w:tcPr>
            <w:tcW w:w="850"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20,2%</w:t>
            </w:r>
          </w:p>
        </w:tc>
        <w:tc>
          <w:tcPr>
            <w:tcW w:w="100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350,92</w:t>
            </w:r>
          </w:p>
        </w:tc>
        <w:tc>
          <w:tcPr>
            <w:tcW w:w="91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196,11</w:t>
            </w:r>
          </w:p>
        </w:tc>
        <w:tc>
          <w:tcPr>
            <w:tcW w:w="91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62,88</w:t>
            </w:r>
          </w:p>
        </w:tc>
      </w:tr>
      <w:tr w:rsidR="0060496C" w:rsidRPr="0060496C" w:rsidTr="002B620B">
        <w:trPr>
          <w:trHeight w:val="254"/>
        </w:trPr>
        <w:tc>
          <w:tcPr>
            <w:tcW w:w="3025" w:type="dxa"/>
            <w:tcBorders>
              <w:top w:val="nil"/>
              <w:left w:val="single" w:sz="4" w:space="0" w:color="auto"/>
              <w:bottom w:val="nil"/>
              <w:right w:val="nil"/>
            </w:tcBorders>
            <w:shd w:val="clear" w:color="auto" w:fill="auto"/>
            <w:noWrap/>
            <w:vAlign w:val="bottom"/>
            <w:hideMark/>
          </w:tcPr>
          <w:p w:rsidR="0060496C" w:rsidRPr="0060496C" w:rsidRDefault="0060496C" w:rsidP="0060496C">
            <w:pPr>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Нефт и нефтопродукти</w:t>
            </w:r>
          </w:p>
        </w:tc>
        <w:tc>
          <w:tcPr>
            <w:tcW w:w="939" w:type="dxa"/>
            <w:tcBorders>
              <w:top w:val="nil"/>
              <w:left w:val="single" w:sz="4" w:space="0" w:color="auto"/>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1 190,70</w:t>
            </w:r>
          </w:p>
        </w:tc>
        <w:tc>
          <w:tcPr>
            <w:tcW w:w="849"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19,1%</w:t>
            </w:r>
          </w:p>
        </w:tc>
        <w:tc>
          <w:tcPr>
            <w:tcW w:w="95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297,61</w:t>
            </w:r>
          </w:p>
        </w:tc>
        <w:tc>
          <w:tcPr>
            <w:tcW w:w="888"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684,51</w:t>
            </w:r>
          </w:p>
        </w:tc>
        <w:tc>
          <w:tcPr>
            <w:tcW w:w="850"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11,0%</w:t>
            </w:r>
          </w:p>
        </w:tc>
        <w:tc>
          <w:tcPr>
            <w:tcW w:w="100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156,70</w:t>
            </w:r>
          </w:p>
        </w:tc>
        <w:tc>
          <w:tcPr>
            <w:tcW w:w="91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506,19</w:t>
            </w:r>
          </w:p>
        </w:tc>
        <w:tc>
          <w:tcPr>
            <w:tcW w:w="91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140,90</w:t>
            </w:r>
          </w:p>
        </w:tc>
      </w:tr>
      <w:tr w:rsidR="0060496C" w:rsidRPr="0060496C" w:rsidTr="002B620B">
        <w:trPr>
          <w:trHeight w:val="254"/>
        </w:trPr>
        <w:tc>
          <w:tcPr>
            <w:tcW w:w="3025" w:type="dxa"/>
            <w:tcBorders>
              <w:top w:val="nil"/>
              <w:left w:val="single" w:sz="4" w:space="0" w:color="auto"/>
              <w:bottom w:val="nil"/>
              <w:right w:val="nil"/>
            </w:tcBorders>
            <w:shd w:val="clear" w:color="auto" w:fill="auto"/>
            <w:noWrap/>
            <w:vAlign w:val="bottom"/>
            <w:hideMark/>
          </w:tcPr>
          <w:p w:rsidR="0060496C" w:rsidRPr="0060496C" w:rsidRDefault="0060496C" w:rsidP="0060496C">
            <w:pPr>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Руди и метални отпадъци</w:t>
            </w:r>
          </w:p>
        </w:tc>
        <w:tc>
          <w:tcPr>
            <w:tcW w:w="939" w:type="dxa"/>
            <w:tcBorders>
              <w:top w:val="nil"/>
              <w:left w:val="single" w:sz="4" w:space="0" w:color="auto"/>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1 020,91</w:t>
            </w:r>
          </w:p>
        </w:tc>
        <w:tc>
          <w:tcPr>
            <w:tcW w:w="849"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16,4%</w:t>
            </w:r>
          </w:p>
        </w:tc>
        <w:tc>
          <w:tcPr>
            <w:tcW w:w="95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209,06</w:t>
            </w:r>
          </w:p>
        </w:tc>
        <w:tc>
          <w:tcPr>
            <w:tcW w:w="888"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668,14</w:t>
            </w:r>
          </w:p>
        </w:tc>
        <w:tc>
          <w:tcPr>
            <w:tcW w:w="850"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10,8%</w:t>
            </w:r>
          </w:p>
        </w:tc>
        <w:tc>
          <w:tcPr>
            <w:tcW w:w="100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167,65</w:t>
            </w:r>
          </w:p>
        </w:tc>
        <w:tc>
          <w:tcPr>
            <w:tcW w:w="91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352,78</w:t>
            </w:r>
          </w:p>
        </w:tc>
        <w:tc>
          <w:tcPr>
            <w:tcW w:w="91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41,41</w:t>
            </w:r>
          </w:p>
        </w:tc>
      </w:tr>
      <w:tr w:rsidR="0060496C" w:rsidRPr="0060496C" w:rsidTr="002B620B">
        <w:trPr>
          <w:trHeight w:val="254"/>
        </w:trPr>
        <w:tc>
          <w:tcPr>
            <w:tcW w:w="3025" w:type="dxa"/>
            <w:tcBorders>
              <w:top w:val="nil"/>
              <w:left w:val="single" w:sz="4" w:space="0" w:color="auto"/>
              <w:bottom w:val="nil"/>
              <w:right w:val="nil"/>
            </w:tcBorders>
            <w:shd w:val="clear" w:color="auto" w:fill="auto"/>
            <w:noWrap/>
            <w:vAlign w:val="bottom"/>
            <w:hideMark/>
          </w:tcPr>
          <w:p w:rsidR="0060496C" w:rsidRPr="0060496C" w:rsidRDefault="0060496C" w:rsidP="0060496C">
            <w:pPr>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Изделия на черна и цв. металургия</w:t>
            </w:r>
          </w:p>
        </w:tc>
        <w:tc>
          <w:tcPr>
            <w:tcW w:w="939" w:type="dxa"/>
            <w:tcBorders>
              <w:top w:val="nil"/>
              <w:left w:val="single" w:sz="4" w:space="0" w:color="auto"/>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538,49</w:t>
            </w:r>
          </w:p>
        </w:tc>
        <w:tc>
          <w:tcPr>
            <w:tcW w:w="849"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8,6%</w:t>
            </w:r>
          </w:p>
        </w:tc>
        <w:tc>
          <w:tcPr>
            <w:tcW w:w="952" w:type="dxa"/>
            <w:tcBorders>
              <w:top w:val="nil"/>
              <w:left w:val="nil"/>
              <w:bottom w:val="nil"/>
              <w:right w:val="nil"/>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149,53</w:t>
            </w:r>
          </w:p>
        </w:tc>
        <w:tc>
          <w:tcPr>
            <w:tcW w:w="888" w:type="dxa"/>
            <w:tcBorders>
              <w:top w:val="nil"/>
              <w:left w:val="single" w:sz="4" w:space="0" w:color="auto"/>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491,35</w:t>
            </w:r>
          </w:p>
        </w:tc>
        <w:tc>
          <w:tcPr>
            <w:tcW w:w="850"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7,9%</w:t>
            </w:r>
          </w:p>
        </w:tc>
        <w:tc>
          <w:tcPr>
            <w:tcW w:w="100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138,09</w:t>
            </w:r>
          </w:p>
        </w:tc>
        <w:tc>
          <w:tcPr>
            <w:tcW w:w="91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47,14</w:t>
            </w:r>
          </w:p>
        </w:tc>
        <w:tc>
          <w:tcPr>
            <w:tcW w:w="91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11,44</w:t>
            </w:r>
          </w:p>
        </w:tc>
      </w:tr>
      <w:tr w:rsidR="0060496C" w:rsidRPr="0060496C" w:rsidTr="002B620B">
        <w:trPr>
          <w:trHeight w:val="254"/>
        </w:trPr>
        <w:tc>
          <w:tcPr>
            <w:tcW w:w="3025" w:type="dxa"/>
            <w:tcBorders>
              <w:top w:val="nil"/>
              <w:left w:val="single" w:sz="4" w:space="0" w:color="auto"/>
              <w:bottom w:val="nil"/>
              <w:right w:val="nil"/>
            </w:tcBorders>
            <w:shd w:val="clear" w:color="auto" w:fill="auto"/>
            <w:noWrap/>
            <w:vAlign w:val="bottom"/>
            <w:hideMark/>
          </w:tcPr>
          <w:p w:rsidR="0060496C" w:rsidRPr="0060496C" w:rsidRDefault="0060496C" w:rsidP="0060496C">
            <w:pPr>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Твърди минерални горива</w:t>
            </w:r>
          </w:p>
        </w:tc>
        <w:tc>
          <w:tcPr>
            <w:tcW w:w="939" w:type="dxa"/>
            <w:tcBorders>
              <w:top w:val="nil"/>
              <w:left w:val="single" w:sz="4" w:space="0" w:color="auto"/>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529,06</w:t>
            </w:r>
          </w:p>
        </w:tc>
        <w:tc>
          <w:tcPr>
            <w:tcW w:w="849"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8,5%</w:t>
            </w:r>
          </w:p>
        </w:tc>
        <w:tc>
          <w:tcPr>
            <w:tcW w:w="95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152,78</w:t>
            </w:r>
          </w:p>
        </w:tc>
        <w:tc>
          <w:tcPr>
            <w:tcW w:w="888"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1 375,33</w:t>
            </w:r>
          </w:p>
        </w:tc>
        <w:tc>
          <w:tcPr>
            <w:tcW w:w="850"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22,2%</w:t>
            </w:r>
          </w:p>
        </w:tc>
        <w:tc>
          <w:tcPr>
            <w:tcW w:w="100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290,29</w:t>
            </w:r>
          </w:p>
        </w:tc>
        <w:tc>
          <w:tcPr>
            <w:tcW w:w="91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-846,27</w:t>
            </w:r>
          </w:p>
        </w:tc>
        <w:tc>
          <w:tcPr>
            <w:tcW w:w="91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-137,51</w:t>
            </w:r>
          </w:p>
        </w:tc>
      </w:tr>
      <w:tr w:rsidR="0060496C" w:rsidRPr="0060496C" w:rsidTr="002B620B">
        <w:trPr>
          <w:trHeight w:val="254"/>
        </w:trPr>
        <w:tc>
          <w:tcPr>
            <w:tcW w:w="3025" w:type="dxa"/>
            <w:tcBorders>
              <w:top w:val="nil"/>
              <w:left w:val="single" w:sz="4" w:space="0" w:color="auto"/>
              <w:bottom w:val="nil"/>
              <w:right w:val="nil"/>
            </w:tcBorders>
            <w:shd w:val="clear" w:color="auto" w:fill="auto"/>
            <w:noWrap/>
            <w:vAlign w:val="bottom"/>
            <w:hideMark/>
          </w:tcPr>
          <w:p w:rsidR="0060496C" w:rsidRPr="0060496C" w:rsidRDefault="0060496C" w:rsidP="0060496C">
            <w:pPr>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Машини, трансп.с-ва, фабр.изделия</w:t>
            </w:r>
          </w:p>
        </w:tc>
        <w:tc>
          <w:tcPr>
            <w:tcW w:w="939" w:type="dxa"/>
            <w:tcBorders>
              <w:top w:val="nil"/>
              <w:left w:val="single" w:sz="4" w:space="0" w:color="auto"/>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413,15</w:t>
            </w:r>
          </w:p>
        </w:tc>
        <w:tc>
          <w:tcPr>
            <w:tcW w:w="849"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6,6%</w:t>
            </w:r>
          </w:p>
        </w:tc>
        <w:tc>
          <w:tcPr>
            <w:tcW w:w="95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104,22</w:t>
            </w:r>
          </w:p>
        </w:tc>
        <w:tc>
          <w:tcPr>
            <w:tcW w:w="888"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588,12</w:t>
            </w:r>
          </w:p>
        </w:tc>
        <w:tc>
          <w:tcPr>
            <w:tcW w:w="850"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9,5%</w:t>
            </w:r>
          </w:p>
        </w:tc>
        <w:tc>
          <w:tcPr>
            <w:tcW w:w="100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164,84</w:t>
            </w:r>
          </w:p>
        </w:tc>
        <w:tc>
          <w:tcPr>
            <w:tcW w:w="91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-174,98</w:t>
            </w:r>
          </w:p>
        </w:tc>
        <w:tc>
          <w:tcPr>
            <w:tcW w:w="91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-60,62</w:t>
            </w:r>
          </w:p>
        </w:tc>
      </w:tr>
      <w:tr w:rsidR="0060496C" w:rsidRPr="0060496C" w:rsidTr="002B620B">
        <w:trPr>
          <w:trHeight w:val="254"/>
        </w:trPr>
        <w:tc>
          <w:tcPr>
            <w:tcW w:w="3025" w:type="dxa"/>
            <w:tcBorders>
              <w:top w:val="nil"/>
              <w:left w:val="single" w:sz="4" w:space="0" w:color="auto"/>
              <w:bottom w:val="nil"/>
              <w:right w:val="nil"/>
            </w:tcBorders>
            <w:shd w:val="clear" w:color="auto" w:fill="auto"/>
            <w:noWrap/>
            <w:vAlign w:val="bottom"/>
            <w:hideMark/>
          </w:tcPr>
          <w:p w:rsidR="0060496C" w:rsidRPr="0060496C" w:rsidRDefault="0060496C" w:rsidP="0060496C">
            <w:pPr>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Химически вещества и продукти</w:t>
            </w:r>
          </w:p>
        </w:tc>
        <w:tc>
          <w:tcPr>
            <w:tcW w:w="939" w:type="dxa"/>
            <w:tcBorders>
              <w:top w:val="nil"/>
              <w:left w:val="single" w:sz="4" w:space="0" w:color="auto"/>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406,42</w:t>
            </w:r>
          </w:p>
        </w:tc>
        <w:tc>
          <w:tcPr>
            <w:tcW w:w="849"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6,5%</w:t>
            </w:r>
          </w:p>
        </w:tc>
        <w:tc>
          <w:tcPr>
            <w:tcW w:w="95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127,16</w:t>
            </w:r>
          </w:p>
        </w:tc>
        <w:tc>
          <w:tcPr>
            <w:tcW w:w="888"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490,57</w:t>
            </w:r>
          </w:p>
        </w:tc>
        <w:tc>
          <w:tcPr>
            <w:tcW w:w="850"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7,9%</w:t>
            </w:r>
          </w:p>
        </w:tc>
        <w:tc>
          <w:tcPr>
            <w:tcW w:w="100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149,76</w:t>
            </w:r>
          </w:p>
        </w:tc>
        <w:tc>
          <w:tcPr>
            <w:tcW w:w="91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-84,15</w:t>
            </w:r>
          </w:p>
        </w:tc>
        <w:tc>
          <w:tcPr>
            <w:tcW w:w="91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-22,60</w:t>
            </w:r>
          </w:p>
        </w:tc>
      </w:tr>
      <w:tr w:rsidR="0060496C" w:rsidRPr="0060496C" w:rsidTr="002B620B">
        <w:trPr>
          <w:trHeight w:val="254"/>
        </w:trPr>
        <w:tc>
          <w:tcPr>
            <w:tcW w:w="3025" w:type="dxa"/>
            <w:tcBorders>
              <w:top w:val="nil"/>
              <w:left w:val="single" w:sz="4" w:space="0" w:color="auto"/>
              <w:bottom w:val="nil"/>
              <w:right w:val="single" w:sz="4" w:space="0" w:color="auto"/>
            </w:tcBorders>
            <w:shd w:val="clear" w:color="auto" w:fill="auto"/>
            <w:noWrap/>
            <w:vAlign w:val="bottom"/>
            <w:hideMark/>
          </w:tcPr>
          <w:p w:rsidR="0060496C" w:rsidRPr="0060496C" w:rsidRDefault="0060496C" w:rsidP="0060496C">
            <w:pPr>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Хранителни продукти и фуражи</w:t>
            </w:r>
          </w:p>
        </w:tc>
        <w:tc>
          <w:tcPr>
            <w:tcW w:w="939" w:type="dxa"/>
            <w:tcBorders>
              <w:top w:val="nil"/>
              <w:left w:val="nil"/>
              <w:bottom w:val="nil"/>
              <w:right w:val="nil"/>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347,90</w:t>
            </w:r>
          </w:p>
        </w:tc>
        <w:tc>
          <w:tcPr>
            <w:tcW w:w="849" w:type="dxa"/>
            <w:tcBorders>
              <w:top w:val="nil"/>
              <w:left w:val="single" w:sz="4" w:space="0" w:color="auto"/>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5,6%</w:t>
            </w:r>
          </w:p>
        </w:tc>
        <w:tc>
          <w:tcPr>
            <w:tcW w:w="95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73,50</w:t>
            </w:r>
          </w:p>
        </w:tc>
        <w:tc>
          <w:tcPr>
            <w:tcW w:w="888"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423,62</w:t>
            </w:r>
          </w:p>
        </w:tc>
        <w:tc>
          <w:tcPr>
            <w:tcW w:w="850"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6,8%</w:t>
            </w:r>
          </w:p>
        </w:tc>
        <w:tc>
          <w:tcPr>
            <w:tcW w:w="100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94,69</w:t>
            </w:r>
          </w:p>
        </w:tc>
        <w:tc>
          <w:tcPr>
            <w:tcW w:w="91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-75,72</w:t>
            </w:r>
          </w:p>
        </w:tc>
        <w:tc>
          <w:tcPr>
            <w:tcW w:w="91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-21,19</w:t>
            </w:r>
          </w:p>
        </w:tc>
      </w:tr>
      <w:tr w:rsidR="0060496C" w:rsidRPr="0060496C" w:rsidTr="002B620B">
        <w:trPr>
          <w:trHeight w:val="254"/>
        </w:trPr>
        <w:tc>
          <w:tcPr>
            <w:tcW w:w="3025" w:type="dxa"/>
            <w:tcBorders>
              <w:top w:val="nil"/>
              <w:left w:val="single" w:sz="4" w:space="0" w:color="auto"/>
              <w:bottom w:val="nil"/>
              <w:right w:val="single" w:sz="4" w:space="0" w:color="auto"/>
            </w:tcBorders>
            <w:shd w:val="clear" w:color="auto" w:fill="auto"/>
            <w:noWrap/>
            <w:vAlign w:val="bottom"/>
            <w:hideMark/>
          </w:tcPr>
          <w:p w:rsidR="0060496C" w:rsidRPr="0060496C" w:rsidRDefault="0060496C" w:rsidP="0060496C">
            <w:pPr>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Торове</w:t>
            </w:r>
          </w:p>
        </w:tc>
        <w:tc>
          <w:tcPr>
            <w:tcW w:w="939" w:type="dxa"/>
            <w:tcBorders>
              <w:top w:val="nil"/>
              <w:left w:val="nil"/>
              <w:bottom w:val="nil"/>
              <w:right w:val="nil"/>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178,46</w:t>
            </w:r>
          </w:p>
        </w:tc>
        <w:tc>
          <w:tcPr>
            <w:tcW w:w="849" w:type="dxa"/>
            <w:tcBorders>
              <w:top w:val="nil"/>
              <w:left w:val="single" w:sz="4" w:space="0" w:color="auto"/>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2,9%</w:t>
            </w:r>
          </w:p>
        </w:tc>
        <w:tc>
          <w:tcPr>
            <w:tcW w:w="95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55,41</w:t>
            </w:r>
          </w:p>
        </w:tc>
        <w:tc>
          <w:tcPr>
            <w:tcW w:w="888"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127,77</w:t>
            </w:r>
          </w:p>
        </w:tc>
        <w:tc>
          <w:tcPr>
            <w:tcW w:w="850"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2,1%</w:t>
            </w:r>
          </w:p>
        </w:tc>
        <w:tc>
          <w:tcPr>
            <w:tcW w:w="100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36,82</w:t>
            </w:r>
          </w:p>
        </w:tc>
        <w:tc>
          <w:tcPr>
            <w:tcW w:w="912"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50,69</w:t>
            </w:r>
          </w:p>
        </w:tc>
        <w:tc>
          <w:tcPr>
            <w:tcW w:w="914" w:type="dxa"/>
            <w:tcBorders>
              <w:top w:val="nil"/>
              <w:left w:val="nil"/>
              <w:bottom w:val="nil"/>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18,58</w:t>
            </w:r>
          </w:p>
        </w:tc>
      </w:tr>
      <w:tr w:rsidR="0060496C" w:rsidRPr="0060496C" w:rsidTr="002B620B">
        <w:trPr>
          <w:trHeight w:val="254"/>
        </w:trPr>
        <w:tc>
          <w:tcPr>
            <w:tcW w:w="3025" w:type="dxa"/>
            <w:tcBorders>
              <w:top w:val="nil"/>
              <w:left w:val="single" w:sz="4" w:space="0" w:color="auto"/>
              <w:bottom w:val="single" w:sz="4" w:space="0" w:color="auto"/>
              <w:right w:val="single" w:sz="4" w:space="0" w:color="auto"/>
            </w:tcBorders>
            <w:shd w:val="clear" w:color="auto" w:fill="auto"/>
            <w:noWrap/>
            <w:vAlign w:val="bottom"/>
            <w:hideMark/>
          </w:tcPr>
          <w:p w:rsidR="0060496C" w:rsidRPr="0060496C" w:rsidRDefault="0060496C" w:rsidP="0060496C">
            <w:pPr>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Селскост.продукти и живи животни</w:t>
            </w:r>
          </w:p>
        </w:tc>
        <w:tc>
          <w:tcPr>
            <w:tcW w:w="939" w:type="dxa"/>
            <w:tcBorders>
              <w:top w:val="nil"/>
              <w:left w:val="nil"/>
              <w:bottom w:val="single" w:sz="4" w:space="0" w:color="auto"/>
              <w:right w:val="nil"/>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157,36</w:t>
            </w:r>
          </w:p>
        </w:tc>
        <w:tc>
          <w:tcPr>
            <w:tcW w:w="849" w:type="dxa"/>
            <w:tcBorders>
              <w:top w:val="nil"/>
              <w:left w:val="single" w:sz="4" w:space="0" w:color="auto"/>
              <w:bottom w:val="single" w:sz="4" w:space="0" w:color="auto"/>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2,5%</w:t>
            </w:r>
          </w:p>
        </w:tc>
        <w:tc>
          <w:tcPr>
            <w:tcW w:w="952" w:type="dxa"/>
            <w:tcBorders>
              <w:top w:val="nil"/>
              <w:left w:val="nil"/>
              <w:bottom w:val="single" w:sz="4" w:space="0" w:color="auto"/>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48,77</w:t>
            </w:r>
          </w:p>
        </w:tc>
        <w:tc>
          <w:tcPr>
            <w:tcW w:w="888" w:type="dxa"/>
            <w:tcBorders>
              <w:top w:val="nil"/>
              <w:left w:val="nil"/>
              <w:bottom w:val="single" w:sz="4" w:space="0" w:color="auto"/>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100,14</w:t>
            </w:r>
          </w:p>
        </w:tc>
        <w:tc>
          <w:tcPr>
            <w:tcW w:w="850" w:type="dxa"/>
            <w:tcBorders>
              <w:top w:val="nil"/>
              <w:left w:val="nil"/>
              <w:bottom w:val="single" w:sz="4" w:space="0" w:color="auto"/>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1,6%</w:t>
            </w:r>
          </w:p>
        </w:tc>
        <w:tc>
          <w:tcPr>
            <w:tcW w:w="1004" w:type="dxa"/>
            <w:tcBorders>
              <w:top w:val="nil"/>
              <w:left w:val="nil"/>
              <w:bottom w:val="single" w:sz="4" w:space="0" w:color="auto"/>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23,62</w:t>
            </w:r>
          </w:p>
        </w:tc>
        <w:tc>
          <w:tcPr>
            <w:tcW w:w="912" w:type="dxa"/>
            <w:tcBorders>
              <w:top w:val="nil"/>
              <w:left w:val="nil"/>
              <w:bottom w:val="single" w:sz="4" w:space="0" w:color="auto"/>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57,22</w:t>
            </w:r>
          </w:p>
        </w:tc>
        <w:tc>
          <w:tcPr>
            <w:tcW w:w="914" w:type="dxa"/>
            <w:tcBorders>
              <w:top w:val="nil"/>
              <w:left w:val="nil"/>
              <w:bottom w:val="single" w:sz="4" w:space="0" w:color="auto"/>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color w:val="000000"/>
                <w:sz w:val="18"/>
                <w:szCs w:val="18"/>
                <w:lang w:eastAsia="bg-BG"/>
              </w:rPr>
            </w:pPr>
            <w:r w:rsidRPr="0060496C">
              <w:rPr>
                <w:rFonts w:ascii="Calibri" w:eastAsia="Times New Roman" w:hAnsi="Calibri" w:cs="Calibri"/>
                <w:color w:val="000000"/>
                <w:sz w:val="18"/>
                <w:szCs w:val="18"/>
                <w:lang w:eastAsia="bg-BG"/>
              </w:rPr>
              <w:t>25,15</w:t>
            </w:r>
          </w:p>
        </w:tc>
      </w:tr>
      <w:tr w:rsidR="0060496C" w:rsidRPr="0060496C" w:rsidTr="002B620B">
        <w:trPr>
          <w:trHeight w:val="266"/>
        </w:trPr>
        <w:tc>
          <w:tcPr>
            <w:tcW w:w="3025" w:type="dxa"/>
            <w:tcBorders>
              <w:top w:val="nil"/>
              <w:left w:val="single" w:sz="4" w:space="0" w:color="auto"/>
              <w:bottom w:val="double" w:sz="6" w:space="0" w:color="auto"/>
              <w:right w:val="single" w:sz="4" w:space="0" w:color="auto"/>
            </w:tcBorders>
            <w:shd w:val="clear" w:color="auto" w:fill="auto"/>
            <w:noWrap/>
            <w:vAlign w:val="bottom"/>
            <w:hideMark/>
          </w:tcPr>
          <w:p w:rsidR="0060496C" w:rsidRPr="0060496C" w:rsidRDefault="0060496C" w:rsidP="0060496C">
            <w:pPr>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Общо</w:t>
            </w:r>
          </w:p>
        </w:tc>
        <w:tc>
          <w:tcPr>
            <w:tcW w:w="939" w:type="dxa"/>
            <w:tcBorders>
              <w:top w:val="nil"/>
              <w:left w:val="nil"/>
              <w:bottom w:val="double" w:sz="6" w:space="0" w:color="auto"/>
              <w:right w:val="nil"/>
            </w:tcBorders>
            <w:shd w:val="clear" w:color="auto" w:fill="auto"/>
            <w:noWrap/>
            <w:vAlign w:val="bottom"/>
            <w:hideMark/>
          </w:tcPr>
          <w:p w:rsidR="0060496C" w:rsidRPr="0060496C" w:rsidRDefault="0060496C" w:rsidP="0060496C">
            <w:pPr>
              <w:jc w:val="right"/>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6 230,14</w:t>
            </w:r>
          </w:p>
        </w:tc>
        <w:tc>
          <w:tcPr>
            <w:tcW w:w="849" w:type="dxa"/>
            <w:tcBorders>
              <w:top w:val="nil"/>
              <w:left w:val="single" w:sz="4" w:space="0" w:color="auto"/>
              <w:bottom w:val="double" w:sz="6" w:space="0" w:color="auto"/>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100,0%</w:t>
            </w:r>
          </w:p>
        </w:tc>
        <w:tc>
          <w:tcPr>
            <w:tcW w:w="952" w:type="dxa"/>
            <w:tcBorders>
              <w:top w:val="nil"/>
              <w:left w:val="nil"/>
              <w:bottom w:val="double" w:sz="6" w:space="0" w:color="auto"/>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1 631,823</w:t>
            </w:r>
          </w:p>
        </w:tc>
        <w:tc>
          <w:tcPr>
            <w:tcW w:w="888" w:type="dxa"/>
            <w:tcBorders>
              <w:top w:val="nil"/>
              <w:left w:val="nil"/>
              <w:bottom w:val="double" w:sz="6" w:space="0" w:color="auto"/>
              <w:right w:val="nil"/>
            </w:tcBorders>
            <w:shd w:val="clear" w:color="auto" w:fill="auto"/>
            <w:noWrap/>
            <w:vAlign w:val="bottom"/>
            <w:hideMark/>
          </w:tcPr>
          <w:p w:rsidR="0060496C" w:rsidRPr="0060496C" w:rsidRDefault="0060496C" w:rsidP="0060496C">
            <w:pPr>
              <w:jc w:val="right"/>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6 201,13</w:t>
            </w:r>
          </w:p>
        </w:tc>
        <w:tc>
          <w:tcPr>
            <w:tcW w:w="850" w:type="dxa"/>
            <w:tcBorders>
              <w:top w:val="nil"/>
              <w:left w:val="single" w:sz="4" w:space="0" w:color="auto"/>
              <w:bottom w:val="double" w:sz="6" w:space="0" w:color="auto"/>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100,0%</w:t>
            </w:r>
          </w:p>
        </w:tc>
        <w:tc>
          <w:tcPr>
            <w:tcW w:w="1004" w:type="dxa"/>
            <w:tcBorders>
              <w:top w:val="nil"/>
              <w:left w:val="nil"/>
              <w:bottom w:val="double" w:sz="6" w:space="0" w:color="auto"/>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1 573,37</w:t>
            </w:r>
          </w:p>
        </w:tc>
        <w:tc>
          <w:tcPr>
            <w:tcW w:w="912" w:type="dxa"/>
            <w:tcBorders>
              <w:top w:val="nil"/>
              <w:left w:val="nil"/>
              <w:bottom w:val="double" w:sz="6" w:space="0" w:color="auto"/>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29,01</w:t>
            </w:r>
          </w:p>
        </w:tc>
        <w:tc>
          <w:tcPr>
            <w:tcW w:w="914" w:type="dxa"/>
            <w:tcBorders>
              <w:top w:val="nil"/>
              <w:left w:val="nil"/>
              <w:bottom w:val="double" w:sz="6" w:space="0" w:color="auto"/>
              <w:right w:val="single" w:sz="4" w:space="0" w:color="auto"/>
            </w:tcBorders>
            <w:shd w:val="clear" w:color="auto" w:fill="auto"/>
            <w:noWrap/>
            <w:vAlign w:val="bottom"/>
            <w:hideMark/>
          </w:tcPr>
          <w:p w:rsidR="0060496C" w:rsidRPr="0060496C" w:rsidRDefault="0060496C" w:rsidP="0060496C">
            <w:pPr>
              <w:jc w:val="right"/>
              <w:rPr>
                <w:rFonts w:ascii="Calibri" w:eastAsia="Times New Roman" w:hAnsi="Calibri" w:cs="Calibri"/>
                <w:b/>
                <w:bCs/>
                <w:color w:val="000000"/>
                <w:sz w:val="18"/>
                <w:szCs w:val="18"/>
                <w:lang w:eastAsia="bg-BG"/>
              </w:rPr>
            </w:pPr>
            <w:r w:rsidRPr="0060496C">
              <w:rPr>
                <w:rFonts w:ascii="Calibri" w:eastAsia="Times New Roman" w:hAnsi="Calibri" w:cs="Calibri"/>
                <w:b/>
                <w:bCs/>
                <w:color w:val="000000"/>
                <w:sz w:val="18"/>
                <w:szCs w:val="18"/>
                <w:lang w:eastAsia="bg-BG"/>
              </w:rPr>
              <w:t>58,45</w:t>
            </w:r>
          </w:p>
        </w:tc>
      </w:tr>
    </w:tbl>
    <w:p w:rsidR="0060496C" w:rsidRPr="005A290B" w:rsidRDefault="0060496C" w:rsidP="00F7536F">
      <w:pPr>
        <w:jc w:val="both"/>
      </w:pPr>
    </w:p>
    <w:p w:rsidR="00F7536F" w:rsidRPr="005A290B" w:rsidRDefault="00F7536F" w:rsidP="00F7536F">
      <w:pPr>
        <w:pStyle w:val="BodyText"/>
        <w:jc w:val="both"/>
        <w:rPr>
          <w:sz w:val="24"/>
        </w:rPr>
      </w:pPr>
      <w:r w:rsidRPr="005A290B">
        <w:rPr>
          <w:sz w:val="24"/>
        </w:rPr>
        <w:t xml:space="preserve">По Единната номенклатура на товарите, през 2017 г., в сравнение </w:t>
      </w:r>
      <w:r w:rsidR="005A290B" w:rsidRPr="005A290B">
        <w:rPr>
          <w:sz w:val="24"/>
        </w:rPr>
        <w:t xml:space="preserve">с </w:t>
      </w:r>
      <w:r w:rsidRPr="005A290B">
        <w:rPr>
          <w:sz w:val="24"/>
        </w:rPr>
        <w:t xml:space="preserve">предходната година се отчита </w:t>
      </w:r>
      <w:r w:rsidRPr="005A290B">
        <w:rPr>
          <w:b/>
          <w:sz w:val="24"/>
        </w:rPr>
        <w:t xml:space="preserve">увеличение </w:t>
      </w:r>
      <w:r w:rsidRPr="005A290B">
        <w:rPr>
          <w:sz w:val="24"/>
        </w:rPr>
        <w:t>при:</w:t>
      </w:r>
    </w:p>
    <w:p w:rsidR="00F7536F" w:rsidRPr="00A060FF" w:rsidRDefault="00F7536F" w:rsidP="00F7536F">
      <w:pPr>
        <w:pStyle w:val="BodyText"/>
        <w:numPr>
          <w:ilvl w:val="0"/>
          <w:numId w:val="9"/>
        </w:numPr>
        <w:ind w:left="284" w:firstLine="0"/>
        <w:jc w:val="both"/>
        <w:rPr>
          <w:sz w:val="24"/>
        </w:rPr>
      </w:pPr>
      <w:r w:rsidRPr="00A060FF">
        <w:rPr>
          <w:sz w:val="24"/>
        </w:rPr>
        <w:t xml:space="preserve">нефт и нефтопродукти с </w:t>
      </w:r>
      <w:r w:rsidR="00A060FF" w:rsidRPr="00A060FF">
        <w:rPr>
          <w:sz w:val="24"/>
        </w:rPr>
        <w:t>506,19</w:t>
      </w:r>
      <w:r w:rsidRPr="00A060FF">
        <w:rPr>
          <w:sz w:val="24"/>
        </w:rPr>
        <w:t xml:space="preserve"> хил. тона;</w:t>
      </w:r>
    </w:p>
    <w:p w:rsidR="00F7536F" w:rsidRPr="00A060FF" w:rsidRDefault="00F7536F" w:rsidP="00F7536F">
      <w:pPr>
        <w:pStyle w:val="BodyText"/>
        <w:numPr>
          <w:ilvl w:val="0"/>
          <w:numId w:val="9"/>
        </w:numPr>
        <w:ind w:left="284" w:firstLine="0"/>
        <w:jc w:val="both"/>
        <w:rPr>
          <w:sz w:val="24"/>
        </w:rPr>
      </w:pPr>
      <w:r w:rsidRPr="00A060FF">
        <w:rPr>
          <w:sz w:val="24"/>
        </w:rPr>
        <w:t>руди и метални отпадъци с 35</w:t>
      </w:r>
      <w:r w:rsidR="00A060FF" w:rsidRPr="00A060FF">
        <w:rPr>
          <w:sz w:val="24"/>
        </w:rPr>
        <w:t>2</w:t>
      </w:r>
      <w:r w:rsidRPr="00A060FF">
        <w:rPr>
          <w:sz w:val="24"/>
        </w:rPr>
        <w:t>,</w:t>
      </w:r>
      <w:r w:rsidR="00A060FF" w:rsidRPr="00A060FF">
        <w:rPr>
          <w:sz w:val="24"/>
        </w:rPr>
        <w:t>78</w:t>
      </w:r>
      <w:r w:rsidRPr="00A060FF">
        <w:rPr>
          <w:sz w:val="24"/>
        </w:rPr>
        <w:t xml:space="preserve"> хил. тона;</w:t>
      </w:r>
    </w:p>
    <w:p w:rsidR="00F7536F" w:rsidRPr="00EE5AD8" w:rsidRDefault="00F7536F" w:rsidP="00F7536F">
      <w:pPr>
        <w:pStyle w:val="BodyText"/>
        <w:numPr>
          <w:ilvl w:val="0"/>
          <w:numId w:val="9"/>
        </w:numPr>
        <w:ind w:left="284" w:firstLine="0"/>
        <w:jc w:val="both"/>
        <w:rPr>
          <w:sz w:val="24"/>
        </w:rPr>
      </w:pPr>
      <w:r w:rsidRPr="00EE5AD8">
        <w:rPr>
          <w:sz w:val="24"/>
        </w:rPr>
        <w:t>обработени и необработени нерудни суровини със 19</w:t>
      </w:r>
      <w:r w:rsidR="00A060FF" w:rsidRPr="00EE5AD8">
        <w:rPr>
          <w:sz w:val="24"/>
        </w:rPr>
        <w:t>6,11</w:t>
      </w:r>
      <w:r w:rsidRPr="00EE5AD8">
        <w:rPr>
          <w:sz w:val="24"/>
        </w:rPr>
        <w:t xml:space="preserve"> хил. тона;</w:t>
      </w:r>
    </w:p>
    <w:p w:rsidR="00F7536F" w:rsidRPr="00EE5AD8" w:rsidRDefault="00F7536F" w:rsidP="00F7536F">
      <w:pPr>
        <w:pStyle w:val="BodyText"/>
        <w:numPr>
          <w:ilvl w:val="0"/>
          <w:numId w:val="9"/>
        </w:numPr>
        <w:ind w:left="284" w:firstLine="0"/>
        <w:jc w:val="both"/>
        <w:rPr>
          <w:sz w:val="24"/>
        </w:rPr>
      </w:pPr>
      <w:r w:rsidRPr="00EE5AD8">
        <w:rPr>
          <w:sz w:val="24"/>
        </w:rPr>
        <w:t>селскостопански продукти и живи животни с 57,</w:t>
      </w:r>
      <w:r w:rsidR="00A060FF" w:rsidRPr="00EE5AD8">
        <w:rPr>
          <w:sz w:val="24"/>
        </w:rPr>
        <w:t>22</w:t>
      </w:r>
      <w:r w:rsidRPr="00EE5AD8">
        <w:rPr>
          <w:sz w:val="24"/>
        </w:rPr>
        <w:t xml:space="preserve"> хил.тона;</w:t>
      </w:r>
    </w:p>
    <w:p w:rsidR="00A060FF" w:rsidRPr="00EE5AD8" w:rsidRDefault="00A060FF" w:rsidP="00F7536F">
      <w:pPr>
        <w:pStyle w:val="BodyText"/>
        <w:numPr>
          <w:ilvl w:val="0"/>
          <w:numId w:val="9"/>
        </w:numPr>
        <w:ind w:left="284" w:firstLine="0"/>
        <w:jc w:val="both"/>
        <w:rPr>
          <w:sz w:val="24"/>
        </w:rPr>
      </w:pPr>
      <w:r w:rsidRPr="00EE5AD8">
        <w:rPr>
          <w:sz w:val="24"/>
        </w:rPr>
        <w:t>торове с 50,69 хил. тона;</w:t>
      </w:r>
    </w:p>
    <w:p w:rsidR="00F7536F" w:rsidRPr="00EE5AD8" w:rsidRDefault="00F7536F" w:rsidP="00F7536F">
      <w:pPr>
        <w:pStyle w:val="BodyText"/>
        <w:numPr>
          <w:ilvl w:val="0"/>
          <w:numId w:val="9"/>
        </w:numPr>
        <w:ind w:left="284" w:firstLine="0"/>
        <w:jc w:val="both"/>
        <w:rPr>
          <w:sz w:val="24"/>
        </w:rPr>
      </w:pPr>
      <w:r w:rsidRPr="00EE5AD8">
        <w:rPr>
          <w:sz w:val="24"/>
        </w:rPr>
        <w:t xml:space="preserve">изделия на черна и цветна металургия с </w:t>
      </w:r>
      <w:r w:rsidR="00A060FF" w:rsidRPr="00EE5AD8">
        <w:rPr>
          <w:sz w:val="24"/>
        </w:rPr>
        <w:t>47,14</w:t>
      </w:r>
      <w:r w:rsidRPr="00EE5AD8">
        <w:rPr>
          <w:sz w:val="24"/>
        </w:rPr>
        <w:t xml:space="preserve"> хил. тона</w:t>
      </w:r>
      <w:r w:rsidR="00EE5AD8" w:rsidRPr="00EE5AD8">
        <w:rPr>
          <w:sz w:val="24"/>
        </w:rPr>
        <w:t>.</w:t>
      </w:r>
    </w:p>
    <w:p w:rsidR="00F7536F" w:rsidRPr="00353032" w:rsidRDefault="00F7536F" w:rsidP="00F7536F">
      <w:pPr>
        <w:pStyle w:val="BodyText"/>
        <w:ind w:left="284"/>
        <w:jc w:val="both"/>
        <w:rPr>
          <w:b/>
          <w:sz w:val="24"/>
          <w:highlight w:val="yellow"/>
        </w:rPr>
      </w:pPr>
    </w:p>
    <w:p w:rsidR="00F7536F" w:rsidRPr="00785DD7" w:rsidRDefault="00F7536F" w:rsidP="00F7536F">
      <w:pPr>
        <w:pStyle w:val="BodyText"/>
        <w:ind w:left="284"/>
        <w:jc w:val="both"/>
        <w:rPr>
          <w:sz w:val="24"/>
        </w:rPr>
      </w:pPr>
      <w:r w:rsidRPr="00785DD7">
        <w:rPr>
          <w:b/>
          <w:sz w:val="24"/>
        </w:rPr>
        <w:t xml:space="preserve">Намаление </w:t>
      </w:r>
      <w:r w:rsidRPr="00785DD7">
        <w:rPr>
          <w:sz w:val="24"/>
        </w:rPr>
        <w:t>на превозения обем товари се констатира при:</w:t>
      </w:r>
    </w:p>
    <w:p w:rsidR="00F7536F" w:rsidRPr="00785DD7" w:rsidRDefault="00F7536F" w:rsidP="00F7536F">
      <w:pPr>
        <w:pStyle w:val="BodyText"/>
        <w:numPr>
          <w:ilvl w:val="0"/>
          <w:numId w:val="9"/>
        </w:numPr>
        <w:ind w:left="284" w:firstLine="0"/>
        <w:jc w:val="both"/>
        <w:rPr>
          <w:sz w:val="24"/>
        </w:rPr>
      </w:pPr>
      <w:r w:rsidRPr="00785DD7">
        <w:rPr>
          <w:sz w:val="24"/>
        </w:rPr>
        <w:t>твърди минерални горива с 8</w:t>
      </w:r>
      <w:r w:rsidR="000F5F44" w:rsidRPr="00785DD7">
        <w:rPr>
          <w:sz w:val="24"/>
        </w:rPr>
        <w:t>46,27</w:t>
      </w:r>
      <w:r w:rsidRPr="00785DD7">
        <w:rPr>
          <w:sz w:val="24"/>
        </w:rPr>
        <w:t xml:space="preserve"> хил.тона;</w:t>
      </w:r>
    </w:p>
    <w:p w:rsidR="00F7536F" w:rsidRPr="00785DD7" w:rsidRDefault="00F7536F" w:rsidP="00F7536F">
      <w:pPr>
        <w:pStyle w:val="BodyText"/>
        <w:numPr>
          <w:ilvl w:val="0"/>
          <w:numId w:val="9"/>
        </w:numPr>
        <w:ind w:left="284" w:firstLine="0"/>
        <w:jc w:val="both"/>
        <w:rPr>
          <w:sz w:val="24"/>
        </w:rPr>
      </w:pPr>
      <w:r w:rsidRPr="00785DD7">
        <w:rPr>
          <w:sz w:val="24"/>
        </w:rPr>
        <w:t>машини, трансп. средства, фабр. изделия със 1</w:t>
      </w:r>
      <w:r w:rsidR="000F5F44" w:rsidRPr="00785DD7">
        <w:rPr>
          <w:sz w:val="24"/>
        </w:rPr>
        <w:t>74,98</w:t>
      </w:r>
      <w:r w:rsidRPr="00785DD7">
        <w:rPr>
          <w:sz w:val="24"/>
        </w:rPr>
        <w:t xml:space="preserve"> хил.тона;</w:t>
      </w:r>
    </w:p>
    <w:p w:rsidR="00F7536F" w:rsidRPr="00785DD7" w:rsidRDefault="00F7536F" w:rsidP="00F7536F">
      <w:pPr>
        <w:pStyle w:val="BodyText"/>
        <w:numPr>
          <w:ilvl w:val="0"/>
          <w:numId w:val="9"/>
        </w:numPr>
        <w:ind w:left="284" w:firstLine="0"/>
        <w:jc w:val="both"/>
        <w:rPr>
          <w:sz w:val="24"/>
        </w:rPr>
      </w:pPr>
      <w:r w:rsidRPr="00785DD7">
        <w:rPr>
          <w:sz w:val="24"/>
        </w:rPr>
        <w:t>химични вещества и продукти с 8</w:t>
      </w:r>
      <w:r w:rsidR="000F5F44" w:rsidRPr="00785DD7">
        <w:rPr>
          <w:sz w:val="24"/>
        </w:rPr>
        <w:t>4,15</w:t>
      </w:r>
      <w:r w:rsidRPr="00785DD7">
        <w:rPr>
          <w:sz w:val="24"/>
        </w:rPr>
        <w:t xml:space="preserve"> хил. тона;</w:t>
      </w:r>
    </w:p>
    <w:p w:rsidR="00F7536F" w:rsidRPr="00785DD7" w:rsidRDefault="00F7536F" w:rsidP="00F7536F">
      <w:pPr>
        <w:pStyle w:val="BodyText"/>
        <w:numPr>
          <w:ilvl w:val="0"/>
          <w:numId w:val="9"/>
        </w:numPr>
        <w:ind w:left="284" w:firstLine="0"/>
        <w:jc w:val="both"/>
        <w:rPr>
          <w:sz w:val="24"/>
        </w:rPr>
      </w:pPr>
      <w:r w:rsidRPr="00785DD7">
        <w:rPr>
          <w:sz w:val="24"/>
        </w:rPr>
        <w:t>хранителни продукти и фуражи със 7</w:t>
      </w:r>
      <w:r w:rsidR="000F5F44" w:rsidRPr="00785DD7">
        <w:rPr>
          <w:sz w:val="24"/>
        </w:rPr>
        <w:t xml:space="preserve">5,72 </w:t>
      </w:r>
      <w:r w:rsidRPr="00785DD7">
        <w:rPr>
          <w:sz w:val="24"/>
        </w:rPr>
        <w:t>хил. тона.</w:t>
      </w:r>
    </w:p>
    <w:p w:rsidR="00F7536F" w:rsidRPr="00353032" w:rsidRDefault="00F7536F" w:rsidP="00F7536F">
      <w:pPr>
        <w:pStyle w:val="BodyText"/>
        <w:jc w:val="both"/>
        <w:rPr>
          <w:sz w:val="24"/>
          <w:highlight w:val="yellow"/>
        </w:rPr>
      </w:pPr>
    </w:p>
    <w:p w:rsidR="000E1500" w:rsidRDefault="000E1500" w:rsidP="00F7536F">
      <w:pPr>
        <w:pStyle w:val="BodyText"/>
        <w:jc w:val="both"/>
        <w:rPr>
          <w:sz w:val="24"/>
        </w:rPr>
      </w:pPr>
    </w:p>
    <w:p w:rsidR="00F7536F" w:rsidRDefault="00F7536F" w:rsidP="00F7536F">
      <w:pPr>
        <w:pStyle w:val="BodyText"/>
        <w:jc w:val="both"/>
        <w:rPr>
          <w:sz w:val="24"/>
        </w:rPr>
      </w:pPr>
      <w:r w:rsidRPr="0060496C">
        <w:rPr>
          <w:sz w:val="24"/>
        </w:rPr>
        <w:t>На графиката са показани превозите по вид товар за 2017 и 2016 година.</w:t>
      </w:r>
    </w:p>
    <w:p w:rsidR="000E1500" w:rsidRPr="0060496C" w:rsidRDefault="000E1500" w:rsidP="00F7536F">
      <w:pPr>
        <w:pStyle w:val="BodyText"/>
        <w:jc w:val="both"/>
        <w:rPr>
          <w:sz w:val="24"/>
        </w:rPr>
      </w:pPr>
    </w:p>
    <w:p w:rsidR="00F7536F" w:rsidRPr="00353032" w:rsidRDefault="0060496C" w:rsidP="00F7536F">
      <w:pPr>
        <w:pStyle w:val="BodyText"/>
        <w:jc w:val="both"/>
        <w:rPr>
          <w:sz w:val="24"/>
          <w:highlight w:val="yellow"/>
        </w:rPr>
      </w:pPr>
      <w:r w:rsidRPr="0060496C">
        <w:rPr>
          <w:noProof/>
          <w:sz w:val="24"/>
          <w:bdr w:val="single" w:sz="4" w:space="0" w:color="auto"/>
          <w:lang w:eastAsia="bg-BG"/>
        </w:rPr>
        <w:drawing>
          <wp:inline distT="0" distB="0" distL="0" distR="0">
            <wp:extent cx="6353175" cy="3038475"/>
            <wp:effectExtent l="19050" t="0" r="9525"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F7536F" w:rsidRPr="00353032" w:rsidRDefault="00F7536F" w:rsidP="000E1500">
      <w:pPr>
        <w:pStyle w:val="BodyText"/>
        <w:spacing w:after="120"/>
        <w:jc w:val="both"/>
        <w:rPr>
          <w:sz w:val="24"/>
          <w:highlight w:val="yellow"/>
        </w:rPr>
      </w:pPr>
    </w:p>
    <w:p w:rsidR="00F7536F" w:rsidRDefault="00F7536F" w:rsidP="000E1500">
      <w:pPr>
        <w:pStyle w:val="BodyText"/>
        <w:spacing w:after="120"/>
        <w:jc w:val="both"/>
        <w:rPr>
          <w:sz w:val="24"/>
        </w:rPr>
      </w:pPr>
      <w:r w:rsidRPr="00935180">
        <w:rPr>
          <w:sz w:val="24"/>
        </w:rPr>
        <w:t xml:space="preserve">Превозените товари </w:t>
      </w:r>
      <w:r w:rsidRPr="00935180">
        <w:rPr>
          <w:b/>
          <w:sz w:val="24"/>
        </w:rPr>
        <w:t>по вид съобщение</w:t>
      </w:r>
      <w:r w:rsidRPr="00935180">
        <w:rPr>
          <w:sz w:val="24"/>
        </w:rPr>
        <w:t xml:space="preserve"> за 2017 г., сравнени с бизнес плана и отчета за предходната година са отразени в следната таблица:</w:t>
      </w:r>
    </w:p>
    <w:tbl>
      <w:tblPr>
        <w:tblW w:w="10097" w:type="dxa"/>
        <w:tblInd w:w="55" w:type="dxa"/>
        <w:tblCellMar>
          <w:left w:w="70" w:type="dxa"/>
          <w:right w:w="70" w:type="dxa"/>
        </w:tblCellMar>
        <w:tblLook w:val="04A0" w:firstRow="1" w:lastRow="0" w:firstColumn="1" w:lastColumn="0" w:noHBand="0" w:noVBand="1"/>
      </w:tblPr>
      <w:tblGrid>
        <w:gridCol w:w="2426"/>
        <w:gridCol w:w="797"/>
        <w:gridCol w:w="982"/>
        <w:gridCol w:w="982"/>
        <w:gridCol w:w="982"/>
        <w:gridCol w:w="982"/>
        <w:gridCol w:w="982"/>
        <w:gridCol w:w="982"/>
        <w:gridCol w:w="982"/>
      </w:tblGrid>
      <w:tr w:rsidR="00C17E2D" w:rsidRPr="00C17E2D" w:rsidTr="000E1500">
        <w:trPr>
          <w:trHeight w:val="832"/>
        </w:trPr>
        <w:tc>
          <w:tcPr>
            <w:tcW w:w="2426" w:type="dxa"/>
            <w:tcBorders>
              <w:top w:val="single" w:sz="4" w:space="0" w:color="auto"/>
              <w:left w:val="single" w:sz="4" w:space="0" w:color="auto"/>
              <w:bottom w:val="double" w:sz="6" w:space="0" w:color="auto"/>
              <w:right w:val="single" w:sz="4" w:space="0" w:color="auto"/>
            </w:tcBorders>
            <w:shd w:val="clear" w:color="auto" w:fill="auto"/>
            <w:hideMark/>
          </w:tcPr>
          <w:p w:rsidR="00C17E2D" w:rsidRPr="00C17E2D" w:rsidRDefault="00C17E2D" w:rsidP="00C17E2D">
            <w:pPr>
              <w:jc w:val="center"/>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показатели</w:t>
            </w:r>
          </w:p>
        </w:tc>
        <w:tc>
          <w:tcPr>
            <w:tcW w:w="797" w:type="dxa"/>
            <w:tcBorders>
              <w:top w:val="single" w:sz="4" w:space="0" w:color="auto"/>
              <w:left w:val="nil"/>
              <w:bottom w:val="double" w:sz="6" w:space="0" w:color="auto"/>
              <w:right w:val="single" w:sz="4" w:space="0" w:color="auto"/>
            </w:tcBorders>
            <w:shd w:val="clear" w:color="auto" w:fill="auto"/>
            <w:hideMark/>
          </w:tcPr>
          <w:p w:rsidR="00C17E2D" w:rsidRPr="00C17E2D" w:rsidRDefault="00C17E2D" w:rsidP="00C17E2D">
            <w:pPr>
              <w:jc w:val="center"/>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мярка</w:t>
            </w:r>
          </w:p>
        </w:tc>
        <w:tc>
          <w:tcPr>
            <w:tcW w:w="982" w:type="dxa"/>
            <w:tcBorders>
              <w:top w:val="single" w:sz="4" w:space="0" w:color="auto"/>
              <w:left w:val="nil"/>
              <w:bottom w:val="double" w:sz="6" w:space="0" w:color="auto"/>
              <w:right w:val="single" w:sz="4" w:space="0" w:color="auto"/>
            </w:tcBorders>
            <w:shd w:val="clear" w:color="auto" w:fill="auto"/>
            <w:hideMark/>
          </w:tcPr>
          <w:p w:rsidR="00C17E2D" w:rsidRPr="00C17E2D" w:rsidRDefault="00C17E2D" w:rsidP="00C17E2D">
            <w:pPr>
              <w:jc w:val="center"/>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 xml:space="preserve">отчет 2017 г. </w:t>
            </w:r>
          </w:p>
        </w:tc>
        <w:tc>
          <w:tcPr>
            <w:tcW w:w="982" w:type="dxa"/>
            <w:tcBorders>
              <w:top w:val="single" w:sz="4" w:space="0" w:color="auto"/>
              <w:left w:val="nil"/>
              <w:bottom w:val="double" w:sz="6" w:space="0" w:color="auto"/>
              <w:right w:val="single" w:sz="4" w:space="0" w:color="auto"/>
            </w:tcBorders>
            <w:shd w:val="clear" w:color="auto" w:fill="auto"/>
            <w:hideMark/>
          </w:tcPr>
          <w:p w:rsidR="00C17E2D" w:rsidRPr="00C17E2D" w:rsidRDefault="00C17E2D" w:rsidP="00C17E2D">
            <w:pPr>
              <w:jc w:val="center"/>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 xml:space="preserve">план  2017 г. </w:t>
            </w:r>
          </w:p>
        </w:tc>
        <w:tc>
          <w:tcPr>
            <w:tcW w:w="982" w:type="dxa"/>
            <w:tcBorders>
              <w:top w:val="single" w:sz="4" w:space="0" w:color="auto"/>
              <w:left w:val="nil"/>
              <w:bottom w:val="double" w:sz="6" w:space="0" w:color="auto"/>
              <w:right w:val="single" w:sz="4" w:space="0" w:color="auto"/>
            </w:tcBorders>
            <w:shd w:val="clear" w:color="auto" w:fill="auto"/>
            <w:hideMark/>
          </w:tcPr>
          <w:p w:rsidR="00C17E2D" w:rsidRPr="00C17E2D" w:rsidRDefault="00C17E2D" w:rsidP="00C17E2D">
            <w:pPr>
              <w:jc w:val="center"/>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 xml:space="preserve">отчет 2016 г. </w:t>
            </w:r>
          </w:p>
        </w:tc>
        <w:tc>
          <w:tcPr>
            <w:tcW w:w="982" w:type="dxa"/>
            <w:tcBorders>
              <w:top w:val="single" w:sz="4" w:space="0" w:color="auto"/>
              <w:left w:val="nil"/>
              <w:bottom w:val="double" w:sz="6" w:space="0" w:color="auto"/>
              <w:right w:val="single" w:sz="4" w:space="0" w:color="auto"/>
            </w:tcBorders>
            <w:shd w:val="clear" w:color="auto" w:fill="auto"/>
            <w:hideMark/>
          </w:tcPr>
          <w:p w:rsidR="00C17E2D" w:rsidRPr="00C17E2D" w:rsidRDefault="00C17E2D" w:rsidP="00C17E2D">
            <w:pPr>
              <w:jc w:val="center"/>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разлика отчет  (2017-2016г.)</w:t>
            </w:r>
          </w:p>
        </w:tc>
        <w:tc>
          <w:tcPr>
            <w:tcW w:w="982" w:type="dxa"/>
            <w:tcBorders>
              <w:top w:val="single" w:sz="4" w:space="0" w:color="auto"/>
              <w:left w:val="nil"/>
              <w:bottom w:val="double" w:sz="6" w:space="0" w:color="auto"/>
              <w:right w:val="single" w:sz="4" w:space="0" w:color="auto"/>
            </w:tcBorders>
            <w:shd w:val="clear" w:color="auto" w:fill="auto"/>
            <w:hideMark/>
          </w:tcPr>
          <w:p w:rsidR="00C17E2D" w:rsidRPr="00C17E2D" w:rsidRDefault="00C17E2D" w:rsidP="00C17E2D">
            <w:pPr>
              <w:jc w:val="center"/>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разлика отчет - план 2017 г.</w:t>
            </w:r>
          </w:p>
        </w:tc>
        <w:tc>
          <w:tcPr>
            <w:tcW w:w="982" w:type="dxa"/>
            <w:tcBorders>
              <w:top w:val="single" w:sz="4" w:space="0" w:color="auto"/>
              <w:left w:val="nil"/>
              <w:bottom w:val="double" w:sz="6" w:space="0" w:color="auto"/>
              <w:right w:val="single" w:sz="4" w:space="0" w:color="auto"/>
            </w:tcBorders>
            <w:shd w:val="clear" w:color="auto" w:fill="auto"/>
            <w:hideMark/>
          </w:tcPr>
          <w:p w:rsidR="00C17E2D" w:rsidRPr="00C17E2D" w:rsidRDefault="00C17E2D" w:rsidP="00C17E2D">
            <w:pPr>
              <w:jc w:val="center"/>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                  отчет 2017/2016 г.</w:t>
            </w:r>
          </w:p>
        </w:tc>
        <w:tc>
          <w:tcPr>
            <w:tcW w:w="982" w:type="dxa"/>
            <w:tcBorders>
              <w:top w:val="single" w:sz="4" w:space="0" w:color="auto"/>
              <w:left w:val="nil"/>
              <w:bottom w:val="double" w:sz="6" w:space="0" w:color="auto"/>
              <w:right w:val="single" w:sz="4" w:space="0" w:color="auto"/>
            </w:tcBorders>
            <w:shd w:val="clear" w:color="auto" w:fill="auto"/>
            <w:hideMark/>
          </w:tcPr>
          <w:p w:rsidR="00C17E2D" w:rsidRPr="00C17E2D" w:rsidRDefault="00C17E2D" w:rsidP="00C17E2D">
            <w:pPr>
              <w:jc w:val="center"/>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                  2017 г. отчет/ план</w:t>
            </w:r>
          </w:p>
        </w:tc>
      </w:tr>
      <w:tr w:rsidR="00C17E2D" w:rsidRPr="00C17E2D" w:rsidTr="000E1500">
        <w:trPr>
          <w:trHeight w:val="277"/>
        </w:trPr>
        <w:tc>
          <w:tcPr>
            <w:tcW w:w="2426" w:type="dxa"/>
            <w:tcBorders>
              <w:top w:val="nil"/>
              <w:left w:val="single" w:sz="4" w:space="0" w:color="auto"/>
              <w:bottom w:val="nil"/>
              <w:right w:val="single" w:sz="4" w:space="0" w:color="auto"/>
            </w:tcBorders>
            <w:shd w:val="clear" w:color="auto" w:fill="auto"/>
            <w:noWrap/>
            <w:vAlign w:val="bottom"/>
            <w:hideMark/>
          </w:tcPr>
          <w:p w:rsidR="00C17E2D" w:rsidRPr="00C17E2D" w:rsidRDefault="00C17E2D" w:rsidP="00C17E2D">
            <w:pPr>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превозени тонове, в т.ч.</w:t>
            </w:r>
          </w:p>
        </w:tc>
        <w:tc>
          <w:tcPr>
            <w:tcW w:w="797" w:type="dxa"/>
            <w:tcBorders>
              <w:top w:val="nil"/>
              <w:left w:val="nil"/>
              <w:bottom w:val="nil"/>
              <w:right w:val="single" w:sz="4" w:space="0" w:color="auto"/>
            </w:tcBorders>
            <w:shd w:val="clear" w:color="auto" w:fill="auto"/>
            <w:noWrap/>
            <w:vAlign w:val="center"/>
            <w:hideMark/>
          </w:tcPr>
          <w:p w:rsidR="00C17E2D" w:rsidRPr="00C17E2D" w:rsidRDefault="00C17E2D" w:rsidP="00C17E2D">
            <w:pPr>
              <w:jc w:val="center"/>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хил.т</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6 230,14</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5 900,45</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6 201,13</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29,01</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329,69</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0,47%</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5,59%</w:t>
            </w:r>
          </w:p>
        </w:tc>
      </w:tr>
      <w:tr w:rsidR="00C17E2D" w:rsidRPr="00C17E2D" w:rsidTr="000E1500">
        <w:trPr>
          <w:trHeight w:val="262"/>
        </w:trPr>
        <w:tc>
          <w:tcPr>
            <w:tcW w:w="2426" w:type="dxa"/>
            <w:tcBorders>
              <w:top w:val="nil"/>
              <w:left w:val="single" w:sz="4" w:space="0" w:color="auto"/>
              <w:bottom w:val="nil"/>
              <w:right w:val="single" w:sz="4" w:space="0" w:color="auto"/>
            </w:tcBorders>
            <w:shd w:val="clear" w:color="auto" w:fill="auto"/>
            <w:noWrap/>
            <w:vAlign w:val="bottom"/>
            <w:hideMark/>
          </w:tcPr>
          <w:p w:rsidR="00C17E2D" w:rsidRPr="00C17E2D" w:rsidRDefault="00C17E2D" w:rsidP="00C17E2D">
            <w:pPr>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вътрешно съобщение</w:t>
            </w:r>
          </w:p>
        </w:tc>
        <w:tc>
          <w:tcPr>
            <w:tcW w:w="797" w:type="dxa"/>
            <w:tcBorders>
              <w:top w:val="nil"/>
              <w:left w:val="nil"/>
              <w:bottom w:val="nil"/>
              <w:right w:val="single" w:sz="4" w:space="0" w:color="auto"/>
            </w:tcBorders>
            <w:shd w:val="clear" w:color="auto" w:fill="auto"/>
            <w:noWrap/>
            <w:vAlign w:val="center"/>
            <w:hideMark/>
          </w:tcPr>
          <w:p w:rsidR="00C17E2D" w:rsidRPr="00C17E2D" w:rsidRDefault="00C17E2D" w:rsidP="00C17E2D">
            <w:pPr>
              <w:jc w:val="center"/>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 </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3 843,63</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3 354,84</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3 924,84</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-81,21</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488,79</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-2,07%</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14,57%</w:t>
            </w:r>
          </w:p>
        </w:tc>
      </w:tr>
      <w:tr w:rsidR="00C17E2D" w:rsidRPr="00C17E2D" w:rsidTr="000E1500">
        <w:trPr>
          <w:trHeight w:val="262"/>
        </w:trPr>
        <w:tc>
          <w:tcPr>
            <w:tcW w:w="2426" w:type="dxa"/>
            <w:tcBorders>
              <w:top w:val="nil"/>
              <w:left w:val="single" w:sz="4" w:space="0" w:color="auto"/>
              <w:bottom w:val="nil"/>
              <w:right w:val="single" w:sz="4" w:space="0" w:color="auto"/>
            </w:tcBorders>
            <w:shd w:val="clear" w:color="auto" w:fill="auto"/>
            <w:noWrap/>
            <w:vAlign w:val="bottom"/>
            <w:hideMark/>
          </w:tcPr>
          <w:p w:rsidR="00C17E2D" w:rsidRPr="00C17E2D" w:rsidRDefault="00C17E2D" w:rsidP="00C17E2D">
            <w:pPr>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международно съобщение</w:t>
            </w:r>
          </w:p>
        </w:tc>
        <w:tc>
          <w:tcPr>
            <w:tcW w:w="797" w:type="dxa"/>
            <w:tcBorders>
              <w:top w:val="nil"/>
              <w:left w:val="nil"/>
              <w:bottom w:val="nil"/>
              <w:right w:val="single" w:sz="4" w:space="0" w:color="auto"/>
            </w:tcBorders>
            <w:shd w:val="clear" w:color="auto" w:fill="auto"/>
            <w:noWrap/>
            <w:vAlign w:val="center"/>
            <w:hideMark/>
          </w:tcPr>
          <w:p w:rsidR="00C17E2D" w:rsidRPr="00C17E2D" w:rsidRDefault="00C17E2D" w:rsidP="00C17E2D">
            <w:pPr>
              <w:jc w:val="center"/>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 </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2 386,51</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2 545,61</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2 276,29</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110,22</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-159,10</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4,84%</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-6,25%</w:t>
            </w:r>
          </w:p>
        </w:tc>
      </w:tr>
      <w:tr w:rsidR="00C17E2D" w:rsidRPr="00C17E2D" w:rsidTr="000E1500">
        <w:trPr>
          <w:trHeight w:val="262"/>
        </w:trPr>
        <w:tc>
          <w:tcPr>
            <w:tcW w:w="2426" w:type="dxa"/>
            <w:tcBorders>
              <w:top w:val="nil"/>
              <w:left w:val="single" w:sz="4" w:space="0" w:color="auto"/>
              <w:bottom w:val="nil"/>
              <w:right w:val="single" w:sz="4" w:space="0" w:color="auto"/>
            </w:tcBorders>
            <w:shd w:val="clear" w:color="auto" w:fill="auto"/>
            <w:noWrap/>
            <w:vAlign w:val="bottom"/>
            <w:hideMark/>
          </w:tcPr>
          <w:p w:rsidR="00C17E2D" w:rsidRPr="00C17E2D" w:rsidRDefault="00C17E2D" w:rsidP="00C17E2D">
            <w:pPr>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извършена работа, в т.ч.</w:t>
            </w:r>
          </w:p>
        </w:tc>
        <w:tc>
          <w:tcPr>
            <w:tcW w:w="797" w:type="dxa"/>
            <w:tcBorders>
              <w:top w:val="nil"/>
              <w:left w:val="nil"/>
              <w:bottom w:val="nil"/>
              <w:right w:val="single" w:sz="4" w:space="0" w:color="auto"/>
            </w:tcBorders>
            <w:shd w:val="clear" w:color="auto" w:fill="auto"/>
            <w:noWrap/>
            <w:vAlign w:val="center"/>
            <w:hideMark/>
          </w:tcPr>
          <w:p w:rsidR="00C17E2D" w:rsidRPr="00C17E2D" w:rsidRDefault="00C17E2D" w:rsidP="00C17E2D">
            <w:pPr>
              <w:jc w:val="center"/>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млн.ткм</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1 631,82</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1 597,64</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1 573,37</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58,45</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34,18</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3,72%</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2,14%</w:t>
            </w:r>
          </w:p>
        </w:tc>
      </w:tr>
      <w:tr w:rsidR="00C17E2D" w:rsidRPr="00C17E2D" w:rsidTr="000E1500">
        <w:trPr>
          <w:trHeight w:val="262"/>
        </w:trPr>
        <w:tc>
          <w:tcPr>
            <w:tcW w:w="2426" w:type="dxa"/>
            <w:tcBorders>
              <w:top w:val="nil"/>
              <w:left w:val="single" w:sz="4" w:space="0" w:color="auto"/>
              <w:bottom w:val="nil"/>
              <w:right w:val="single" w:sz="4" w:space="0" w:color="auto"/>
            </w:tcBorders>
            <w:shd w:val="clear" w:color="auto" w:fill="auto"/>
            <w:noWrap/>
            <w:vAlign w:val="bottom"/>
            <w:hideMark/>
          </w:tcPr>
          <w:p w:rsidR="00C17E2D" w:rsidRPr="00C17E2D" w:rsidRDefault="00C17E2D" w:rsidP="00C17E2D">
            <w:pPr>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вътрешно съобщение</w:t>
            </w:r>
          </w:p>
        </w:tc>
        <w:tc>
          <w:tcPr>
            <w:tcW w:w="797" w:type="dxa"/>
            <w:tcBorders>
              <w:top w:val="nil"/>
              <w:left w:val="nil"/>
              <w:bottom w:val="nil"/>
              <w:right w:val="single" w:sz="4" w:space="0" w:color="auto"/>
            </w:tcBorders>
            <w:shd w:val="clear" w:color="auto" w:fill="auto"/>
            <w:noWrap/>
            <w:vAlign w:val="center"/>
            <w:hideMark/>
          </w:tcPr>
          <w:p w:rsidR="00C17E2D" w:rsidRPr="00C17E2D" w:rsidRDefault="00C17E2D" w:rsidP="00C17E2D">
            <w:pPr>
              <w:jc w:val="center"/>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 </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1 069,29</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948,20</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1 000,40</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68,89</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121,09</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6,89%</w:t>
            </w:r>
          </w:p>
        </w:tc>
        <w:tc>
          <w:tcPr>
            <w:tcW w:w="982" w:type="dxa"/>
            <w:tcBorders>
              <w:top w:val="nil"/>
              <w:left w:val="nil"/>
              <w:bottom w:val="nil"/>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12,77%</w:t>
            </w:r>
          </w:p>
        </w:tc>
      </w:tr>
      <w:tr w:rsidR="00C17E2D" w:rsidRPr="00C17E2D" w:rsidTr="000E1500">
        <w:trPr>
          <w:trHeight w:val="262"/>
        </w:trPr>
        <w:tc>
          <w:tcPr>
            <w:tcW w:w="2426" w:type="dxa"/>
            <w:tcBorders>
              <w:top w:val="nil"/>
              <w:left w:val="single" w:sz="4" w:space="0" w:color="auto"/>
              <w:bottom w:val="single" w:sz="4" w:space="0" w:color="auto"/>
              <w:right w:val="single" w:sz="4" w:space="0" w:color="auto"/>
            </w:tcBorders>
            <w:shd w:val="clear" w:color="auto" w:fill="auto"/>
            <w:noWrap/>
            <w:vAlign w:val="bottom"/>
            <w:hideMark/>
          </w:tcPr>
          <w:p w:rsidR="00C17E2D" w:rsidRPr="00C17E2D" w:rsidRDefault="00C17E2D" w:rsidP="00C17E2D">
            <w:pPr>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международно съобщение</w:t>
            </w:r>
          </w:p>
        </w:tc>
        <w:tc>
          <w:tcPr>
            <w:tcW w:w="797" w:type="dxa"/>
            <w:tcBorders>
              <w:top w:val="nil"/>
              <w:left w:val="nil"/>
              <w:bottom w:val="single" w:sz="4" w:space="0" w:color="auto"/>
              <w:right w:val="single" w:sz="4" w:space="0" w:color="auto"/>
            </w:tcBorders>
            <w:shd w:val="clear" w:color="auto" w:fill="auto"/>
            <w:noWrap/>
            <w:vAlign w:val="center"/>
            <w:hideMark/>
          </w:tcPr>
          <w:p w:rsidR="00C17E2D" w:rsidRPr="00C17E2D" w:rsidRDefault="00C17E2D" w:rsidP="00C17E2D">
            <w:pPr>
              <w:jc w:val="center"/>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 </w:t>
            </w:r>
          </w:p>
        </w:tc>
        <w:tc>
          <w:tcPr>
            <w:tcW w:w="982" w:type="dxa"/>
            <w:tcBorders>
              <w:top w:val="nil"/>
              <w:left w:val="nil"/>
              <w:bottom w:val="single" w:sz="4" w:space="0" w:color="auto"/>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562,53</w:t>
            </w:r>
          </w:p>
        </w:tc>
        <w:tc>
          <w:tcPr>
            <w:tcW w:w="982" w:type="dxa"/>
            <w:tcBorders>
              <w:top w:val="nil"/>
              <w:left w:val="nil"/>
              <w:bottom w:val="single" w:sz="4" w:space="0" w:color="auto"/>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649,44</w:t>
            </w:r>
          </w:p>
        </w:tc>
        <w:tc>
          <w:tcPr>
            <w:tcW w:w="982" w:type="dxa"/>
            <w:tcBorders>
              <w:top w:val="nil"/>
              <w:left w:val="nil"/>
              <w:bottom w:val="single" w:sz="4" w:space="0" w:color="auto"/>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572,97</w:t>
            </w:r>
          </w:p>
        </w:tc>
        <w:tc>
          <w:tcPr>
            <w:tcW w:w="982" w:type="dxa"/>
            <w:tcBorders>
              <w:top w:val="nil"/>
              <w:left w:val="nil"/>
              <w:bottom w:val="single" w:sz="4" w:space="0" w:color="auto"/>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-10,44</w:t>
            </w:r>
          </w:p>
        </w:tc>
        <w:tc>
          <w:tcPr>
            <w:tcW w:w="982" w:type="dxa"/>
            <w:tcBorders>
              <w:top w:val="nil"/>
              <w:left w:val="nil"/>
              <w:bottom w:val="single" w:sz="4" w:space="0" w:color="auto"/>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-86,91</w:t>
            </w:r>
          </w:p>
        </w:tc>
        <w:tc>
          <w:tcPr>
            <w:tcW w:w="982" w:type="dxa"/>
            <w:tcBorders>
              <w:top w:val="nil"/>
              <w:left w:val="nil"/>
              <w:bottom w:val="single" w:sz="4" w:space="0" w:color="auto"/>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-1,82%</w:t>
            </w:r>
          </w:p>
        </w:tc>
        <w:tc>
          <w:tcPr>
            <w:tcW w:w="982" w:type="dxa"/>
            <w:tcBorders>
              <w:top w:val="nil"/>
              <w:left w:val="nil"/>
              <w:bottom w:val="single" w:sz="4" w:space="0" w:color="auto"/>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sz w:val="18"/>
                <w:szCs w:val="18"/>
                <w:lang w:eastAsia="bg-BG"/>
              </w:rPr>
            </w:pPr>
            <w:r w:rsidRPr="00C17E2D">
              <w:rPr>
                <w:rFonts w:ascii="Calibri" w:eastAsia="Times New Roman" w:hAnsi="Calibri" w:cs="Calibri"/>
                <w:sz w:val="18"/>
                <w:szCs w:val="18"/>
                <w:lang w:eastAsia="bg-BG"/>
              </w:rPr>
              <w:t>-13,38%</w:t>
            </w:r>
          </w:p>
        </w:tc>
      </w:tr>
      <w:tr w:rsidR="00C17E2D" w:rsidRPr="00C17E2D" w:rsidTr="000E1500">
        <w:trPr>
          <w:trHeight w:val="277"/>
        </w:trPr>
        <w:tc>
          <w:tcPr>
            <w:tcW w:w="2426" w:type="dxa"/>
            <w:tcBorders>
              <w:top w:val="nil"/>
              <w:left w:val="single" w:sz="4" w:space="0" w:color="auto"/>
              <w:bottom w:val="double" w:sz="6" w:space="0" w:color="auto"/>
              <w:right w:val="single" w:sz="4" w:space="0" w:color="auto"/>
            </w:tcBorders>
            <w:shd w:val="clear" w:color="auto" w:fill="auto"/>
            <w:noWrap/>
            <w:vAlign w:val="bottom"/>
            <w:hideMark/>
          </w:tcPr>
          <w:p w:rsidR="00C17E2D" w:rsidRPr="00C17E2D" w:rsidRDefault="00C17E2D" w:rsidP="00C17E2D">
            <w:pPr>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средно превозно разстояние</w:t>
            </w:r>
          </w:p>
        </w:tc>
        <w:tc>
          <w:tcPr>
            <w:tcW w:w="797" w:type="dxa"/>
            <w:tcBorders>
              <w:top w:val="nil"/>
              <w:left w:val="nil"/>
              <w:bottom w:val="double" w:sz="6" w:space="0" w:color="auto"/>
              <w:right w:val="single" w:sz="4" w:space="0" w:color="auto"/>
            </w:tcBorders>
            <w:shd w:val="clear" w:color="auto" w:fill="auto"/>
            <w:noWrap/>
            <w:vAlign w:val="center"/>
            <w:hideMark/>
          </w:tcPr>
          <w:p w:rsidR="00C17E2D" w:rsidRPr="00C17E2D" w:rsidRDefault="00C17E2D" w:rsidP="00C17E2D">
            <w:pPr>
              <w:jc w:val="center"/>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км</w:t>
            </w:r>
          </w:p>
        </w:tc>
        <w:tc>
          <w:tcPr>
            <w:tcW w:w="982" w:type="dxa"/>
            <w:tcBorders>
              <w:top w:val="nil"/>
              <w:left w:val="nil"/>
              <w:bottom w:val="double" w:sz="6" w:space="0" w:color="auto"/>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261,92</w:t>
            </w:r>
          </w:p>
        </w:tc>
        <w:tc>
          <w:tcPr>
            <w:tcW w:w="982" w:type="dxa"/>
            <w:tcBorders>
              <w:top w:val="nil"/>
              <w:left w:val="nil"/>
              <w:bottom w:val="double" w:sz="6" w:space="0" w:color="auto"/>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270,77</w:t>
            </w:r>
          </w:p>
        </w:tc>
        <w:tc>
          <w:tcPr>
            <w:tcW w:w="982" w:type="dxa"/>
            <w:tcBorders>
              <w:top w:val="nil"/>
              <w:left w:val="nil"/>
              <w:bottom w:val="double" w:sz="6" w:space="0" w:color="auto"/>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253,72</w:t>
            </w:r>
          </w:p>
        </w:tc>
        <w:tc>
          <w:tcPr>
            <w:tcW w:w="982" w:type="dxa"/>
            <w:tcBorders>
              <w:top w:val="nil"/>
              <w:left w:val="nil"/>
              <w:bottom w:val="double" w:sz="6" w:space="0" w:color="auto"/>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8,20</w:t>
            </w:r>
          </w:p>
        </w:tc>
        <w:tc>
          <w:tcPr>
            <w:tcW w:w="982" w:type="dxa"/>
            <w:tcBorders>
              <w:top w:val="nil"/>
              <w:left w:val="nil"/>
              <w:bottom w:val="double" w:sz="6" w:space="0" w:color="auto"/>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-8,84</w:t>
            </w:r>
          </w:p>
        </w:tc>
        <w:tc>
          <w:tcPr>
            <w:tcW w:w="982" w:type="dxa"/>
            <w:tcBorders>
              <w:top w:val="nil"/>
              <w:left w:val="nil"/>
              <w:bottom w:val="double" w:sz="6" w:space="0" w:color="auto"/>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3,2%</w:t>
            </w:r>
          </w:p>
        </w:tc>
        <w:tc>
          <w:tcPr>
            <w:tcW w:w="982" w:type="dxa"/>
            <w:tcBorders>
              <w:top w:val="nil"/>
              <w:left w:val="nil"/>
              <w:bottom w:val="double" w:sz="6" w:space="0" w:color="auto"/>
              <w:right w:val="single" w:sz="4" w:space="0" w:color="auto"/>
            </w:tcBorders>
            <w:shd w:val="clear" w:color="auto" w:fill="auto"/>
            <w:noWrap/>
            <w:vAlign w:val="bottom"/>
            <w:hideMark/>
          </w:tcPr>
          <w:p w:rsidR="00C17E2D" w:rsidRPr="00C17E2D" w:rsidRDefault="00C17E2D" w:rsidP="00C17E2D">
            <w:pPr>
              <w:jc w:val="right"/>
              <w:rPr>
                <w:rFonts w:ascii="Calibri" w:eastAsia="Times New Roman" w:hAnsi="Calibri" w:cs="Calibri"/>
                <w:b/>
                <w:bCs/>
                <w:sz w:val="18"/>
                <w:szCs w:val="18"/>
                <w:lang w:eastAsia="bg-BG"/>
              </w:rPr>
            </w:pPr>
            <w:r w:rsidRPr="00C17E2D">
              <w:rPr>
                <w:rFonts w:ascii="Calibri" w:eastAsia="Times New Roman" w:hAnsi="Calibri" w:cs="Calibri"/>
                <w:b/>
                <w:bCs/>
                <w:sz w:val="18"/>
                <w:szCs w:val="18"/>
                <w:lang w:eastAsia="bg-BG"/>
              </w:rPr>
              <w:t>-3,3%</w:t>
            </w:r>
          </w:p>
        </w:tc>
      </w:tr>
    </w:tbl>
    <w:p w:rsidR="006235D3" w:rsidRDefault="00F7536F" w:rsidP="006235D3">
      <w:pPr>
        <w:spacing w:before="360" w:after="120"/>
        <w:jc w:val="both"/>
      </w:pPr>
      <w:r w:rsidRPr="0083172C">
        <w:t>Във</w:t>
      </w:r>
      <w:r w:rsidRPr="0083172C">
        <w:rPr>
          <w:b/>
        </w:rPr>
        <w:t xml:space="preserve"> вътрешно съобщение</w:t>
      </w:r>
      <w:r w:rsidRPr="0083172C">
        <w:t xml:space="preserve"> през 2017 г. са превозени 3</w:t>
      </w:r>
      <w:r w:rsidR="00D06CC6" w:rsidRPr="0083172C">
        <w:t> </w:t>
      </w:r>
      <w:r w:rsidR="00D06CC6" w:rsidRPr="0083172C">
        <w:rPr>
          <w:lang w:val="en-US"/>
        </w:rPr>
        <w:t>843</w:t>
      </w:r>
      <w:r w:rsidR="00D06CC6" w:rsidRPr="0083172C">
        <w:t>,63</w:t>
      </w:r>
      <w:r w:rsidRPr="0083172C">
        <w:t xml:space="preserve"> хил. тона товари, което представлява 61,</w:t>
      </w:r>
      <w:r w:rsidR="00D06CC6" w:rsidRPr="0083172C">
        <w:t>7</w:t>
      </w:r>
      <w:r w:rsidRPr="0083172C">
        <w:t xml:space="preserve">% от общото количество превозени товари. Количеството превозени товари във вътрешно съобщение е с </w:t>
      </w:r>
      <w:r w:rsidR="00D06CC6" w:rsidRPr="0083172C">
        <w:t>81,21</w:t>
      </w:r>
      <w:r w:rsidRPr="0083172C">
        <w:t xml:space="preserve"> хил. тона по-малко от превозените през същия период на предходната година и с 4</w:t>
      </w:r>
      <w:r w:rsidR="00D06CC6" w:rsidRPr="0083172C">
        <w:t>88,79</w:t>
      </w:r>
      <w:r w:rsidRPr="0083172C">
        <w:t xml:space="preserve"> хил. тона повече от разчетените в бизнес плана. Произведени са </w:t>
      </w:r>
      <w:r w:rsidR="00D06CC6" w:rsidRPr="0083172C">
        <w:t>1 069,29</w:t>
      </w:r>
      <w:r w:rsidRPr="0083172C">
        <w:t xml:space="preserve"> млн. нето тонкилометри, с </w:t>
      </w:r>
      <w:r w:rsidR="00D06CC6" w:rsidRPr="0083172C">
        <w:t>68,89</w:t>
      </w:r>
      <w:r w:rsidRPr="0083172C">
        <w:t xml:space="preserve"> млн. тонкилометри повече от предходната година и със 1</w:t>
      </w:r>
      <w:r w:rsidR="00D06CC6" w:rsidRPr="0083172C">
        <w:t>21,09</w:t>
      </w:r>
      <w:r w:rsidRPr="0083172C">
        <w:t xml:space="preserve"> млн. нето тонкилометри повече от бизнес плана.</w:t>
      </w:r>
    </w:p>
    <w:p w:rsidR="00F7536F" w:rsidRPr="00616968" w:rsidRDefault="00F7536F" w:rsidP="006235D3">
      <w:pPr>
        <w:spacing w:before="360" w:after="120"/>
        <w:jc w:val="both"/>
      </w:pPr>
      <w:r w:rsidRPr="00616968">
        <w:t xml:space="preserve">В </w:t>
      </w:r>
      <w:r w:rsidRPr="00616968">
        <w:rPr>
          <w:b/>
        </w:rPr>
        <w:t>международно съобщение</w:t>
      </w:r>
      <w:r w:rsidRPr="00616968">
        <w:t xml:space="preserve"> са превозени 2</w:t>
      </w:r>
      <w:r w:rsidR="006235D3" w:rsidRPr="00616968">
        <w:t> 386,51</w:t>
      </w:r>
      <w:r w:rsidRPr="00616968">
        <w:t xml:space="preserve"> хил. тона товари, което представлява 38,</w:t>
      </w:r>
      <w:r w:rsidR="006235D3" w:rsidRPr="00616968">
        <w:t>3</w:t>
      </w:r>
      <w:r w:rsidRPr="00616968">
        <w:t xml:space="preserve">% от общото количество товари, превозени през </w:t>
      </w:r>
      <w:r w:rsidR="0042417A" w:rsidRPr="00616968">
        <w:rPr>
          <w:lang w:val="en-US"/>
        </w:rPr>
        <w:t>2017</w:t>
      </w:r>
      <w:r w:rsidR="0042417A" w:rsidRPr="00616968">
        <w:t xml:space="preserve"> г.</w:t>
      </w:r>
      <w:r w:rsidRPr="00616968">
        <w:t xml:space="preserve"> В сравнение с</w:t>
      </w:r>
      <w:r w:rsidR="0042417A" w:rsidRPr="00616968">
        <w:t xml:space="preserve"> 2016 г.</w:t>
      </w:r>
      <w:r w:rsidR="006235D3" w:rsidRPr="00616968">
        <w:t xml:space="preserve"> превозите са увеличени със 110,22</w:t>
      </w:r>
      <w:r w:rsidRPr="00616968">
        <w:t xml:space="preserve"> хил. тона, а спрямо бизнес плана намалението е със 1</w:t>
      </w:r>
      <w:r w:rsidR="006235D3" w:rsidRPr="00616968">
        <w:t>59,10</w:t>
      </w:r>
      <w:r w:rsidRPr="00616968">
        <w:t xml:space="preserve"> хил.тона. Произведени са 5</w:t>
      </w:r>
      <w:r w:rsidR="006235D3" w:rsidRPr="00616968">
        <w:t>62,53</w:t>
      </w:r>
      <w:r w:rsidRPr="00616968">
        <w:t xml:space="preserve"> млн. тонкм, с 1</w:t>
      </w:r>
      <w:r w:rsidR="006235D3" w:rsidRPr="00616968">
        <w:t>0</w:t>
      </w:r>
      <w:r w:rsidRPr="00616968">
        <w:t>,</w:t>
      </w:r>
      <w:r w:rsidR="006235D3" w:rsidRPr="00616968">
        <w:t>4</w:t>
      </w:r>
      <w:r w:rsidRPr="00616968">
        <w:t>4 млн. тонкм по-малко от м. г. и с 8</w:t>
      </w:r>
      <w:r w:rsidR="006235D3" w:rsidRPr="00616968">
        <w:t>6</w:t>
      </w:r>
      <w:r w:rsidRPr="00616968">
        <w:t>,</w:t>
      </w:r>
      <w:r w:rsidR="006235D3" w:rsidRPr="00616968">
        <w:t>91</w:t>
      </w:r>
      <w:r w:rsidRPr="00616968">
        <w:t xml:space="preserve"> млн. нето тонкилометри по-малко от бизнес плана.</w:t>
      </w:r>
    </w:p>
    <w:p w:rsidR="000E1500" w:rsidRDefault="000E1500" w:rsidP="00F7536F">
      <w:pPr>
        <w:pStyle w:val="BodyText"/>
        <w:jc w:val="both"/>
        <w:rPr>
          <w:sz w:val="24"/>
        </w:rPr>
      </w:pPr>
    </w:p>
    <w:p w:rsidR="000E1500" w:rsidRDefault="000E1500" w:rsidP="00F7536F">
      <w:pPr>
        <w:pStyle w:val="BodyText"/>
        <w:jc w:val="both"/>
        <w:rPr>
          <w:sz w:val="24"/>
        </w:rPr>
      </w:pPr>
    </w:p>
    <w:p w:rsidR="000E1500" w:rsidRDefault="000E1500" w:rsidP="00F7536F">
      <w:pPr>
        <w:pStyle w:val="BodyText"/>
        <w:jc w:val="both"/>
        <w:rPr>
          <w:sz w:val="24"/>
        </w:rPr>
      </w:pPr>
    </w:p>
    <w:p w:rsidR="000E1500" w:rsidRDefault="000E1500" w:rsidP="00F7536F">
      <w:pPr>
        <w:pStyle w:val="BodyText"/>
        <w:jc w:val="both"/>
        <w:rPr>
          <w:sz w:val="24"/>
        </w:rPr>
      </w:pPr>
    </w:p>
    <w:p w:rsidR="00F7536F" w:rsidRPr="005A290B" w:rsidRDefault="00F7536F" w:rsidP="00F7536F">
      <w:pPr>
        <w:pStyle w:val="BodyText"/>
        <w:jc w:val="both"/>
        <w:rPr>
          <w:sz w:val="24"/>
        </w:rPr>
      </w:pPr>
      <w:r w:rsidRPr="005A290B">
        <w:rPr>
          <w:sz w:val="24"/>
        </w:rPr>
        <w:t xml:space="preserve">Превозените количества товари </w:t>
      </w:r>
      <w:r w:rsidRPr="005A290B">
        <w:rPr>
          <w:b/>
          <w:sz w:val="24"/>
        </w:rPr>
        <w:t>по крупни товародатели</w:t>
      </w:r>
      <w:r w:rsidRPr="005A290B">
        <w:rPr>
          <w:sz w:val="24"/>
        </w:rPr>
        <w:t xml:space="preserve"> и спедитори са както следва:</w:t>
      </w:r>
    </w:p>
    <w:p w:rsidR="002366E4" w:rsidRDefault="002366E4" w:rsidP="00F7536F">
      <w:pPr>
        <w:pStyle w:val="BodyText"/>
        <w:jc w:val="both"/>
        <w:rPr>
          <w:sz w:val="24"/>
          <w:highlight w:val="yellow"/>
        </w:rPr>
      </w:pPr>
    </w:p>
    <w:tbl>
      <w:tblPr>
        <w:tblW w:w="9807" w:type="dxa"/>
        <w:tblInd w:w="55" w:type="dxa"/>
        <w:tblCellMar>
          <w:left w:w="70" w:type="dxa"/>
          <w:right w:w="70" w:type="dxa"/>
        </w:tblCellMar>
        <w:tblLook w:val="04A0" w:firstRow="1" w:lastRow="0" w:firstColumn="1" w:lastColumn="0" w:noHBand="0" w:noVBand="1"/>
      </w:tblPr>
      <w:tblGrid>
        <w:gridCol w:w="429"/>
        <w:gridCol w:w="3005"/>
        <w:gridCol w:w="1062"/>
        <w:gridCol w:w="1085"/>
        <w:gridCol w:w="1085"/>
        <w:gridCol w:w="1085"/>
        <w:gridCol w:w="1039"/>
        <w:gridCol w:w="1017"/>
      </w:tblGrid>
      <w:tr w:rsidR="002366E4" w:rsidRPr="007716E4" w:rsidTr="002366E4">
        <w:trPr>
          <w:trHeight w:val="252"/>
        </w:trPr>
        <w:tc>
          <w:tcPr>
            <w:tcW w:w="42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366E4" w:rsidRPr="007716E4" w:rsidRDefault="002366E4" w:rsidP="002366E4">
            <w:pPr>
              <w:jc w:val="center"/>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w:t>
            </w:r>
          </w:p>
        </w:tc>
        <w:tc>
          <w:tcPr>
            <w:tcW w:w="3005"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366E4" w:rsidRPr="007716E4" w:rsidRDefault="002366E4" w:rsidP="002366E4">
            <w:pPr>
              <w:jc w:val="center"/>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Товародатели</w:t>
            </w:r>
          </w:p>
        </w:tc>
        <w:tc>
          <w:tcPr>
            <w:tcW w:w="2147" w:type="dxa"/>
            <w:gridSpan w:val="2"/>
            <w:tcBorders>
              <w:top w:val="single" w:sz="4" w:space="0" w:color="auto"/>
              <w:left w:val="nil"/>
              <w:bottom w:val="single" w:sz="4" w:space="0" w:color="auto"/>
              <w:right w:val="single" w:sz="4" w:space="0" w:color="auto"/>
            </w:tcBorders>
            <w:shd w:val="clear" w:color="auto" w:fill="auto"/>
            <w:noWrap/>
            <w:vAlign w:val="bottom"/>
            <w:hideMark/>
          </w:tcPr>
          <w:p w:rsidR="002366E4" w:rsidRPr="007716E4" w:rsidRDefault="002366E4" w:rsidP="002366E4">
            <w:pPr>
              <w:jc w:val="center"/>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хил. тона</w:t>
            </w:r>
          </w:p>
        </w:tc>
        <w:tc>
          <w:tcPr>
            <w:tcW w:w="2169" w:type="dxa"/>
            <w:gridSpan w:val="2"/>
            <w:tcBorders>
              <w:top w:val="single" w:sz="4" w:space="0" w:color="auto"/>
              <w:left w:val="nil"/>
              <w:bottom w:val="single" w:sz="4" w:space="0" w:color="auto"/>
              <w:right w:val="single" w:sz="4" w:space="0" w:color="auto"/>
            </w:tcBorders>
            <w:shd w:val="clear" w:color="auto" w:fill="auto"/>
            <w:noWrap/>
            <w:vAlign w:val="bottom"/>
            <w:hideMark/>
          </w:tcPr>
          <w:p w:rsidR="002366E4" w:rsidRPr="007716E4" w:rsidRDefault="002366E4" w:rsidP="002366E4">
            <w:pPr>
              <w:jc w:val="center"/>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относ. дял %</w:t>
            </w:r>
          </w:p>
        </w:tc>
        <w:tc>
          <w:tcPr>
            <w:tcW w:w="2056" w:type="dxa"/>
            <w:gridSpan w:val="2"/>
            <w:tcBorders>
              <w:top w:val="single" w:sz="4" w:space="0" w:color="auto"/>
              <w:left w:val="nil"/>
              <w:bottom w:val="single" w:sz="4" w:space="0" w:color="auto"/>
              <w:right w:val="single" w:sz="4" w:space="0" w:color="auto"/>
            </w:tcBorders>
            <w:shd w:val="clear" w:color="auto" w:fill="auto"/>
            <w:noWrap/>
            <w:vAlign w:val="bottom"/>
            <w:hideMark/>
          </w:tcPr>
          <w:p w:rsidR="002366E4" w:rsidRPr="007716E4" w:rsidRDefault="002366E4" w:rsidP="002366E4">
            <w:pPr>
              <w:jc w:val="center"/>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изменение</w:t>
            </w:r>
          </w:p>
        </w:tc>
      </w:tr>
      <w:tr w:rsidR="002366E4" w:rsidRPr="007716E4" w:rsidTr="002366E4">
        <w:trPr>
          <w:trHeight w:val="252"/>
        </w:trPr>
        <w:tc>
          <w:tcPr>
            <w:tcW w:w="429" w:type="dxa"/>
            <w:vMerge/>
            <w:tcBorders>
              <w:top w:val="single" w:sz="4" w:space="0" w:color="auto"/>
              <w:left w:val="single" w:sz="4" w:space="0" w:color="auto"/>
              <w:bottom w:val="single" w:sz="4" w:space="0" w:color="000000"/>
              <w:right w:val="single" w:sz="4" w:space="0" w:color="auto"/>
            </w:tcBorders>
            <w:vAlign w:val="center"/>
            <w:hideMark/>
          </w:tcPr>
          <w:p w:rsidR="002366E4" w:rsidRPr="007716E4" w:rsidRDefault="002366E4" w:rsidP="002366E4">
            <w:pPr>
              <w:rPr>
                <w:rFonts w:ascii="Calibri" w:eastAsia="Times New Roman" w:hAnsi="Calibri" w:cs="Calibri"/>
                <w:b/>
                <w:bCs/>
                <w:color w:val="000000"/>
                <w:sz w:val="18"/>
                <w:szCs w:val="18"/>
                <w:lang w:eastAsia="bg-BG"/>
              </w:rPr>
            </w:pPr>
          </w:p>
        </w:tc>
        <w:tc>
          <w:tcPr>
            <w:tcW w:w="3005" w:type="dxa"/>
            <w:vMerge/>
            <w:tcBorders>
              <w:top w:val="single" w:sz="4" w:space="0" w:color="auto"/>
              <w:left w:val="single" w:sz="4" w:space="0" w:color="auto"/>
              <w:bottom w:val="single" w:sz="4" w:space="0" w:color="000000"/>
              <w:right w:val="single" w:sz="4" w:space="0" w:color="auto"/>
            </w:tcBorders>
            <w:vAlign w:val="center"/>
            <w:hideMark/>
          </w:tcPr>
          <w:p w:rsidR="002366E4" w:rsidRPr="007716E4" w:rsidRDefault="002366E4" w:rsidP="002366E4">
            <w:pPr>
              <w:rPr>
                <w:rFonts w:ascii="Calibri" w:eastAsia="Times New Roman" w:hAnsi="Calibri" w:cs="Calibri"/>
                <w:b/>
                <w:bCs/>
                <w:color w:val="000000"/>
                <w:sz w:val="18"/>
                <w:szCs w:val="18"/>
                <w:lang w:eastAsia="bg-BG"/>
              </w:rPr>
            </w:pPr>
          </w:p>
        </w:tc>
        <w:tc>
          <w:tcPr>
            <w:tcW w:w="1062" w:type="dxa"/>
            <w:tcBorders>
              <w:top w:val="nil"/>
              <w:left w:val="nil"/>
              <w:bottom w:val="single" w:sz="4" w:space="0" w:color="auto"/>
              <w:right w:val="single" w:sz="4" w:space="0" w:color="auto"/>
            </w:tcBorders>
            <w:shd w:val="clear" w:color="auto" w:fill="auto"/>
            <w:vAlign w:val="center"/>
            <w:hideMark/>
          </w:tcPr>
          <w:p w:rsidR="002366E4" w:rsidRPr="007716E4" w:rsidRDefault="002366E4" w:rsidP="002366E4">
            <w:pPr>
              <w:jc w:val="center"/>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2017г.</w:t>
            </w:r>
          </w:p>
        </w:tc>
        <w:tc>
          <w:tcPr>
            <w:tcW w:w="1085" w:type="dxa"/>
            <w:tcBorders>
              <w:top w:val="nil"/>
              <w:left w:val="nil"/>
              <w:bottom w:val="single" w:sz="4" w:space="0" w:color="auto"/>
              <w:right w:val="single" w:sz="4" w:space="0" w:color="auto"/>
            </w:tcBorders>
            <w:shd w:val="clear" w:color="auto" w:fill="auto"/>
            <w:vAlign w:val="center"/>
            <w:hideMark/>
          </w:tcPr>
          <w:p w:rsidR="002366E4" w:rsidRPr="007716E4" w:rsidRDefault="002366E4" w:rsidP="002366E4">
            <w:pPr>
              <w:jc w:val="center"/>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2016г.</w:t>
            </w:r>
          </w:p>
        </w:tc>
        <w:tc>
          <w:tcPr>
            <w:tcW w:w="1085" w:type="dxa"/>
            <w:tcBorders>
              <w:top w:val="nil"/>
              <w:left w:val="nil"/>
              <w:bottom w:val="single" w:sz="4" w:space="0" w:color="auto"/>
              <w:right w:val="single" w:sz="4" w:space="0" w:color="auto"/>
            </w:tcBorders>
            <w:shd w:val="clear" w:color="auto" w:fill="auto"/>
            <w:vAlign w:val="center"/>
            <w:hideMark/>
          </w:tcPr>
          <w:p w:rsidR="002366E4" w:rsidRPr="007716E4" w:rsidRDefault="002366E4" w:rsidP="002366E4">
            <w:pPr>
              <w:jc w:val="center"/>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2017 г.</w:t>
            </w:r>
          </w:p>
        </w:tc>
        <w:tc>
          <w:tcPr>
            <w:tcW w:w="1085" w:type="dxa"/>
            <w:tcBorders>
              <w:top w:val="nil"/>
              <w:left w:val="nil"/>
              <w:bottom w:val="single" w:sz="4" w:space="0" w:color="auto"/>
              <w:right w:val="single" w:sz="4" w:space="0" w:color="auto"/>
            </w:tcBorders>
            <w:shd w:val="clear" w:color="auto" w:fill="auto"/>
            <w:vAlign w:val="center"/>
            <w:hideMark/>
          </w:tcPr>
          <w:p w:rsidR="002366E4" w:rsidRPr="007716E4" w:rsidRDefault="002366E4" w:rsidP="002366E4">
            <w:pPr>
              <w:jc w:val="center"/>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2016 г.</w:t>
            </w:r>
          </w:p>
        </w:tc>
        <w:tc>
          <w:tcPr>
            <w:tcW w:w="1039" w:type="dxa"/>
            <w:tcBorders>
              <w:top w:val="nil"/>
              <w:left w:val="nil"/>
              <w:bottom w:val="nil"/>
              <w:right w:val="single" w:sz="4" w:space="0" w:color="auto"/>
            </w:tcBorders>
            <w:shd w:val="clear" w:color="auto" w:fill="auto"/>
            <w:vAlign w:val="center"/>
            <w:hideMark/>
          </w:tcPr>
          <w:p w:rsidR="002366E4" w:rsidRPr="007716E4" w:rsidRDefault="002366E4" w:rsidP="002366E4">
            <w:pPr>
              <w:jc w:val="center"/>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2017-2016</w:t>
            </w:r>
          </w:p>
        </w:tc>
        <w:tc>
          <w:tcPr>
            <w:tcW w:w="1017" w:type="dxa"/>
            <w:tcBorders>
              <w:top w:val="nil"/>
              <w:left w:val="nil"/>
              <w:bottom w:val="nil"/>
              <w:right w:val="single" w:sz="4" w:space="0" w:color="auto"/>
            </w:tcBorders>
            <w:shd w:val="clear" w:color="auto" w:fill="auto"/>
            <w:vAlign w:val="center"/>
            <w:hideMark/>
          </w:tcPr>
          <w:p w:rsidR="002366E4" w:rsidRPr="007716E4" w:rsidRDefault="002366E4" w:rsidP="002366E4">
            <w:pPr>
              <w:jc w:val="center"/>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w:t>
            </w:r>
          </w:p>
        </w:tc>
      </w:tr>
      <w:tr w:rsidR="002366E4" w:rsidRPr="007716E4" w:rsidTr="002366E4">
        <w:trPr>
          <w:trHeight w:val="252"/>
        </w:trPr>
        <w:tc>
          <w:tcPr>
            <w:tcW w:w="429" w:type="dxa"/>
            <w:tcBorders>
              <w:top w:val="nil"/>
              <w:left w:val="single" w:sz="4" w:space="0" w:color="auto"/>
              <w:bottom w:val="single" w:sz="4" w:space="0" w:color="auto"/>
              <w:right w:val="single" w:sz="4" w:space="0" w:color="auto"/>
            </w:tcBorders>
            <w:shd w:val="clear" w:color="auto" w:fill="auto"/>
            <w:vAlign w:val="bottom"/>
            <w:hideMark/>
          </w:tcPr>
          <w:p w:rsidR="002366E4" w:rsidRPr="007716E4" w:rsidRDefault="002366E4" w:rsidP="002366E4">
            <w:pPr>
              <w:jc w:val="center"/>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 </w:t>
            </w:r>
          </w:p>
        </w:tc>
        <w:tc>
          <w:tcPr>
            <w:tcW w:w="3005" w:type="dxa"/>
            <w:tcBorders>
              <w:top w:val="nil"/>
              <w:left w:val="nil"/>
              <w:bottom w:val="single" w:sz="4" w:space="0" w:color="auto"/>
              <w:right w:val="single" w:sz="4" w:space="0" w:color="auto"/>
            </w:tcBorders>
            <w:shd w:val="clear" w:color="auto" w:fill="auto"/>
            <w:vAlign w:val="bottom"/>
            <w:hideMark/>
          </w:tcPr>
          <w:p w:rsidR="002366E4" w:rsidRPr="007716E4" w:rsidRDefault="002366E4" w:rsidP="002366E4">
            <w:pPr>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Превозени товари  - общо</w:t>
            </w:r>
          </w:p>
        </w:tc>
        <w:tc>
          <w:tcPr>
            <w:tcW w:w="1062" w:type="dxa"/>
            <w:tcBorders>
              <w:top w:val="nil"/>
              <w:left w:val="nil"/>
              <w:bottom w:val="single" w:sz="4" w:space="0" w:color="auto"/>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6 230,14</w:t>
            </w:r>
          </w:p>
        </w:tc>
        <w:tc>
          <w:tcPr>
            <w:tcW w:w="1085" w:type="dxa"/>
            <w:tcBorders>
              <w:top w:val="nil"/>
              <w:left w:val="nil"/>
              <w:bottom w:val="single" w:sz="4" w:space="0" w:color="auto"/>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6 201,13</w:t>
            </w:r>
          </w:p>
        </w:tc>
        <w:tc>
          <w:tcPr>
            <w:tcW w:w="1085" w:type="dxa"/>
            <w:tcBorders>
              <w:top w:val="nil"/>
              <w:left w:val="nil"/>
              <w:bottom w:val="nil"/>
              <w:right w:val="nil"/>
            </w:tcBorders>
            <w:shd w:val="clear" w:color="auto" w:fill="auto"/>
            <w:noWrap/>
            <w:vAlign w:val="bottom"/>
            <w:hideMark/>
          </w:tcPr>
          <w:p w:rsidR="002366E4" w:rsidRPr="007716E4" w:rsidRDefault="002366E4" w:rsidP="002366E4">
            <w:pPr>
              <w:jc w:val="right"/>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100,0%</w:t>
            </w:r>
          </w:p>
        </w:tc>
        <w:tc>
          <w:tcPr>
            <w:tcW w:w="1085" w:type="dxa"/>
            <w:tcBorders>
              <w:top w:val="nil"/>
              <w:left w:val="single" w:sz="4" w:space="0" w:color="auto"/>
              <w:bottom w:val="single" w:sz="4" w:space="0" w:color="auto"/>
              <w:right w:val="nil"/>
            </w:tcBorders>
            <w:shd w:val="clear" w:color="auto" w:fill="auto"/>
            <w:noWrap/>
            <w:vAlign w:val="bottom"/>
            <w:hideMark/>
          </w:tcPr>
          <w:p w:rsidR="002366E4" w:rsidRPr="007716E4" w:rsidRDefault="002366E4" w:rsidP="002366E4">
            <w:pPr>
              <w:jc w:val="right"/>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100,0%</w:t>
            </w:r>
          </w:p>
        </w:tc>
        <w:tc>
          <w:tcPr>
            <w:tcW w:w="1039"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29,0</w:t>
            </w:r>
          </w:p>
        </w:tc>
        <w:tc>
          <w:tcPr>
            <w:tcW w:w="1017" w:type="dxa"/>
            <w:tcBorders>
              <w:top w:val="single" w:sz="4" w:space="0" w:color="auto"/>
              <w:left w:val="nil"/>
              <w:bottom w:val="single" w:sz="4" w:space="0" w:color="auto"/>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0,5%</w:t>
            </w:r>
          </w:p>
        </w:tc>
      </w:tr>
      <w:tr w:rsidR="002366E4" w:rsidRPr="007716E4" w:rsidTr="002366E4">
        <w:trPr>
          <w:trHeight w:val="252"/>
        </w:trPr>
        <w:tc>
          <w:tcPr>
            <w:tcW w:w="429"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cente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w:t>
            </w:r>
          </w:p>
        </w:tc>
        <w:tc>
          <w:tcPr>
            <w:tcW w:w="3005" w:type="dxa"/>
            <w:tcBorders>
              <w:top w:val="nil"/>
              <w:left w:val="nil"/>
              <w:bottom w:val="nil"/>
              <w:right w:val="single" w:sz="4" w:space="0" w:color="auto"/>
            </w:tcBorders>
            <w:shd w:val="clear" w:color="auto" w:fill="auto"/>
            <w:noWrap/>
            <w:vAlign w:val="bottom"/>
            <w:hideMark/>
          </w:tcPr>
          <w:p w:rsidR="002366E4" w:rsidRPr="007716E4" w:rsidRDefault="002366E4" w:rsidP="002366E4">
            <w:pP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"Трансленд" ООД</w:t>
            </w:r>
          </w:p>
        </w:tc>
        <w:tc>
          <w:tcPr>
            <w:tcW w:w="1062"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948,64</w:t>
            </w:r>
          </w:p>
        </w:tc>
        <w:tc>
          <w:tcPr>
            <w:tcW w:w="1085" w:type="dxa"/>
            <w:tcBorders>
              <w:top w:val="nil"/>
              <w:left w:val="nil"/>
              <w:bottom w:val="nil"/>
              <w:right w:val="nil"/>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853,9</w:t>
            </w:r>
          </w:p>
        </w:tc>
        <w:tc>
          <w:tcPr>
            <w:tcW w:w="1085" w:type="dxa"/>
            <w:tcBorders>
              <w:top w:val="single" w:sz="4" w:space="0" w:color="auto"/>
              <w:left w:val="single" w:sz="4" w:space="0" w:color="auto"/>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15,2%</w:t>
            </w:r>
          </w:p>
        </w:tc>
        <w:tc>
          <w:tcPr>
            <w:tcW w:w="1085"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13,8%</w:t>
            </w:r>
          </w:p>
        </w:tc>
        <w:tc>
          <w:tcPr>
            <w:tcW w:w="1039" w:type="dxa"/>
            <w:tcBorders>
              <w:top w:val="nil"/>
              <w:left w:val="nil"/>
              <w:bottom w:val="nil"/>
              <w:right w:val="nil"/>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94,7</w:t>
            </w:r>
          </w:p>
        </w:tc>
        <w:tc>
          <w:tcPr>
            <w:tcW w:w="1017" w:type="dxa"/>
            <w:tcBorders>
              <w:top w:val="nil"/>
              <w:left w:val="single" w:sz="4" w:space="0" w:color="auto"/>
              <w:bottom w:val="nil"/>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11%</w:t>
            </w:r>
          </w:p>
        </w:tc>
      </w:tr>
      <w:tr w:rsidR="002366E4" w:rsidRPr="007716E4" w:rsidTr="002366E4">
        <w:trPr>
          <w:trHeight w:val="252"/>
        </w:trPr>
        <w:tc>
          <w:tcPr>
            <w:tcW w:w="429"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cente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2</w:t>
            </w:r>
          </w:p>
        </w:tc>
        <w:tc>
          <w:tcPr>
            <w:tcW w:w="3005" w:type="dxa"/>
            <w:tcBorders>
              <w:top w:val="nil"/>
              <w:left w:val="nil"/>
              <w:bottom w:val="nil"/>
              <w:right w:val="single" w:sz="4" w:space="0" w:color="auto"/>
            </w:tcBorders>
            <w:shd w:val="clear" w:color="auto" w:fill="auto"/>
            <w:noWrap/>
            <w:vAlign w:val="bottom"/>
            <w:hideMark/>
          </w:tcPr>
          <w:p w:rsidR="002366E4" w:rsidRPr="007716E4" w:rsidRDefault="002366E4" w:rsidP="002366E4">
            <w:pP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"Каолин" АД</w:t>
            </w:r>
          </w:p>
        </w:tc>
        <w:tc>
          <w:tcPr>
            <w:tcW w:w="1062"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717,83</w:t>
            </w:r>
          </w:p>
        </w:tc>
        <w:tc>
          <w:tcPr>
            <w:tcW w:w="1085" w:type="dxa"/>
            <w:tcBorders>
              <w:top w:val="nil"/>
              <w:left w:val="nil"/>
              <w:bottom w:val="nil"/>
              <w:right w:val="nil"/>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625,5</w:t>
            </w:r>
          </w:p>
        </w:tc>
        <w:tc>
          <w:tcPr>
            <w:tcW w:w="1085"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11,5%</w:t>
            </w:r>
          </w:p>
        </w:tc>
        <w:tc>
          <w:tcPr>
            <w:tcW w:w="1085"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10,1%</w:t>
            </w:r>
          </w:p>
        </w:tc>
        <w:tc>
          <w:tcPr>
            <w:tcW w:w="1039" w:type="dxa"/>
            <w:tcBorders>
              <w:top w:val="nil"/>
              <w:left w:val="nil"/>
              <w:bottom w:val="nil"/>
              <w:right w:val="nil"/>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92,3</w:t>
            </w:r>
          </w:p>
        </w:tc>
        <w:tc>
          <w:tcPr>
            <w:tcW w:w="1017" w:type="dxa"/>
            <w:tcBorders>
              <w:top w:val="nil"/>
              <w:left w:val="single" w:sz="4" w:space="0" w:color="auto"/>
              <w:bottom w:val="nil"/>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15%</w:t>
            </w:r>
          </w:p>
        </w:tc>
      </w:tr>
      <w:tr w:rsidR="002366E4" w:rsidRPr="007716E4" w:rsidTr="002366E4">
        <w:trPr>
          <w:trHeight w:val="252"/>
        </w:trPr>
        <w:tc>
          <w:tcPr>
            <w:tcW w:w="429"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cente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3</w:t>
            </w:r>
          </w:p>
        </w:tc>
        <w:tc>
          <w:tcPr>
            <w:tcW w:w="3005" w:type="dxa"/>
            <w:tcBorders>
              <w:top w:val="nil"/>
              <w:left w:val="nil"/>
              <w:bottom w:val="nil"/>
              <w:right w:val="single" w:sz="4" w:space="0" w:color="auto"/>
            </w:tcBorders>
            <w:shd w:val="clear" w:color="auto" w:fill="auto"/>
            <w:noWrap/>
            <w:vAlign w:val="bottom"/>
            <w:hideMark/>
          </w:tcPr>
          <w:p w:rsidR="002366E4" w:rsidRPr="007716E4" w:rsidRDefault="002366E4" w:rsidP="002366E4">
            <w:pP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"Стомана Индъстри" АД</w:t>
            </w:r>
          </w:p>
        </w:tc>
        <w:tc>
          <w:tcPr>
            <w:tcW w:w="1062"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568,74</w:t>
            </w:r>
          </w:p>
        </w:tc>
        <w:tc>
          <w:tcPr>
            <w:tcW w:w="1085" w:type="dxa"/>
            <w:tcBorders>
              <w:top w:val="nil"/>
              <w:left w:val="nil"/>
              <w:bottom w:val="nil"/>
              <w:right w:val="nil"/>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486,4</w:t>
            </w:r>
          </w:p>
        </w:tc>
        <w:tc>
          <w:tcPr>
            <w:tcW w:w="1085"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9,1%</w:t>
            </w:r>
          </w:p>
        </w:tc>
        <w:tc>
          <w:tcPr>
            <w:tcW w:w="1085"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7,8%</w:t>
            </w:r>
          </w:p>
        </w:tc>
        <w:tc>
          <w:tcPr>
            <w:tcW w:w="1039" w:type="dxa"/>
            <w:tcBorders>
              <w:top w:val="nil"/>
              <w:left w:val="nil"/>
              <w:bottom w:val="nil"/>
              <w:right w:val="nil"/>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82,3</w:t>
            </w:r>
          </w:p>
        </w:tc>
        <w:tc>
          <w:tcPr>
            <w:tcW w:w="1017" w:type="dxa"/>
            <w:tcBorders>
              <w:top w:val="nil"/>
              <w:left w:val="single" w:sz="4" w:space="0" w:color="auto"/>
              <w:bottom w:val="nil"/>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17%</w:t>
            </w:r>
          </w:p>
        </w:tc>
      </w:tr>
      <w:tr w:rsidR="002366E4" w:rsidRPr="007716E4" w:rsidTr="002366E4">
        <w:trPr>
          <w:trHeight w:val="252"/>
        </w:trPr>
        <w:tc>
          <w:tcPr>
            <w:tcW w:w="429"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cente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4</w:t>
            </w:r>
          </w:p>
        </w:tc>
        <w:tc>
          <w:tcPr>
            <w:tcW w:w="3005" w:type="dxa"/>
            <w:tcBorders>
              <w:top w:val="nil"/>
              <w:left w:val="nil"/>
              <w:bottom w:val="nil"/>
              <w:right w:val="single" w:sz="4" w:space="0" w:color="auto"/>
            </w:tcBorders>
            <w:shd w:val="clear" w:color="auto" w:fill="auto"/>
            <w:noWrap/>
            <w:vAlign w:val="bottom"/>
            <w:hideMark/>
          </w:tcPr>
          <w:p w:rsidR="002366E4" w:rsidRPr="007716E4" w:rsidRDefault="002366E4" w:rsidP="002366E4">
            <w:pP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 xml:space="preserve">"ТИ БИ ЕЛ" ЕООД </w:t>
            </w:r>
          </w:p>
        </w:tc>
        <w:tc>
          <w:tcPr>
            <w:tcW w:w="1062"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454,16</w:t>
            </w:r>
          </w:p>
        </w:tc>
        <w:tc>
          <w:tcPr>
            <w:tcW w:w="1085" w:type="dxa"/>
            <w:tcBorders>
              <w:top w:val="nil"/>
              <w:left w:val="nil"/>
              <w:bottom w:val="nil"/>
              <w:right w:val="nil"/>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1 263,60</w:t>
            </w:r>
          </w:p>
        </w:tc>
        <w:tc>
          <w:tcPr>
            <w:tcW w:w="1085"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7,3%</w:t>
            </w:r>
          </w:p>
        </w:tc>
        <w:tc>
          <w:tcPr>
            <w:tcW w:w="1085"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20,4%</w:t>
            </w:r>
          </w:p>
        </w:tc>
        <w:tc>
          <w:tcPr>
            <w:tcW w:w="1039" w:type="dxa"/>
            <w:tcBorders>
              <w:top w:val="nil"/>
              <w:left w:val="nil"/>
              <w:bottom w:val="nil"/>
              <w:right w:val="nil"/>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-809,4</w:t>
            </w:r>
          </w:p>
        </w:tc>
        <w:tc>
          <w:tcPr>
            <w:tcW w:w="1017" w:type="dxa"/>
            <w:tcBorders>
              <w:top w:val="nil"/>
              <w:left w:val="single" w:sz="4" w:space="0" w:color="auto"/>
              <w:bottom w:val="nil"/>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-64%</w:t>
            </w:r>
          </w:p>
        </w:tc>
      </w:tr>
      <w:tr w:rsidR="002366E4" w:rsidRPr="007716E4" w:rsidTr="002366E4">
        <w:trPr>
          <w:trHeight w:val="252"/>
        </w:trPr>
        <w:tc>
          <w:tcPr>
            <w:tcW w:w="429"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cente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5</w:t>
            </w:r>
          </w:p>
        </w:tc>
        <w:tc>
          <w:tcPr>
            <w:tcW w:w="3005" w:type="dxa"/>
            <w:tcBorders>
              <w:top w:val="nil"/>
              <w:left w:val="nil"/>
              <w:bottom w:val="nil"/>
              <w:right w:val="single" w:sz="4" w:space="0" w:color="auto"/>
            </w:tcBorders>
            <w:shd w:val="clear" w:color="auto" w:fill="auto"/>
            <w:noWrap/>
            <w:vAlign w:val="bottom"/>
            <w:hideMark/>
          </w:tcPr>
          <w:p w:rsidR="002366E4" w:rsidRPr="007716E4" w:rsidRDefault="002366E4" w:rsidP="002366E4">
            <w:pP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"ТТЛ" ЕООД</w:t>
            </w:r>
          </w:p>
        </w:tc>
        <w:tc>
          <w:tcPr>
            <w:tcW w:w="1062"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337,30</w:t>
            </w:r>
          </w:p>
        </w:tc>
        <w:tc>
          <w:tcPr>
            <w:tcW w:w="1085" w:type="dxa"/>
            <w:tcBorders>
              <w:top w:val="nil"/>
              <w:left w:val="nil"/>
              <w:bottom w:val="nil"/>
              <w:right w:val="nil"/>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199,2</w:t>
            </w:r>
          </w:p>
        </w:tc>
        <w:tc>
          <w:tcPr>
            <w:tcW w:w="1085"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5,4%</w:t>
            </w:r>
          </w:p>
        </w:tc>
        <w:tc>
          <w:tcPr>
            <w:tcW w:w="1085"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3,2%</w:t>
            </w:r>
          </w:p>
        </w:tc>
        <w:tc>
          <w:tcPr>
            <w:tcW w:w="1039" w:type="dxa"/>
            <w:tcBorders>
              <w:top w:val="nil"/>
              <w:left w:val="nil"/>
              <w:bottom w:val="nil"/>
              <w:right w:val="nil"/>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138,1</w:t>
            </w:r>
          </w:p>
        </w:tc>
        <w:tc>
          <w:tcPr>
            <w:tcW w:w="1017" w:type="dxa"/>
            <w:tcBorders>
              <w:top w:val="nil"/>
              <w:left w:val="single" w:sz="4" w:space="0" w:color="auto"/>
              <w:bottom w:val="nil"/>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69%</w:t>
            </w:r>
          </w:p>
        </w:tc>
      </w:tr>
      <w:tr w:rsidR="002366E4" w:rsidRPr="007716E4" w:rsidTr="002366E4">
        <w:trPr>
          <w:trHeight w:val="252"/>
        </w:trPr>
        <w:tc>
          <w:tcPr>
            <w:tcW w:w="429"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cente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6</w:t>
            </w:r>
          </w:p>
        </w:tc>
        <w:tc>
          <w:tcPr>
            <w:tcW w:w="3005" w:type="dxa"/>
            <w:tcBorders>
              <w:top w:val="nil"/>
              <w:left w:val="nil"/>
              <w:bottom w:val="nil"/>
              <w:right w:val="single" w:sz="4" w:space="0" w:color="auto"/>
            </w:tcBorders>
            <w:shd w:val="clear" w:color="auto" w:fill="auto"/>
            <w:noWrap/>
            <w:vAlign w:val="bottom"/>
            <w:hideMark/>
          </w:tcPr>
          <w:p w:rsidR="002366E4" w:rsidRPr="007716E4" w:rsidRDefault="002366E4" w:rsidP="002366E4">
            <w:pP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"Консорциум МТ Транс" ООД</w:t>
            </w:r>
          </w:p>
        </w:tc>
        <w:tc>
          <w:tcPr>
            <w:tcW w:w="1062"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308,34</w:t>
            </w:r>
          </w:p>
        </w:tc>
        <w:tc>
          <w:tcPr>
            <w:tcW w:w="1085" w:type="dxa"/>
            <w:tcBorders>
              <w:top w:val="nil"/>
              <w:left w:val="nil"/>
              <w:bottom w:val="nil"/>
              <w:right w:val="nil"/>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284,4</w:t>
            </w:r>
          </w:p>
        </w:tc>
        <w:tc>
          <w:tcPr>
            <w:tcW w:w="1085"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4,9%</w:t>
            </w:r>
          </w:p>
        </w:tc>
        <w:tc>
          <w:tcPr>
            <w:tcW w:w="1085"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4,6%</w:t>
            </w:r>
          </w:p>
        </w:tc>
        <w:tc>
          <w:tcPr>
            <w:tcW w:w="1039" w:type="dxa"/>
            <w:tcBorders>
              <w:top w:val="nil"/>
              <w:left w:val="nil"/>
              <w:bottom w:val="nil"/>
              <w:right w:val="nil"/>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23,9</w:t>
            </w:r>
          </w:p>
        </w:tc>
        <w:tc>
          <w:tcPr>
            <w:tcW w:w="1017" w:type="dxa"/>
            <w:tcBorders>
              <w:top w:val="nil"/>
              <w:left w:val="single" w:sz="4" w:space="0" w:color="auto"/>
              <w:bottom w:val="nil"/>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8%</w:t>
            </w:r>
          </w:p>
        </w:tc>
      </w:tr>
      <w:tr w:rsidR="002366E4" w:rsidRPr="007716E4" w:rsidTr="002366E4">
        <w:trPr>
          <w:trHeight w:val="252"/>
        </w:trPr>
        <w:tc>
          <w:tcPr>
            <w:tcW w:w="429"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cente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7</w:t>
            </w:r>
          </w:p>
        </w:tc>
        <w:tc>
          <w:tcPr>
            <w:tcW w:w="3005" w:type="dxa"/>
            <w:tcBorders>
              <w:top w:val="nil"/>
              <w:left w:val="nil"/>
              <w:bottom w:val="nil"/>
              <w:right w:val="single" w:sz="4" w:space="0" w:color="auto"/>
            </w:tcBorders>
            <w:shd w:val="clear" w:color="auto" w:fill="auto"/>
            <w:noWrap/>
            <w:vAlign w:val="bottom"/>
            <w:hideMark/>
          </w:tcPr>
          <w:p w:rsidR="002366E4" w:rsidRPr="007716E4" w:rsidRDefault="002366E4" w:rsidP="002366E4">
            <w:pP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"Лукойл Нефтохим Бургас" АД</w:t>
            </w:r>
          </w:p>
        </w:tc>
        <w:tc>
          <w:tcPr>
            <w:tcW w:w="1062"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192,57</w:t>
            </w:r>
          </w:p>
        </w:tc>
        <w:tc>
          <w:tcPr>
            <w:tcW w:w="1085" w:type="dxa"/>
            <w:tcBorders>
              <w:top w:val="nil"/>
              <w:left w:val="nil"/>
              <w:bottom w:val="nil"/>
              <w:right w:val="nil"/>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68,6</w:t>
            </w:r>
          </w:p>
        </w:tc>
        <w:tc>
          <w:tcPr>
            <w:tcW w:w="1085"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3,1%</w:t>
            </w:r>
          </w:p>
        </w:tc>
        <w:tc>
          <w:tcPr>
            <w:tcW w:w="1085"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1,1%</w:t>
            </w:r>
          </w:p>
        </w:tc>
        <w:tc>
          <w:tcPr>
            <w:tcW w:w="1039" w:type="dxa"/>
            <w:tcBorders>
              <w:top w:val="nil"/>
              <w:left w:val="nil"/>
              <w:bottom w:val="nil"/>
              <w:right w:val="nil"/>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124,0</w:t>
            </w:r>
          </w:p>
        </w:tc>
        <w:tc>
          <w:tcPr>
            <w:tcW w:w="1017" w:type="dxa"/>
            <w:tcBorders>
              <w:top w:val="nil"/>
              <w:left w:val="single" w:sz="4" w:space="0" w:color="auto"/>
              <w:bottom w:val="nil"/>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181%</w:t>
            </w:r>
          </w:p>
        </w:tc>
      </w:tr>
      <w:tr w:rsidR="002366E4" w:rsidRPr="007716E4" w:rsidTr="002366E4">
        <w:trPr>
          <w:trHeight w:val="252"/>
        </w:trPr>
        <w:tc>
          <w:tcPr>
            <w:tcW w:w="429"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cente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8</w:t>
            </w:r>
          </w:p>
        </w:tc>
        <w:tc>
          <w:tcPr>
            <w:tcW w:w="3005" w:type="dxa"/>
            <w:tcBorders>
              <w:top w:val="nil"/>
              <w:left w:val="nil"/>
              <w:bottom w:val="nil"/>
              <w:right w:val="single" w:sz="4" w:space="0" w:color="auto"/>
            </w:tcBorders>
            <w:shd w:val="clear" w:color="auto" w:fill="auto"/>
            <w:noWrap/>
            <w:vAlign w:val="bottom"/>
            <w:hideMark/>
          </w:tcPr>
          <w:p w:rsidR="002366E4" w:rsidRPr="007716E4" w:rsidRDefault="002366E4" w:rsidP="002366E4">
            <w:pP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"Неохим" АД</w:t>
            </w:r>
          </w:p>
        </w:tc>
        <w:tc>
          <w:tcPr>
            <w:tcW w:w="1062"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167,81</w:t>
            </w:r>
          </w:p>
        </w:tc>
        <w:tc>
          <w:tcPr>
            <w:tcW w:w="1085" w:type="dxa"/>
            <w:tcBorders>
              <w:top w:val="nil"/>
              <w:left w:val="nil"/>
              <w:bottom w:val="nil"/>
              <w:right w:val="nil"/>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164,3</w:t>
            </w:r>
          </w:p>
        </w:tc>
        <w:tc>
          <w:tcPr>
            <w:tcW w:w="1085"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2,7%</w:t>
            </w:r>
          </w:p>
        </w:tc>
        <w:tc>
          <w:tcPr>
            <w:tcW w:w="1085"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2,6%</w:t>
            </w:r>
          </w:p>
        </w:tc>
        <w:tc>
          <w:tcPr>
            <w:tcW w:w="1039" w:type="dxa"/>
            <w:tcBorders>
              <w:top w:val="nil"/>
              <w:left w:val="nil"/>
              <w:bottom w:val="nil"/>
              <w:right w:val="nil"/>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3,5</w:t>
            </w:r>
          </w:p>
        </w:tc>
        <w:tc>
          <w:tcPr>
            <w:tcW w:w="1017" w:type="dxa"/>
            <w:tcBorders>
              <w:top w:val="nil"/>
              <w:left w:val="single" w:sz="4" w:space="0" w:color="auto"/>
              <w:bottom w:val="nil"/>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2%</w:t>
            </w:r>
          </w:p>
        </w:tc>
      </w:tr>
      <w:tr w:rsidR="002366E4" w:rsidRPr="007716E4" w:rsidTr="002366E4">
        <w:trPr>
          <w:trHeight w:val="252"/>
        </w:trPr>
        <w:tc>
          <w:tcPr>
            <w:tcW w:w="429"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cente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9</w:t>
            </w:r>
          </w:p>
        </w:tc>
        <w:tc>
          <w:tcPr>
            <w:tcW w:w="3005" w:type="dxa"/>
            <w:tcBorders>
              <w:top w:val="nil"/>
              <w:left w:val="nil"/>
              <w:bottom w:val="nil"/>
              <w:right w:val="single" w:sz="4" w:space="0" w:color="auto"/>
            </w:tcBorders>
            <w:shd w:val="clear" w:color="auto" w:fill="auto"/>
            <w:noWrap/>
            <w:vAlign w:val="bottom"/>
            <w:hideMark/>
          </w:tcPr>
          <w:p w:rsidR="002366E4" w:rsidRPr="007716E4" w:rsidRDefault="002366E4" w:rsidP="002366E4">
            <w:pP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"Вулкан Цимент" АД</w:t>
            </w:r>
          </w:p>
        </w:tc>
        <w:tc>
          <w:tcPr>
            <w:tcW w:w="1062"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154,67</w:t>
            </w:r>
          </w:p>
        </w:tc>
        <w:tc>
          <w:tcPr>
            <w:tcW w:w="1085" w:type="dxa"/>
            <w:tcBorders>
              <w:top w:val="nil"/>
              <w:left w:val="nil"/>
              <w:bottom w:val="nil"/>
              <w:right w:val="nil"/>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144,4</w:t>
            </w:r>
          </w:p>
        </w:tc>
        <w:tc>
          <w:tcPr>
            <w:tcW w:w="1085"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2,5%</w:t>
            </w:r>
          </w:p>
        </w:tc>
        <w:tc>
          <w:tcPr>
            <w:tcW w:w="1085"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2,3%</w:t>
            </w:r>
          </w:p>
        </w:tc>
        <w:tc>
          <w:tcPr>
            <w:tcW w:w="1039" w:type="dxa"/>
            <w:tcBorders>
              <w:top w:val="nil"/>
              <w:left w:val="nil"/>
              <w:bottom w:val="nil"/>
              <w:right w:val="nil"/>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10,3</w:t>
            </w:r>
          </w:p>
        </w:tc>
        <w:tc>
          <w:tcPr>
            <w:tcW w:w="1017" w:type="dxa"/>
            <w:tcBorders>
              <w:top w:val="nil"/>
              <w:left w:val="single" w:sz="4" w:space="0" w:color="auto"/>
              <w:bottom w:val="nil"/>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7%</w:t>
            </w:r>
          </w:p>
        </w:tc>
      </w:tr>
      <w:tr w:rsidR="002366E4" w:rsidRPr="007716E4" w:rsidTr="002366E4">
        <w:trPr>
          <w:trHeight w:val="252"/>
        </w:trPr>
        <w:tc>
          <w:tcPr>
            <w:tcW w:w="429"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cente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10</w:t>
            </w:r>
          </w:p>
        </w:tc>
        <w:tc>
          <w:tcPr>
            <w:tcW w:w="3005" w:type="dxa"/>
            <w:tcBorders>
              <w:top w:val="nil"/>
              <w:left w:val="nil"/>
              <w:bottom w:val="nil"/>
              <w:right w:val="single" w:sz="4" w:space="0" w:color="auto"/>
            </w:tcBorders>
            <w:shd w:val="clear" w:color="auto" w:fill="auto"/>
            <w:noWrap/>
            <w:vAlign w:val="bottom"/>
            <w:hideMark/>
          </w:tcPr>
          <w:p w:rsidR="002366E4" w:rsidRPr="007716E4" w:rsidRDefault="002366E4" w:rsidP="002366E4">
            <w:pP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"Шенкер" ЕООД</w:t>
            </w:r>
          </w:p>
        </w:tc>
        <w:tc>
          <w:tcPr>
            <w:tcW w:w="1062"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92,26</w:t>
            </w:r>
          </w:p>
        </w:tc>
        <w:tc>
          <w:tcPr>
            <w:tcW w:w="1085" w:type="dxa"/>
            <w:tcBorders>
              <w:top w:val="nil"/>
              <w:left w:val="nil"/>
              <w:bottom w:val="nil"/>
              <w:right w:val="nil"/>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94,6</w:t>
            </w:r>
          </w:p>
        </w:tc>
        <w:tc>
          <w:tcPr>
            <w:tcW w:w="1085"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1,5%</w:t>
            </w:r>
          </w:p>
        </w:tc>
        <w:tc>
          <w:tcPr>
            <w:tcW w:w="1085"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1,5%</w:t>
            </w:r>
          </w:p>
        </w:tc>
        <w:tc>
          <w:tcPr>
            <w:tcW w:w="1039" w:type="dxa"/>
            <w:tcBorders>
              <w:top w:val="nil"/>
              <w:left w:val="nil"/>
              <w:bottom w:val="nil"/>
              <w:right w:val="nil"/>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-2,3</w:t>
            </w:r>
          </w:p>
        </w:tc>
        <w:tc>
          <w:tcPr>
            <w:tcW w:w="1017" w:type="dxa"/>
            <w:tcBorders>
              <w:top w:val="nil"/>
              <w:left w:val="single" w:sz="4" w:space="0" w:color="auto"/>
              <w:bottom w:val="nil"/>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-2%</w:t>
            </w:r>
          </w:p>
        </w:tc>
      </w:tr>
      <w:tr w:rsidR="002366E4" w:rsidRPr="007716E4" w:rsidTr="002366E4">
        <w:trPr>
          <w:trHeight w:val="252"/>
        </w:trPr>
        <w:tc>
          <w:tcPr>
            <w:tcW w:w="429"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cente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11</w:t>
            </w:r>
          </w:p>
        </w:tc>
        <w:tc>
          <w:tcPr>
            <w:tcW w:w="3005" w:type="dxa"/>
            <w:tcBorders>
              <w:top w:val="nil"/>
              <w:left w:val="nil"/>
              <w:bottom w:val="nil"/>
              <w:right w:val="single" w:sz="4" w:space="0" w:color="auto"/>
            </w:tcBorders>
            <w:shd w:val="clear" w:color="auto" w:fill="auto"/>
            <w:noWrap/>
            <w:vAlign w:val="bottom"/>
            <w:hideMark/>
          </w:tcPr>
          <w:p w:rsidR="002366E4" w:rsidRPr="007716E4" w:rsidRDefault="002366E4" w:rsidP="002366E4">
            <w:pP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"Прайм Спед" АД</w:t>
            </w:r>
          </w:p>
        </w:tc>
        <w:tc>
          <w:tcPr>
            <w:tcW w:w="1062"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79,30</w:t>
            </w:r>
          </w:p>
        </w:tc>
        <w:tc>
          <w:tcPr>
            <w:tcW w:w="1085" w:type="dxa"/>
            <w:tcBorders>
              <w:top w:val="nil"/>
              <w:left w:val="nil"/>
              <w:bottom w:val="nil"/>
              <w:right w:val="nil"/>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91,6</w:t>
            </w:r>
          </w:p>
        </w:tc>
        <w:tc>
          <w:tcPr>
            <w:tcW w:w="1085"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1,3%</w:t>
            </w:r>
          </w:p>
        </w:tc>
        <w:tc>
          <w:tcPr>
            <w:tcW w:w="1085"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1,5%</w:t>
            </w:r>
          </w:p>
        </w:tc>
        <w:tc>
          <w:tcPr>
            <w:tcW w:w="1039" w:type="dxa"/>
            <w:tcBorders>
              <w:top w:val="nil"/>
              <w:left w:val="nil"/>
              <w:bottom w:val="nil"/>
              <w:right w:val="nil"/>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-12,3</w:t>
            </w:r>
          </w:p>
        </w:tc>
        <w:tc>
          <w:tcPr>
            <w:tcW w:w="1017" w:type="dxa"/>
            <w:tcBorders>
              <w:top w:val="nil"/>
              <w:left w:val="single" w:sz="4" w:space="0" w:color="auto"/>
              <w:bottom w:val="nil"/>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-13%</w:t>
            </w:r>
          </w:p>
        </w:tc>
      </w:tr>
      <w:tr w:rsidR="002366E4" w:rsidRPr="007716E4" w:rsidTr="002366E4">
        <w:trPr>
          <w:trHeight w:val="252"/>
        </w:trPr>
        <w:tc>
          <w:tcPr>
            <w:tcW w:w="429" w:type="dxa"/>
            <w:tcBorders>
              <w:top w:val="nil"/>
              <w:left w:val="single" w:sz="4" w:space="0" w:color="auto"/>
              <w:bottom w:val="nil"/>
              <w:right w:val="single" w:sz="4" w:space="0" w:color="auto"/>
            </w:tcBorders>
            <w:shd w:val="clear" w:color="auto" w:fill="auto"/>
            <w:noWrap/>
            <w:vAlign w:val="bottom"/>
            <w:hideMark/>
          </w:tcPr>
          <w:p w:rsidR="002366E4" w:rsidRPr="007716E4" w:rsidRDefault="002366E4" w:rsidP="002366E4">
            <w:pPr>
              <w:jc w:val="cente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12</w:t>
            </w:r>
          </w:p>
        </w:tc>
        <w:tc>
          <w:tcPr>
            <w:tcW w:w="3005" w:type="dxa"/>
            <w:tcBorders>
              <w:top w:val="nil"/>
              <w:left w:val="nil"/>
              <w:bottom w:val="nil"/>
              <w:right w:val="single" w:sz="4" w:space="0" w:color="auto"/>
            </w:tcBorders>
            <w:shd w:val="clear" w:color="auto" w:fill="auto"/>
            <w:noWrap/>
            <w:vAlign w:val="bottom"/>
            <w:hideMark/>
          </w:tcPr>
          <w:p w:rsidR="002366E4" w:rsidRPr="007716E4" w:rsidRDefault="002366E4" w:rsidP="002366E4">
            <w:pPr>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"Девня Цимент" АД</w:t>
            </w:r>
          </w:p>
        </w:tc>
        <w:tc>
          <w:tcPr>
            <w:tcW w:w="1062" w:type="dxa"/>
            <w:tcBorders>
              <w:top w:val="nil"/>
              <w:left w:val="nil"/>
              <w:bottom w:val="nil"/>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59,03</w:t>
            </w:r>
          </w:p>
        </w:tc>
        <w:tc>
          <w:tcPr>
            <w:tcW w:w="1085" w:type="dxa"/>
            <w:tcBorders>
              <w:top w:val="nil"/>
              <w:left w:val="nil"/>
              <w:bottom w:val="nil"/>
              <w:right w:val="nil"/>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92,8</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0,9%</w:t>
            </w:r>
          </w:p>
        </w:tc>
        <w:tc>
          <w:tcPr>
            <w:tcW w:w="1085" w:type="dxa"/>
            <w:tcBorders>
              <w:top w:val="nil"/>
              <w:left w:val="nil"/>
              <w:bottom w:val="single" w:sz="4" w:space="0" w:color="auto"/>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1,5%</w:t>
            </w:r>
          </w:p>
        </w:tc>
        <w:tc>
          <w:tcPr>
            <w:tcW w:w="1039" w:type="dxa"/>
            <w:tcBorders>
              <w:top w:val="nil"/>
              <w:left w:val="nil"/>
              <w:bottom w:val="single" w:sz="4" w:space="0" w:color="auto"/>
              <w:right w:val="nil"/>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-33,7</w:t>
            </w:r>
          </w:p>
        </w:tc>
        <w:tc>
          <w:tcPr>
            <w:tcW w:w="1017" w:type="dxa"/>
            <w:tcBorders>
              <w:top w:val="nil"/>
              <w:left w:val="single" w:sz="4" w:space="0" w:color="auto"/>
              <w:bottom w:val="single" w:sz="4" w:space="0" w:color="auto"/>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color w:val="000000"/>
                <w:sz w:val="20"/>
                <w:szCs w:val="20"/>
                <w:lang w:eastAsia="bg-BG"/>
              </w:rPr>
            </w:pPr>
            <w:r w:rsidRPr="007716E4">
              <w:rPr>
                <w:rFonts w:ascii="Calibri" w:eastAsia="Times New Roman" w:hAnsi="Calibri" w:cs="Calibri"/>
                <w:color w:val="000000"/>
                <w:sz w:val="20"/>
                <w:szCs w:val="20"/>
                <w:lang w:eastAsia="bg-BG"/>
              </w:rPr>
              <w:t>-36%</w:t>
            </w:r>
          </w:p>
        </w:tc>
      </w:tr>
      <w:tr w:rsidR="002366E4" w:rsidRPr="007716E4" w:rsidTr="002366E4">
        <w:trPr>
          <w:trHeight w:val="267"/>
        </w:trPr>
        <w:tc>
          <w:tcPr>
            <w:tcW w:w="429" w:type="dxa"/>
            <w:tcBorders>
              <w:top w:val="single" w:sz="4" w:space="0" w:color="auto"/>
              <w:left w:val="single" w:sz="4" w:space="0" w:color="auto"/>
              <w:bottom w:val="double" w:sz="6" w:space="0" w:color="auto"/>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color w:val="000000"/>
                <w:sz w:val="18"/>
                <w:szCs w:val="18"/>
                <w:lang w:eastAsia="bg-BG"/>
              </w:rPr>
            </w:pPr>
            <w:r w:rsidRPr="007716E4">
              <w:rPr>
                <w:rFonts w:ascii="Calibri" w:eastAsia="Times New Roman" w:hAnsi="Calibri" w:cs="Calibri"/>
                <w:color w:val="000000"/>
                <w:sz w:val="18"/>
                <w:szCs w:val="18"/>
                <w:lang w:eastAsia="bg-BG"/>
              </w:rPr>
              <w:t> </w:t>
            </w:r>
          </w:p>
        </w:tc>
        <w:tc>
          <w:tcPr>
            <w:tcW w:w="3005" w:type="dxa"/>
            <w:tcBorders>
              <w:top w:val="single" w:sz="4" w:space="0" w:color="auto"/>
              <w:left w:val="nil"/>
              <w:bottom w:val="double" w:sz="6" w:space="0" w:color="auto"/>
              <w:right w:val="single" w:sz="4" w:space="0" w:color="auto"/>
            </w:tcBorders>
            <w:shd w:val="clear" w:color="auto" w:fill="auto"/>
            <w:vAlign w:val="bottom"/>
            <w:hideMark/>
          </w:tcPr>
          <w:p w:rsidR="002366E4" w:rsidRPr="007716E4" w:rsidRDefault="002366E4" w:rsidP="002366E4">
            <w:pPr>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По основни товародатели общо</w:t>
            </w:r>
          </w:p>
        </w:tc>
        <w:tc>
          <w:tcPr>
            <w:tcW w:w="1062" w:type="dxa"/>
            <w:tcBorders>
              <w:top w:val="single" w:sz="4" w:space="0" w:color="auto"/>
              <w:left w:val="nil"/>
              <w:bottom w:val="double" w:sz="6" w:space="0" w:color="auto"/>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4 080,65</w:t>
            </w:r>
          </w:p>
        </w:tc>
        <w:tc>
          <w:tcPr>
            <w:tcW w:w="1085" w:type="dxa"/>
            <w:tcBorders>
              <w:top w:val="single" w:sz="4" w:space="0" w:color="auto"/>
              <w:left w:val="nil"/>
              <w:bottom w:val="double" w:sz="6" w:space="0" w:color="auto"/>
              <w:right w:val="single" w:sz="4" w:space="0" w:color="auto"/>
            </w:tcBorders>
            <w:shd w:val="clear" w:color="auto" w:fill="auto"/>
            <w:noWrap/>
            <w:vAlign w:val="bottom"/>
            <w:hideMark/>
          </w:tcPr>
          <w:p w:rsidR="002366E4" w:rsidRPr="007716E4" w:rsidRDefault="002366E4" w:rsidP="002366E4">
            <w:pPr>
              <w:jc w:val="right"/>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4 369,20</w:t>
            </w:r>
          </w:p>
        </w:tc>
        <w:tc>
          <w:tcPr>
            <w:tcW w:w="1085" w:type="dxa"/>
            <w:tcBorders>
              <w:top w:val="nil"/>
              <w:left w:val="nil"/>
              <w:bottom w:val="double" w:sz="6" w:space="0" w:color="auto"/>
              <w:right w:val="nil"/>
            </w:tcBorders>
            <w:shd w:val="clear" w:color="auto" w:fill="auto"/>
            <w:noWrap/>
            <w:vAlign w:val="bottom"/>
            <w:hideMark/>
          </w:tcPr>
          <w:p w:rsidR="002366E4" w:rsidRPr="007716E4" w:rsidRDefault="002366E4" w:rsidP="002366E4">
            <w:pPr>
              <w:jc w:val="right"/>
              <w:rPr>
                <w:rFonts w:ascii="Calibri" w:eastAsia="Times New Roman" w:hAnsi="Calibri" w:cs="Calibri"/>
                <w:b/>
                <w:bCs/>
                <w:color w:val="000000"/>
                <w:sz w:val="20"/>
                <w:szCs w:val="20"/>
                <w:lang w:eastAsia="bg-BG"/>
              </w:rPr>
            </w:pPr>
            <w:r w:rsidRPr="007716E4">
              <w:rPr>
                <w:rFonts w:ascii="Calibri" w:eastAsia="Times New Roman" w:hAnsi="Calibri" w:cs="Calibri"/>
                <w:b/>
                <w:bCs/>
                <w:color w:val="000000"/>
                <w:sz w:val="20"/>
                <w:szCs w:val="20"/>
                <w:lang w:eastAsia="bg-BG"/>
              </w:rPr>
              <w:t>65,5%</w:t>
            </w:r>
          </w:p>
        </w:tc>
        <w:tc>
          <w:tcPr>
            <w:tcW w:w="1085" w:type="dxa"/>
            <w:tcBorders>
              <w:top w:val="nil"/>
              <w:left w:val="single" w:sz="4" w:space="0" w:color="auto"/>
              <w:bottom w:val="double" w:sz="6" w:space="0" w:color="auto"/>
              <w:right w:val="nil"/>
            </w:tcBorders>
            <w:shd w:val="clear" w:color="auto" w:fill="auto"/>
            <w:noWrap/>
            <w:vAlign w:val="bottom"/>
            <w:hideMark/>
          </w:tcPr>
          <w:p w:rsidR="002366E4" w:rsidRPr="007716E4" w:rsidRDefault="002366E4" w:rsidP="002366E4">
            <w:pPr>
              <w:jc w:val="right"/>
              <w:rPr>
                <w:rFonts w:ascii="Calibri" w:eastAsia="Times New Roman" w:hAnsi="Calibri" w:cs="Calibri"/>
                <w:b/>
                <w:bCs/>
                <w:color w:val="000000"/>
                <w:sz w:val="20"/>
                <w:szCs w:val="20"/>
                <w:lang w:eastAsia="bg-BG"/>
              </w:rPr>
            </w:pPr>
            <w:r w:rsidRPr="007716E4">
              <w:rPr>
                <w:rFonts w:ascii="Calibri" w:eastAsia="Times New Roman" w:hAnsi="Calibri" w:cs="Calibri"/>
                <w:b/>
                <w:bCs/>
                <w:color w:val="000000"/>
                <w:sz w:val="20"/>
                <w:szCs w:val="20"/>
                <w:lang w:eastAsia="bg-BG"/>
              </w:rPr>
              <w:t>70,5%</w:t>
            </w:r>
          </w:p>
        </w:tc>
        <w:tc>
          <w:tcPr>
            <w:tcW w:w="1039" w:type="dxa"/>
            <w:tcBorders>
              <w:top w:val="nil"/>
              <w:left w:val="single" w:sz="4" w:space="0" w:color="auto"/>
              <w:bottom w:val="double" w:sz="6" w:space="0" w:color="auto"/>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-288,5</w:t>
            </w:r>
          </w:p>
        </w:tc>
        <w:tc>
          <w:tcPr>
            <w:tcW w:w="1017" w:type="dxa"/>
            <w:tcBorders>
              <w:top w:val="nil"/>
              <w:left w:val="nil"/>
              <w:bottom w:val="double" w:sz="6" w:space="0" w:color="auto"/>
              <w:right w:val="single" w:sz="4" w:space="0" w:color="auto"/>
            </w:tcBorders>
            <w:shd w:val="clear" w:color="auto" w:fill="auto"/>
            <w:vAlign w:val="bottom"/>
            <w:hideMark/>
          </w:tcPr>
          <w:p w:rsidR="002366E4" w:rsidRPr="007716E4" w:rsidRDefault="002366E4" w:rsidP="002366E4">
            <w:pPr>
              <w:jc w:val="right"/>
              <w:rPr>
                <w:rFonts w:ascii="Calibri" w:eastAsia="Times New Roman" w:hAnsi="Calibri" w:cs="Calibri"/>
                <w:b/>
                <w:bCs/>
                <w:color w:val="000000"/>
                <w:sz w:val="18"/>
                <w:szCs w:val="18"/>
                <w:lang w:eastAsia="bg-BG"/>
              </w:rPr>
            </w:pPr>
            <w:r w:rsidRPr="007716E4">
              <w:rPr>
                <w:rFonts w:ascii="Calibri" w:eastAsia="Times New Roman" w:hAnsi="Calibri" w:cs="Calibri"/>
                <w:b/>
                <w:bCs/>
                <w:color w:val="000000"/>
                <w:sz w:val="18"/>
                <w:szCs w:val="18"/>
                <w:lang w:eastAsia="bg-BG"/>
              </w:rPr>
              <w:t>-6,6%</w:t>
            </w:r>
          </w:p>
        </w:tc>
      </w:tr>
    </w:tbl>
    <w:p w:rsidR="002366E4" w:rsidRPr="007716E4" w:rsidRDefault="002366E4" w:rsidP="00F7536F">
      <w:pPr>
        <w:pStyle w:val="BodyText"/>
        <w:jc w:val="both"/>
        <w:rPr>
          <w:sz w:val="24"/>
        </w:rPr>
      </w:pPr>
    </w:p>
    <w:p w:rsidR="00F7536F" w:rsidRPr="007716E4" w:rsidRDefault="00F7536F" w:rsidP="00F7536F">
      <w:pPr>
        <w:jc w:val="both"/>
      </w:pPr>
      <w:r w:rsidRPr="007716E4">
        <w:rPr>
          <w:b/>
        </w:rPr>
        <w:t>Крупните товародатели и спедитори</w:t>
      </w:r>
      <w:r w:rsidRPr="007716E4">
        <w:t xml:space="preserve"> осигуряват 6</w:t>
      </w:r>
      <w:r w:rsidRPr="007716E4">
        <w:rPr>
          <w:lang w:val="en-US"/>
        </w:rPr>
        <w:t>5</w:t>
      </w:r>
      <w:r w:rsidRPr="007716E4">
        <w:t>,</w:t>
      </w:r>
      <w:r w:rsidR="00436EE2" w:rsidRPr="007716E4">
        <w:t>5</w:t>
      </w:r>
      <w:r w:rsidRPr="007716E4">
        <w:t>% от о</w:t>
      </w:r>
      <w:r w:rsidR="00436EE2" w:rsidRPr="007716E4">
        <w:t xml:space="preserve">бема на превозените товари през </w:t>
      </w:r>
      <w:r w:rsidRPr="007716E4">
        <w:rPr>
          <w:shd w:val="clear" w:color="auto" w:fill="FFFFFF"/>
        </w:rPr>
        <w:t>2017 г., като техният относителен дял е бил 70,</w:t>
      </w:r>
      <w:r w:rsidR="00436EE2" w:rsidRPr="007716E4">
        <w:rPr>
          <w:shd w:val="clear" w:color="auto" w:fill="FFFFFF"/>
        </w:rPr>
        <w:t>5</w:t>
      </w:r>
      <w:r w:rsidRPr="007716E4">
        <w:rPr>
          <w:shd w:val="clear" w:color="auto" w:fill="FFFFFF"/>
        </w:rPr>
        <w:t>% през предходната година.</w:t>
      </w:r>
    </w:p>
    <w:p w:rsidR="00F7536F" w:rsidRPr="007716E4" w:rsidRDefault="00F7536F" w:rsidP="00F7536F">
      <w:pPr>
        <w:jc w:val="both"/>
      </w:pPr>
      <w:r w:rsidRPr="007716E4">
        <w:rPr>
          <w:b/>
        </w:rPr>
        <w:t xml:space="preserve">Намаление на обема превозени товари </w:t>
      </w:r>
      <w:r w:rsidRPr="007716E4">
        <w:t xml:space="preserve">2017 г., спрямо </w:t>
      </w:r>
      <w:r w:rsidR="000B538A" w:rsidRPr="007716E4">
        <w:t xml:space="preserve">2016 </w:t>
      </w:r>
      <w:r w:rsidRPr="007716E4">
        <w:t xml:space="preserve">година се наблюдава при следните товародатели и спедитори: </w:t>
      </w:r>
    </w:p>
    <w:p w:rsidR="00F7536F" w:rsidRPr="007716E4" w:rsidRDefault="00F7536F" w:rsidP="00F7536F">
      <w:pPr>
        <w:numPr>
          <w:ilvl w:val="0"/>
          <w:numId w:val="12"/>
        </w:numPr>
        <w:suppressAutoHyphens/>
        <w:jc w:val="both"/>
        <w:rPr>
          <w:color w:val="000000"/>
          <w:lang w:eastAsia="bg-BG"/>
        </w:rPr>
      </w:pPr>
      <w:r w:rsidRPr="007716E4">
        <w:t xml:space="preserve">„ТИ БИ ЕЛ” ЕООД – намаление с </w:t>
      </w:r>
      <w:r w:rsidR="0022596A" w:rsidRPr="007716E4">
        <w:t>809,4</w:t>
      </w:r>
      <w:r w:rsidRPr="007716E4">
        <w:t xml:space="preserve"> хил. тона или 6</w:t>
      </w:r>
      <w:r w:rsidR="0022596A" w:rsidRPr="007716E4">
        <w:t>4</w:t>
      </w:r>
      <w:r w:rsidRPr="007716E4">
        <w:t xml:space="preserve">%. </w:t>
      </w:r>
      <w:r w:rsidRPr="007716E4">
        <w:rPr>
          <w:i/>
        </w:rPr>
        <w:t xml:space="preserve">От началото на тази година осъществява самостоятелно превозите на каменни въглища по релацията гара Драгоман (Бели Брег и Станянци) – Голямо село. </w:t>
      </w:r>
      <w:r w:rsidRPr="007716E4">
        <w:t>Отпаднали са превози на въглища от гара Сарафово до гара Сливен, поради закриване на мината в Сарафово;</w:t>
      </w:r>
    </w:p>
    <w:p w:rsidR="00F7536F" w:rsidRPr="007716E4" w:rsidRDefault="00F7536F" w:rsidP="00F7536F">
      <w:pPr>
        <w:numPr>
          <w:ilvl w:val="0"/>
          <w:numId w:val="12"/>
        </w:numPr>
        <w:suppressAutoHyphens/>
        <w:jc w:val="both"/>
      </w:pPr>
      <w:r w:rsidRPr="007716E4">
        <w:t>„Девня цимент” АД – намаление на превозените тонове с 3</w:t>
      </w:r>
      <w:r w:rsidR="00C500D4" w:rsidRPr="007716E4">
        <w:t>3</w:t>
      </w:r>
      <w:r w:rsidRPr="007716E4">
        <w:t>,</w:t>
      </w:r>
      <w:r w:rsidR="00C500D4" w:rsidRPr="007716E4">
        <w:t>7</w:t>
      </w:r>
      <w:r w:rsidRPr="007716E4">
        <w:t xml:space="preserve"> хил. тона или 3</w:t>
      </w:r>
      <w:r w:rsidR="00C500D4" w:rsidRPr="007716E4">
        <w:t>6</w:t>
      </w:r>
      <w:r w:rsidRPr="007716E4">
        <w:t>%;</w:t>
      </w:r>
    </w:p>
    <w:p w:rsidR="00F7536F" w:rsidRPr="007716E4" w:rsidRDefault="00F7536F" w:rsidP="00F7536F">
      <w:pPr>
        <w:numPr>
          <w:ilvl w:val="0"/>
          <w:numId w:val="12"/>
        </w:numPr>
        <w:suppressAutoHyphens/>
        <w:jc w:val="both"/>
        <w:rPr>
          <w:b/>
          <w:bCs/>
        </w:rPr>
      </w:pPr>
      <w:r w:rsidRPr="007716E4">
        <w:t xml:space="preserve"> „Прайм Спед” АД - намаление с 12,</w:t>
      </w:r>
      <w:r w:rsidR="00C500D4" w:rsidRPr="007716E4">
        <w:t>3</w:t>
      </w:r>
      <w:r w:rsidRPr="007716E4">
        <w:t xml:space="preserve"> хил. тона или 1</w:t>
      </w:r>
      <w:r w:rsidR="00C500D4" w:rsidRPr="007716E4">
        <w:t>3</w:t>
      </w:r>
      <w:r w:rsidRPr="007716E4">
        <w:t>%;</w:t>
      </w:r>
    </w:p>
    <w:p w:rsidR="00F7536F" w:rsidRPr="008E36CA" w:rsidRDefault="00F7536F" w:rsidP="00F7536F">
      <w:pPr>
        <w:numPr>
          <w:ilvl w:val="0"/>
          <w:numId w:val="12"/>
        </w:numPr>
        <w:suppressAutoHyphens/>
        <w:jc w:val="both"/>
        <w:rPr>
          <w:color w:val="000000"/>
          <w:lang w:eastAsia="bg-BG"/>
        </w:rPr>
      </w:pPr>
      <w:r w:rsidRPr="008E36CA">
        <w:t>„Шенкер” ЕООД – намаление с 2,</w:t>
      </w:r>
      <w:r w:rsidR="00C500D4" w:rsidRPr="008E36CA">
        <w:t>3</w:t>
      </w:r>
      <w:r w:rsidRPr="008E36CA">
        <w:t xml:space="preserve"> хил. тона или </w:t>
      </w:r>
      <w:r w:rsidR="00C500D4" w:rsidRPr="008E36CA">
        <w:t>2</w:t>
      </w:r>
      <w:r w:rsidRPr="008E36CA">
        <w:t>%</w:t>
      </w:r>
      <w:r w:rsidR="003A5D0A" w:rsidRPr="008E36CA">
        <w:t>.</w:t>
      </w:r>
    </w:p>
    <w:p w:rsidR="00F7536F" w:rsidRPr="008E36CA" w:rsidRDefault="00F7536F" w:rsidP="00F7536F">
      <w:pPr>
        <w:shd w:val="clear" w:color="auto" w:fill="FFFFFF"/>
        <w:suppressAutoHyphens/>
        <w:ind w:left="720"/>
        <w:jc w:val="both"/>
        <w:rPr>
          <w:color w:val="000000"/>
          <w:lang w:eastAsia="bg-BG"/>
        </w:rPr>
      </w:pPr>
    </w:p>
    <w:p w:rsidR="00F7536F" w:rsidRPr="008E36CA" w:rsidRDefault="00F7536F" w:rsidP="00F7536F">
      <w:pPr>
        <w:jc w:val="both"/>
      </w:pPr>
      <w:r w:rsidRPr="008E36CA">
        <w:rPr>
          <w:b/>
        </w:rPr>
        <w:t xml:space="preserve">Увеличение на обема превозени товари </w:t>
      </w:r>
      <w:r w:rsidRPr="008E36CA">
        <w:t>за 2017 г., спрямо предходната година се наблюдава при:</w:t>
      </w:r>
    </w:p>
    <w:p w:rsidR="00F7536F" w:rsidRPr="008E36CA" w:rsidRDefault="00F7536F" w:rsidP="00377C18">
      <w:pPr>
        <w:numPr>
          <w:ilvl w:val="0"/>
          <w:numId w:val="12"/>
        </w:numPr>
        <w:suppressAutoHyphens/>
        <w:jc w:val="both"/>
      </w:pPr>
      <w:r w:rsidRPr="008E36CA">
        <w:t>„ТТЛ” ЕООД – увеличението е със 1</w:t>
      </w:r>
      <w:r w:rsidR="00377C18" w:rsidRPr="008E36CA">
        <w:t>38,1</w:t>
      </w:r>
      <w:r w:rsidRPr="008E36CA">
        <w:t xml:space="preserve"> хил. тона или 6</w:t>
      </w:r>
      <w:r w:rsidR="00377C18" w:rsidRPr="008E36CA">
        <w:t>9</w:t>
      </w:r>
      <w:r w:rsidRPr="008E36CA">
        <w:t xml:space="preserve">%.; </w:t>
      </w:r>
    </w:p>
    <w:p w:rsidR="00F7536F" w:rsidRPr="008E36CA" w:rsidRDefault="00F7536F" w:rsidP="00377C18">
      <w:pPr>
        <w:numPr>
          <w:ilvl w:val="0"/>
          <w:numId w:val="12"/>
        </w:numPr>
        <w:suppressAutoHyphens/>
        <w:jc w:val="both"/>
      </w:pPr>
      <w:r w:rsidRPr="008E36CA">
        <w:t>„Лукойл Нефтохим Бургас”АД – увеличение на превозените товари със 1</w:t>
      </w:r>
      <w:r w:rsidR="00377C18" w:rsidRPr="008E36CA">
        <w:t>24,0</w:t>
      </w:r>
      <w:r w:rsidRPr="008E36CA">
        <w:t xml:space="preserve"> хил. тона или 18</w:t>
      </w:r>
      <w:r w:rsidR="00377C18" w:rsidRPr="008E36CA">
        <w:t>1</w:t>
      </w:r>
      <w:r w:rsidRPr="008E36CA">
        <w:t>%.;</w:t>
      </w:r>
    </w:p>
    <w:p w:rsidR="00377C18" w:rsidRPr="008E36CA" w:rsidRDefault="00377C18" w:rsidP="00377C18">
      <w:pPr>
        <w:numPr>
          <w:ilvl w:val="0"/>
          <w:numId w:val="12"/>
        </w:numPr>
        <w:suppressAutoHyphens/>
        <w:jc w:val="both"/>
      </w:pPr>
      <w:r w:rsidRPr="008E36CA">
        <w:t>„Трансленд” ООД – увеличение с 94,7 хил. тона или 11%;</w:t>
      </w:r>
    </w:p>
    <w:p w:rsidR="00377C18" w:rsidRPr="008E36CA" w:rsidRDefault="00377C18" w:rsidP="00377C18">
      <w:pPr>
        <w:numPr>
          <w:ilvl w:val="0"/>
          <w:numId w:val="12"/>
        </w:numPr>
        <w:suppressAutoHyphens/>
        <w:jc w:val="both"/>
      </w:pPr>
      <w:r w:rsidRPr="008E36CA">
        <w:t xml:space="preserve">„Каолин” АД – увеличение с 92,3 хил. тона или 15%; </w:t>
      </w:r>
    </w:p>
    <w:p w:rsidR="00F7536F" w:rsidRPr="008E36CA" w:rsidRDefault="00F7536F" w:rsidP="00377C18">
      <w:pPr>
        <w:numPr>
          <w:ilvl w:val="0"/>
          <w:numId w:val="12"/>
        </w:numPr>
        <w:suppressAutoHyphens/>
        <w:jc w:val="both"/>
      </w:pPr>
      <w:r w:rsidRPr="008E36CA">
        <w:t>„Стомана индъстри” АД - увеличение с</w:t>
      </w:r>
      <w:r w:rsidR="00377C18" w:rsidRPr="008E36CA">
        <w:t xml:space="preserve"> 82,3</w:t>
      </w:r>
      <w:r w:rsidRPr="008E36CA">
        <w:t xml:space="preserve"> хил. тона или 24%.; </w:t>
      </w:r>
    </w:p>
    <w:p w:rsidR="00F7536F" w:rsidRPr="008E36CA" w:rsidRDefault="00377C18" w:rsidP="00377C18">
      <w:pPr>
        <w:numPr>
          <w:ilvl w:val="0"/>
          <w:numId w:val="12"/>
        </w:numPr>
        <w:suppressAutoHyphens/>
        <w:jc w:val="both"/>
      </w:pPr>
      <w:r w:rsidRPr="008E36CA">
        <w:t xml:space="preserve"> </w:t>
      </w:r>
      <w:r w:rsidR="00F7536F" w:rsidRPr="008E36CA">
        <w:t xml:space="preserve">„Консорциум МТ Транс” ООД – увеличение с </w:t>
      </w:r>
      <w:r w:rsidRPr="008E36CA">
        <w:t>23,9</w:t>
      </w:r>
      <w:r w:rsidR="00F7536F" w:rsidRPr="008E36CA">
        <w:t xml:space="preserve"> хил. тона или </w:t>
      </w:r>
      <w:r w:rsidRPr="008E36CA">
        <w:t>8</w:t>
      </w:r>
      <w:r w:rsidR="00F7536F" w:rsidRPr="008E36CA">
        <w:t>%;</w:t>
      </w:r>
    </w:p>
    <w:p w:rsidR="00F7536F" w:rsidRPr="008E36CA" w:rsidRDefault="00F7536F" w:rsidP="00377C18">
      <w:pPr>
        <w:numPr>
          <w:ilvl w:val="0"/>
          <w:numId w:val="12"/>
        </w:numPr>
        <w:suppressAutoHyphens/>
        <w:jc w:val="both"/>
      </w:pPr>
      <w:r w:rsidRPr="008E36CA">
        <w:t>„Вулкан цимент” АД – увеличение с 1</w:t>
      </w:r>
      <w:r w:rsidR="00377C18" w:rsidRPr="008E36CA">
        <w:t>0</w:t>
      </w:r>
      <w:r w:rsidRPr="008E36CA">
        <w:t xml:space="preserve">,3 хил. тона или </w:t>
      </w:r>
      <w:r w:rsidR="00377C18" w:rsidRPr="008E36CA">
        <w:t>7</w:t>
      </w:r>
      <w:r w:rsidRPr="008E36CA">
        <w:t xml:space="preserve">%. </w:t>
      </w:r>
    </w:p>
    <w:p w:rsidR="003A5D0A" w:rsidRDefault="003A5D0A" w:rsidP="00377C18">
      <w:pPr>
        <w:numPr>
          <w:ilvl w:val="0"/>
          <w:numId w:val="12"/>
        </w:numPr>
        <w:suppressAutoHyphens/>
        <w:jc w:val="both"/>
      </w:pPr>
      <w:r w:rsidRPr="008E36CA">
        <w:t xml:space="preserve">„Неохим” АД </w:t>
      </w:r>
      <w:r w:rsidR="00377C18" w:rsidRPr="008E36CA">
        <w:t>увеличение</w:t>
      </w:r>
      <w:r w:rsidRPr="008E36CA">
        <w:t xml:space="preserve"> с </w:t>
      </w:r>
      <w:r w:rsidR="00377C18" w:rsidRPr="008E36CA">
        <w:t xml:space="preserve"> 3,5 </w:t>
      </w:r>
      <w:r w:rsidRPr="008E36CA">
        <w:t xml:space="preserve">хил. тона или 2%. </w:t>
      </w:r>
    </w:p>
    <w:p w:rsidR="00743C9A" w:rsidRPr="008E36CA" w:rsidRDefault="00743C9A" w:rsidP="00743C9A">
      <w:pPr>
        <w:suppressAutoHyphens/>
        <w:ind w:left="720"/>
        <w:jc w:val="both"/>
      </w:pPr>
    </w:p>
    <w:tbl>
      <w:tblPr>
        <w:tblW w:w="9943" w:type="dxa"/>
        <w:tblInd w:w="55" w:type="dxa"/>
        <w:tblCellMar>
          <w:left w:w="70" w:type="dxa"/>
          <w:right w:w="70" w:type="dxa"/>
        </w:tblCellMar>
        <w:tblLook w:val="04A0" w:firstRow="1" w:lastRow="0" w:firstColumn="1" w:lastColumn="0" w:noHBand="0" w:noVBand="1"/>
      </w:tblPr>
      <w:tblGrid>
        <w:gridCol w:w="2131"/>
        <w:gridCol w:w="1307"/>
        <w:gridCol w:w="1277"/>
        <w:gridCol w:w="1289"/>
        <w:gridCol w:w="1297"/>
        <w:gridCol w:w="1315"/>
        <w:gridCol w:w="1327"/>
      </w:tblGrid>
      <w:tr w:rsidR="00EC629B" w:rsidRPr="00AA3FA0" w:rsidTr="00111A05">
        <w:trPr>
          <w:trHeight w:val="255"/>
        </w:trPr>
        <w:tc>
          <w:tcPr>
            <w:tcW w:w="2131"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EC629B" w:rsidRPr="00AA3FA0" w:rsidRDefault="00EC629B" w:rsidP="00EC629B">
            <w:pPr>
              <w:jc w:val="center"/>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Международно съобщение</w:t>
            </w:r>
          </w:p>
        </w:tc>
        <w:tc>
          <w:tcPr>
            <w:tcW w:w="5170" w:type="dxa"/>
            <w:gridSpan w:val="4"/>
            <w:tcBorders>
              <w:top w:val="single" w:sz="4" w:space="0" w:color="auto"/>
              <w:left w:val="nil"/>
              <w:bottom w:val="single" w:sz="4" w:space="0" w:color="auto"/>
              <w:right w:val="single" w:sz="4" w:space="0" w:color="auto"/>
            </w:tcBorders>
            <w:shd w:val="clear" w:color="auto" w:fill="auto"/>
            <w:noWrap/>
            <w:vAlign w:val="bottom"/>
            <w:hideMark/>
          </w:tcPr>
          <w:p w:rsidR="00EC629B" w:rsidRPr="00AA3FA0" w:rsidRDefault="00EC629B" w:rsidP="00EC629B">
            <w:pPr>
              <w:jc w:val="center"/>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Превозени товари (хил. тона)</w:t>
            </w:r>
          </w:p>
        </w:tc>
        <w:tc>
          <w:tcPr>
            <w:tcW w:w="1315" w:type="dxa"/>
            <w:tcBorders>
              <w:top w:val="single" w:sz="4" w:space="0" w:color="auto"/>
              <w:left w:val="nil"/>
              <w:bottom w:val="single" w:sz="4" w:space="0" w:color="auto"/>
              <w:right w:val="single" w:sz="4" w:space="0" w:color="auto"/>
            </w:tcBorders>
            <w:shd w:val="clear" w:color="auto" w:fill="auto"/>
            <w:noWrap/>
            <w:vAlign w:val="bottom"/>
            <w:hideMark/>
          </w:tcPr>
          <w:p w:rsidR="00EC629B" w:rsidRPr="00AA3FA0" w:rsidRDefault="00EC629B" w:rsidP="00EC629B">
            <w:pPr>
              <w:jc w:val="center"/>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Разлика +/-</w:t>
            </w:r>
          </w:p>
        </w:tc>
        <w:tc>
          <w:tcPr>
            <w:tcW w:w="1327" w:type="dxa"/>
            <w:tcBorders>
              <w:top w:val="single" w:sz="4" w:space="0" w:color="auto"/>
              <w:left w:val="nil"/>
              <w:bottom w:val="single" w:sz="4" w:space="0" w:color="auto"/>
              <w:right w:val="single" w:sz="4" w:space="0" w:color="auto"/>
            </w:tcBorders>
            <w:shd w:val="clear" w:color="auto" w:fill="auto"/>
            <w:noWrap/>
            <w:vAlign w:val="bottom"/>
            <w:hideMark/>
          </w:tcPr>
          <w:p w:rsidR="00EC629B" w:rsidRPr="00AA3FA0" w:rsidRDefault="00EC629B" w:rsidP="00EC629B">
            <w:pPr>
              <w:jc w:val="center"/>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w:t>
            </w:r>
          </w:p>
        </w:tc>
      </w:tr>
      <w:tr w:rsidR="00EC629B" w:rsidRPr="00AA3FA0" w:rsidTr="00743C9A">
        <w:trPr>
          <w:trHeight w:val="255"/>
        </w:trPr>
        <w:tc>
          <w:tcPr>
            <w:tcW w:w="2131" w:type="dxa"/>
            <w:vMerge/>
            <w:tcBorders>
              <w:top w:val="single" w:sz="4" w:space="0" w:color="auto"/>
              <w:left w:val="single" w:sz="4" w:space="0" w:color="auto"/>
              <w:bottom w:val="single" w:sz="4" w:space="0" w:color="000000"/>
              <w:right w:val="single" w:sz="4" w:space="0" w:color="auto"/>
            </w:tcBorders>
            <w:vAlign w:val="center"/>
            <w:hideMark/>
          </w:tcPr>
          <w:p w:rsidR="00EC629B" w:rsidRPr="00AA3FA0" w:rsidRDefault="00EC629B" w:rsidP="00EC629B">
            <w:pPr>
              <w:rPr>
                <w:rFonts w:ascii="Calibri" w:eastAsia="Times New Roman" w:hAnsi="Calibri" w:cs="Calibri"/>
                <w:b/>
                <w:bCs/>
                <w:color w:val="000000"/>
                <w:sz w:val="18"/>
                <w:szCs w:val="18"/>
                <w:lang w:eastAsia="bg-BG"/>
              </w:rPr>
            </w:pPr>
          </w:p>
        </w:tc>
        <w:tc>
          <w:tcPr>
            <w:tcW w:w="1307" w:type="dxa"/>
            <w:tcBorders>
              <w:top w:val="nil"/>
              <w:left w:val="nil"/>
              <w:bottom w:val="nil"/>
              <w:right w:val="nil"/>
            </w:tcBorders>
            <w:shd w:val="clear" w:color="auto" w:fill="auto"/>
            <w:noWrap/>
            <w:vAlign w:val="bottom"/>
            <w:hideMark/>
          </w:tcPr>
          <w:p w:rsidR="00EC629B" w:rsidRPr="00AA3FA0" w:rsidRDefault="00EC629B" w:rsidP="00EC629B">
            <w:pPr>
              <w:jc w:val="center"/>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 xml:space="preserve"> 2017 г.</w:t>
            </w:r>
          </w:p>
        </w:tc>
        <w:tc>
          <w:tcPr>
            <w:tcW w:w="1277" w:type="dxa"/>
            <w:tcBorders>
              <w:top w:val="nil"/>
              <w:left w:val="single" w:sz="4" w:space="0" w:color="auto"/>
              <w:bottom w:val="single" w:sz="4" w:space="0" w:color="auto"/>
              <w:right w:val="single" w:sz="4" w:space="0" w:color="auto"/>
            </w:tcBorders>
            <w:shd w:val="clear" w:color="auto" w:fill="auto"/>
            <w:noWrap/>
            <w:vAlign w:val="bottom"/>
            <w:hideMark/>
          </w:tcPr>
          <w:p w:rsidR="00EC629B" w:rsidRPr="00AA3FA0" w:rsidRDefault="00EC629B" w:rsidP="00EC629B">
            <w:pPr>
              <w:jc w:val="center"/>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Отн. дял %</w:t>
            </w:r>
          </w:p>
        </w:tc>
        <w:tc>
          <w:tcPr>
            <w:tcW w:w="1289" w:type="dxa"/>
            <w:tcBorders>
              <w:top w:val="nil"/>
              <w:left w:val="nil"/>
              <w:bottom w:val="nil"/>
              <w:right w:val="single" w:sz="4" w:space="0" w:color="auto"/>
            </w:tcBorders>
            <w:shd w:val="clear" w:color="auto" w:fill="auto"/>
            <w:noWrap/>
            <w:vAlign w:val="bottom"/>
            <w:hideMark/>
          </w:tcPr>
          <w:p w:rsidR="00EC629B" w:rsidRPr="00AA3FA0" w:rsidRDefault="00EC629B" w:rsidP="00EC629B">
            <w:pPr>
              <w:jc w:val="center"/>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 xml:space="preserve"> 2016 г.</w:t>
            </w:r>
          </w:p>
        </w:tc>
        <w:tc>
          <w:tcPr>
            <w:tcW w:w="1297" w:type="dxa"/>
            <w:tcBorders>
              <w:top w:val="nil"/>
              <w:left w:val="nil"/>
              <w:bottom w:val="single" w:sz="4" w:space="0" w:color="auto"/>
              <w:right w:val="single" w:sz="4" w:space="0" w:color="auto"/>
            </w:tcBorders>
            <w:shd w:val="clear" w:color="auto" w:fill="auto"/>
            <w:noWrap/>
            <w:vAlign w:val="bottom"/>
            <w:hideMark/>
          </w:tcPr>
          <w:p w:rsidR="00EC629B" w:rsidRPr="00AA3FA0" w:rsidRDefault="00EC629B" w:rsidP="00EC629B">
            <w:pPr>
              <w:jc w:val="center"/>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Отн. дял %</w:t>
            </w:r>
          </w:p>
        </w:tc>
        <w:tc>
          <w:tcPr>
            <w:tcW w:w="1315" w:type="dxa"/>
            <w:tcBorders>
              <w:top w:val="nil"/>
              <w:left w:val="nil"/>
              <w:bottom w:val="nil"/>
              <w:right w:val="single" w:sz="4" w:space="0" w:color="auto"/>
            </w:tcBorders>
            <w:shd w:val="clear" w:color="auto" w:fill="auto"/>
            <w:noWrap/>
            <w:vAlign w:val="bottom"/>
            <w:hideMark/>
          </w:tcPr>
          <w:p w:rsidR="00EC629B" w:rsidRPr="00AA3FA0" w:rsidRDefault="00EC629B" w:rsidP="00EC629B">
            <w:pPr>
              <w:jc w:val="center"/>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2017г. -2016г.</w:t>
            </w:r>
          </w:p>
        </w:tc>
        <w:tc>
          <w:tcPr>
            <w:tcW w:w="1327" w:type="dxa"/>
            <w:tcBorders>
              <w:top w:val="nil"/>
              <w:left w:val="nil"/>
              <w:bottom w:val="nil"/>
              <w:right w:val="single" w:sz="4" w:space="0" w:color="auto"/>
            </w:tcBorders>
            <w:shd w:val="clear" w:color="auto" w:fill="auto"/>
            <w:noWrap/>
            <w:vAlign w:val="bottom"/>
            <w:hideMark/>
          </w:tcPr>
          <w:p w:rsidR="00EC629B" w:rsidRPr="00AA3FA0" w:rsidRDefault="00EC629B" w:rsidP="00EC629B">
            <w:pPr>
              <w:jc w:val="center"/>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2017г./2016г.</w:t>
            </w:r>
          </w:p>
        </w:tc>
      </w:tr>
      <w:tr w:rsidR="00EC629B" w:rsidRPr="00AA3FA0" w:rsidTr="00743C9A">
        <w:trPr>
          <w:trHeight w:val="255"/>
        </w:trPr>
        <w:tc>
          <w:tcPr>
            <w:tcW w:w="2131" w:type="dxa"/>
            <w:tcBorders>
              <w:top w:val="nil"/>
              <w:left w:val="single" w:sz="4" w:space="0" w:color="auto"/>
              <w:bottom w:val="nil"/>
              <w:right w:val="single" w:sz="4" w:space="0" w:color="auto"/>
            </w:tcBorders>
            <w:shd w:val="clear" w:color="auto" w:fill="auto"/>
            <w:noWrap/>
            <w:vAlign w:val="bottom"/>
            <w:hideMark/>
          </w:tcPr>
          <w:p w:rsidR="00EC629B" w:rsidRPr="00AA3FA0" w:rsidRDefault="00EC629B" w:rsidP="00EC629B">
            <w:pPr>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Внос</w:t>
            </w:r>
          </w:p>
        </w:tc>
        <w:tc>
          <w:tcPr>
            <w:tcW w:w="1307" w:type="dxa"/>
            <w:tcBorders>
              <w:top w:val="single" w:sz="4" w:space="0" w:color="auto"/>
              <w:left w:val="nil"/>
              <w:bottom w:val="nil"/>
              <w:right w:val="nil"/>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722,4</w:t>
            </w:r>
          </w:p>
        </w:tc>
        <w:tc>
          <w:tcPr>
            <w:tcW w:w="1277" w:type="dxa"/>
            <w:tcBorders>
              <w:top w:val="nil"/>
              <w:left w:val="single" w:sz="4" w:space="0" w:color="auto"/>
              <w:bottom w:val="nil"/>
              <w:right w:val="single" w:sz="4" w:space="0" w:color="auto"/>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30,3%</w:t>
            </w:r>
          </w:p>
        </w:tc>
        <w:tc>
          <w:tcPr>
            <w:tcW w:w="1289" w:type="dxa"/>
            <w:tcBorders>
              <w:top w:val="single" w:sz="4" w:space="0" w:color="auto"/>
              <w:left w:val="nil"/>
              <w:bottom w:val="nil"/>
              <w:right w:val="nil"/>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746,9</w:t>
            </w:r>
          </w:p>
        </w:tc>
        <w:tc>
          <w:tcPr>
            <w:tcW w:w="1297" w:type="dxa"/>
            <w:tcBorders>
              <w:top w:val="nil"/>
              <w:left w:val="single" w:sz="4" w:space="0" w:color="auto"/>
              <w:bottom w:val="nil"/>
              <w:right w:val="single" w:sz="4" w:space="0" w:color="auto"/>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32,8%</w:t>
            </w:r>
          </w:p>
        </w:tc>
        <w:tc>
          <w:tcPr>
            <w:tcW w:w="1315" w:type="dxa"/>
            <w:tcBorders>
              <w:top w:val="single" w:sz="4" w:space="0" w:color="auto"/>
              <w:left w:val="nil"/>
              <w:bottom w:val="nil"/>
              <w:right w:val="nil"/>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-24,5</w:t>
            </w:r>
          </w:p>
        </w:tc>
        <w:tc>
          <w:tcPr>
            <w:tcW w:w="1327" w:type="dxa"/>
            <w:tcBorders>
              <w:top w:val="single" w:sz="4" w:space="0" w:color="auto"/>
              <w:left w:val="single" w:sz="4" w:space="0" w:color="auto"/>
              <w:bottom w:val="nil"/>
              <w:right w:val="single" w:sz="4" w:space="0" w:color="auto"/>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-3,3%</w:t>
            </w:r>
          </w:p>
        </w:tc>
      </w:tr>
      <w:tr w:rsidR="00EC629B" w:rsidRPr="00AA3FA0" w:rsidTr="00743C9A">
        <w:trPr>
          <w:trHeight w:val="255"/>
        </w:trPr>
        <w:tc>
          <w:tcPr>
            <w:tcW w:w="2131" w:type="dxa"/>
            <w:tcBorders>
              <w:top w:val="nil"/>
              <w:left w:val="single" w:sz="4" w:space="0" w:color="auto"/>
              <w:bottom w:val="nil"/>
              <w:right w:val="single" w:sz="4" w:space="0" w:color="auto"/>
            </w:tcBorders>
            <w:shd w:val="clear" w:color="auto" w:fill="auto"/>
            <w:noWrap/>
            <w:vAlign w:val="bottom"/>
            <w:hideMark/>
          </w:tcPr>
          <w:p w:rsidR="00EC629B" w:rsidRPr="00AA3FA0" w:rsidRDefault="00EC629B" w:rsidP="00EC629B">
            <w:pPr>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Износ</w:t>
            </w:r>
          </w:p>
        </w:tc>
        <w:tc>
          <w:tcPr>
            <w:tcW w:w="1307" w:type="dxa"/>
            <w:tcBorders>
              <w:top w:val="nil"/>
              <w:left w:val="nil"/>
              <w:bottom w:val="nil"/>
              <w:right w:val="nil"/>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1 292,0</w:t>
            </w:r>
          </w:p>
        </w:tc>
        <w:tc>
          <w:tcPr>
            <w:tcW w:w="1277" w:type="dxa"/>
            <w:tcBorders>
              <w:top w:val="nil"/>
              <w:left w:val="single" w:sz="4" w:space="0" w:color="auto"/>
              <w:bottom w:val="nil"/>
              <w:right w:val="single" w:sz="4" w:space="0" w:color="auto"/>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54,1%</w:t>
            </w:r>
          </w:p>
        </w:tc>
        <w:tc>
          <w:tcPr>
            <w:tcW w:w="1289" w:type="dxa"/>
            <w:tcBorders>
              <w:top w:val="nil"/>
              <w:left w:val="nil"/>
              <w:bottom w:val="nil"/>
              <w:right w:val="nil"/>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882,5</w:t>
            </w:r>
          </w:p>
        </w:tc>
        <w:tc>
          <w:tcPr>
            <w:tcW w:w="1297" w:type="dxa"/>
            <w:tcBorders>
              <w:top w:val="nil"/>
              <w:left w:val="single" w:sz="4" w:space="0" w:color="auto"/>
              <w:bottom w:val="nil"/>
              <w:right w:val="single" w:sz="4" w:space="0" w:color="auto"/>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38,8%</w:t>
            </w:r>
          </w:p>
        </w:tc>
        <w:tc>
          <w:tcPr>
            <w:tcW w:w="1315" w:type="dxa"/>
            <w:tcBorders>
              <w:top w:val="nil"/>
              <w:left w:val="nil"/>
              <w:bottom w:val="nil"/>
              <w:right w:val="nil"/>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409,6</w:t>
            </w:r>
          </w:p>
        </w:tc>
        <w:tc>
          <w:tcPr>
            <w:tcW w:w="1327" w:type="dxa"/>
            <w:tcBorders>
              <w:top w:val="nil"/>
              <w:left w:val="single" w:sz="4" w:space="0" w:color="auto"/>
              <w:bottom w:val="nil"/>
              <w:right w:val="single" w:sz="4" w:space="0" w:color="auto"/>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46,4%</w:t>
            </w:r>
          </w:p>
        </w:tc>
      </w:tr>
      <w:tr w:rsidR="00EC629B" w:rsidRPr="00AA3FA0" w:rsidTr="00743C9A">
        <w:trPr>
          <w:trHeight w:val="255"/>
        </w:trPr>
        <w:tc>
          <w:tcPr>
            <w:tcW w:w="2131" w:type="dxa"/>
            <w:tcBorders>
              <w:top w:val="nil"/>
              <w:left w:val="single" w:sz="4" w:space="0" w:color="auto"/>
              <w:bottom w:val="single" w:sz="4" w:space="0" w:color="auto"/>
              <w:right w:val="single" w:sz="4" w:space="0" w:color="auto"/>
            </w:tcBorders>
            <w:shd w:val="clear" w:color="auto" w:fill="auto"/>
            <w:noWrap/>
            <w:vAlign w:val="bottom"/>
            <w:hideMark/>
          </w:tcPr>
          <w:p w:rsidR="00EC629B" w:rsidRPr="00AA3FA0" w:rsidRDefault="00EC629B" w:rsidP="00EC629B">
            <w:pPr>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Транзит</w:t>
            </w:r>
          </w:p>
        </w:tc>
        <w:tc>
          <w:tcPr>
            <w:tcW w:w="1307" w:type="dxa"/>
            <w:tcBorders>
              <w:top w:val="nil"/>
              <w:left w:val="nil"/>
              <w:bottom w:val="single" w:sz="4" w:space="0" w:color="auto"/>
              <w:right w:val="nil"/>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372,1</w:t>
            </w:r>
          </w:p>
        </w:tc>
        <w:tc>
          <w:tcPr>
            <w:tcW w:w="1277" w:type="dxa"/>
            <w:tcBorders>
              <w:top w:val="nil"/>
              <w:left w:val="single" w:sz="4" w:space="0" w:color="auto"/>
              <w:bottom w:val="nil"/>
              <w:right w:val="single" w:sz="4" w:space="0" w:color="auto"/>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15,6%</w:t>
            </w:r>
          </w:p>
        </w:tc>
        <w:tc>
          <w:tcPr>
            <w:tcW w:w="1289" w:type="dxa"/>
            <w:tcBorders>
              <w:top w:val="nil"/>
              <w:left w:val="nil"/>
              <w:bottom w:val="single" w:sz="4" w:space="0" w:color="auto"/>
              <w:right w:val="nil"/>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646,9</w:t>
            </w:r>
          </w:p>
        </w:tc>
        <w:tc>
          <w:tcPr>
            <w:tcW w:w="1297" w:type="dxa"/>
            <w:tcBorders>
              <w:top w:val="nil"/>
              <w:left w:val="single" w:sz="4" w:space="0" w:color="auto"/>
              <w:bottom w:val="nil"/>
              <w:right w:val="single" w:sz="4" w:space="0" w:color="auto"/>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28,4%</w:t>
            </w:r>
          </w:p>
        </w:tc>
        <w:tc>
          <w:tcPr>
            <w:tcW w:w="1315" w:type="dxa"/>
            <w:tcBorders>
              <w:top w:val="nil"/>
              <w:left w:val="nil"/>
              <w:bottom w:val="single" w:sz="4" w:space="0" w:color="auto"/>
              <w:right w:val="nil"/>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-274,9</w:t>
            </w:r>
          </w:p>
        </w:tc>
        <w:tc>
          <w:tcPr>
            <w:tcW w:w="1327" w:type="dxa"/>
            <w:tcBorders>
              <w:top w:val="nil"/>
              <w:left w:val="single" w:sz="4" w:space="0" w:color="auto"/>
              <w:bottom w:val="single" w:sz="4" w:space="0" w:color="auto"/>
              <w:right w:val="single" w:sz="4" w:space="0" w:color="auto"/>
            </w:tcBorders>
            <w:shd w:val="clear" w:color="auto" w:fill="auto"/>
            <w:noWrap/>
            <w:vAlign w:val="bottom"/>
            <w:hideMark/>
          </w:tcPr>
          <w:p w:rsidR="00EC629B" w:rsidRPr="00AA3FA0" w:rsidRDefault="00EC629B" w:rsidP="00EC629B">
            <w:pPr>
              <w:jc w:val="right"/>
              <w:rPr>
                <w:rFonts w:ascii="Calibri" w:eastAsia="Times New Roman" w:hAnsi="Calibri" w:cs="Calibri"/>
                <w:color w:val="000000"/>
                <w:sz w:val="18"/>
                <w:szCs w:val="18"/>
                <w:lang w:eastAsia="bg-BG"/>
              </w:rPr>
            </w:pPr>
            <w:r w:rsidRPr="00AA3FA0">
              <w:rPr>
                <w:rFonts w:ascii="Calibri" w:eastAsia="Times New Roman" w:hAnsi="Calibri" w:cs="Calibri"/>
                <w:color w:val="000000"/>
                <w:sz w:val="18"/>
                <w:szCs w:val="18"/>
                <w:lang w:eastAsia="bg-BG"/>
              </w:rPr>
              <w:t>-42,5%</w:t>
            </w:r>
          </w:p>
        </w:tc>
      </w:tr>
      <w:tr w:rsidR="00EC629B" w:rsidRPr="00AA3FA0" w:rsidTr="00743C9A">
        <w:trPr>
          <w:trHeight w:val="270"/>
        </w:trPr>
        <w:tc>
          <w:tcPr>
            <w:tcW w:w="2131" w:type="dxa"/>
            <w:tcBorders>
              <w:top w:val="nil"/>
              <w:left w:val="single" w:sz="4" w:space="0" w:color="auto"/>
              <w:bottom w:val="double" w:sz="6" w:space="0" w:color="auto"/>
              <w:right w:val="single" w:sz="4" w:space="0" w:color="auto"/>
            </w:tcBorders>
            <w:shd w:val="clear" w:color="auto" w:fill="auto"/>
            <w:noWrap/>
            <w:vAlign w:val="bottom"/>
            <w:hideMark/>
          </w:tcPr>
          <w:p w:rsidR="00EC629B" w:rsidRPr="00AA3FA0" w:rsidRDefault="00EC629B" w:rsidP="00EC629B">
            <w:pPr>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Общо</w:t>
            </w:r>
          </w:p>
        </w:tc>
        <w:tc>
          <w:tcPr>
            <w:tcW w:w="1307" w:type="dxa"/>
            <w:tcBorders>
              <w:top w:val="nil"/>
              <w:left w:val="nil"/>
              <w:bottom w:val="double" w:sz="6" w:space="0" w:color="auto"/>
              <w:right w:val="single" w:sz="4" w:space="0" w:color="auto"/>
            </w:tcBorders>
            <w:shd w:val="clear" w:color="auto" w:fill="auto"/>
            <w:noWrap/>
            <w:vAlign w:val="bottom"/>
            <w:hideMark/>
          </w:tcPr>
          <w:p w:rsidR="00EC629B" w:rsidRPr="00AA3FA0" w:rsidRDefault="00EC629B" w:rsidP="00EC629B">
            <w:pPr>
              <w:jc w:val="right"/>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2 386,5</w:t>
            </w:r>
          </w:p>
        </w:tc>
        <w:tc>
          <w:tcPr>
            <w:tcW w:w="1277" w:type="dxa"/>
            <w:tcBorders>
              <w:top w:val="single" w:sz="4" w:space="0" w:color="auto"/>
              <w:left w:val="nil"/>
              <w:bottom w:val="double" w:sz="6" w:space="0" w:color="auto"/>
              <w:right w:val="single" w:sz="4" w:space="0" w:color="auto"/>
            </w:tcBorders>
            <w:shd w:val="clear" w:color="auto" w:fill="auto"/>
            <w:noWrap/>
            <w:vAlign w:val="bottom"/>
            <w:hideMark/>
          </w:tcPr>
          <w:p w:rsidR="00EC629B" w:rsidRPr="00AA3FA0" w:rsidRDefault="00EC629B" w:rsidP="00EC629B">
            <w:pPr>
              <w:jc w:val="right"/>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100,0%</w:t>
            </w:r>
          </w:p>
        </w:tc>
        <w:tc>
          <w:tcPr>
            <w:tcW w:w="1289" w:type="dxa"/>
            <w:tcBorders>
              <w:top w:val="nil"/>
              <w:left w:val="nil"/>
              <w:bottom w:val="double" w:sz="6" w:space="0" w:color="auto"/>
              <w:right w:val="single" w:sz="4" w:space="0" w:color="auto"/>
            </w:tcBorders>
            <w:shd w:val="clear" w:color="auto" w:fill="auto"/>
            <w:noWrap/>
            <w:vAlign w:val="bottom"/>
            <w:hideMark/>
          </w:tcPr>
          <w:p w:rsidR="00EC629B" w:rsidRPr="00AA3FA0" w:rsidRDefault="00EC629B" w:rsidP="00EC629B">
            <w:pPr>
              <w:jc w:val="right"/>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2 276,3</w:t>
            </w:r>
          </w:p>
        </w:tc>
        <w:tc>
          <w:tcPr>
            <w:tcW w:w="1297" w:type="dxa"/>
            <w:tcBorders>
              <w:top w:val="single" w:sz="4" w:space="0" w:color="auto"/>
              <w:left w:val="nil"/>
              <w:bottom w:val="double" w:sz="6" w:space="0" w:color="auto"/>
              <w:right w:val="single" w:sz="4" w:space="0" w:color="auto"/>
            </w:tcBorders>
            <w:shd w:val="clear" w:color="auto" w:fill="auto"/>
            <w:noWrap/>
            <w:vAlign w:val="bottom"/>
            <w:hideMark/>
          </w:tcPr>
          <w:p w:rsidR="00EC629B" w:rsidRPr="00AA3FA0" w:rsidRDefault="00EC629B" w:rsidP="00EC629B">
            <w:pPr>
              <w:jc w:val="right"/>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100,0%</w:t>
            </w:r>
          </w:p>
        </w:tc>
        <w:tc>
          <w:tcPr>
            <w:tcW w:w="1315" w:type="dxa"/>
            <w:tcBorders>
              <w:top w:val="nil"/>
              <w:left w:val="nil"/>
              <w:bottom w:val="double" w:sz="6" w:space="0" w:color="auto"/>
              <w:right w:val="single" w:sz="4" w:space="0" w:color="auto"/>
            </w:tcBorders>
            <w:shd w:val="clear" w:color="auto" w:fill="auto"/>
            <w:noWrap/>
            <w:vAlign w:val="bottom"/>
            <w:hideMark/>
          </w:tcPr>
          <w:p w:rsidR="00EC629B" w:rsidRPr="00AA3FA0" w:rsidRDefault="00EC629B" w:rsidP="00EC629B">
            <w:pPr>
              <w:jc w:val="right"/>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110,2</w:t>
            </w:r>
          </w:p>
        </w:tc>
        <w:tc>
          <w:tcPr>
            <w:tcW w:w="1327" w:type="dxa"/>
            <w:tcBorders>
              <w:top w:val="nil"/>
              <w:left w:val="nil"/>
              <w:bottom w:val="double" w:sz="6" w:space="0" w:color="auto"/>
              <w:right w:val="single" w:sz="4" w:space="0" w:color="auto"/>
            </w:tcBorders>
            <w:shd w:val="clear" w:color="auto" w:fill="auto"/>
            <w:noWrap/>
            <w:vAlign w:val="bottom"/>
            <w:hideMark/>
          </w:tcPr>
          <w:p w:rsidR="00EC629B" w:rsidRPr="00AA3FA0" w:rsidRDefault="00EC629B" w:rsidP="00EC629B">
            <w:pPr>
              <w:jc w:val="right"/>
              <w:rPr>
                <w:rFonts w:ascii="Calibri" w:eastAsia="Times New Roman" w:hAnsi="Calibri" w:cs="Calibri"/>
                <w:b/>
                <w:bCs/>
                <w:color w:val="000000"/>
                <w:sz w:val="18"/>
                <w:szCs w:val="18"/>
                <w:lang w:eastAsia="bg-BG"/>
              </w:rPr>
            </w:pPr>
            <w:r w:rsidRPr="00AA3FA0">
              <w:rPr>
                <w:rFonts w:ascii="Calibri" w:eastAsia="Times New Roman" w:hAnsi="Calibri" w:cs="Calibri"/>
                <w:b/>
                <w:bCs/>
                <w:color w:val="000000"/>
                <w:sz w:val="18"/>
                <w:szCs w:val="18"/>
                <w:lang w:eastAsia="bg-BG"/>
              </w:rPr>
              <w:t>4,8%</w:t>
            </w:r>
          </w:p>
        </w:tc>
      </w:tr>
    </w:tbl>
    <w:p w:rsidR="00056902" w:rsidRDefault="00056902" w:rsidP="00F7536F">
      <w:pPr>
        <w:spacing w:after="120"/>
        <w:jc w:val="both"/>
        <w:rPr>
          <w:b/>
        </w:rPr>
      </w:pPr>
    </w:p>
    <w:p w:rsidR="00F7536F" w:rsidRPr="00AA3FA0" w:rsidRDefault="00F7536F" w:rsidP="00F7536F">
      <w:pPr>
        <w:spacing w:after="120"/>
        <w:jc w:val="both"/>
      </w:pPr>
      <w:r w:rsidRPr="00AA3FA0">
        <w:rPr>
          <w:b/>
        </w:rPr>
        <w:t xml:space="preserve">Вносът, в размер на </w:t>
      </w:r>
      <w:r w:rsidR="007716E4" w:rsidRPr="00AA3FA0">
        <w:rPr>
          <w:b/>
        </w:rPr>
        <w:t>72</w:t>
      </w:r>
      <w:r w:rsidRPr="00AA3FA0">
        <w:rPr>
          <w:b/>
        </w:rPr>
        <w:t>2,4 хил. тона представлява 30,</w:t>
      </w:r>
      <w:r w:rsidR="007716E4" w:rsidRPr="00AA3FA0">
        <w:rPr>
          <w:b/>
        </w:rPr>
        <w:t>3</w:t>
      </w:r>
      <w:r w:rsidRPr="00AA3FA0">
        <w:rPr>
          <w:b/>
        </w:rPr>
        <w:t>% от общото количество товари</w:t>
      </w:r>
      <w:r w:rsidRPr="00AA3FA0">
        <w:t>, превозени в международно съобщен</w:t>
      </w:r>
      <w:r w:rsidR="007716E4" w:rsidRPr="00AA3FA0">
        <w:t>ие през 2017 г. Намален е с 24,5</w:t>
      </w:r>
      <w:r w:rsidRPr="00AA3FA0">
        <w:t xml:space="preserve"> хил. тона или 3,</w:t>
      </w:r>
      <w:r w:rsidR="007716E4" w:rsidRPr="00AA3FA0">
        <w:t>3</w:t>
      </w:r>
      <w:r w:rsidRPr="00AA3FA0">
        <w:t>%, спрямо 2016 г. Най-голям обем има вносът от:</w:t>
      </w:r>
    </w:p>
    <w:p w:rsidR="00F7536F" w:rsidRPr="00AA3FA0" w:rsidRDefault="00F7536F" w:rsidP="00F7536F">
      <w:pPr>
        <w:numPr>
          <w:ilvl w:val="0"/>
          <w:numId w:val="5"/>
        </w:numPr>
        <w:ind w:left="1145" w:hanging="357"/>
        <w:jc w:val="both"/>
      </w:pPr>
      <w:r w:rsidRPr="00AA3FA0">
        <w:lastRenderedPageBreak/>
        <w:t>Сърбия – 1</w:t>
      </w:r>
      <w:r w:rsidR="00C349A7" w:rsidRPr="00AA3FA0">
        <w:t>5</w:t>
      </w:r>
      <w:r w:rsidRPr="00AA3FA0">
        <w:t>5,</w:t>
      </w:r>
      <w:r w:rsidR="00C349A7" w:rsidRPr="00AA3FA0">
        <w:t>5</w:t>
      </w:r>
      <w:r w:rsidRPr="00AA3FA0">
        <w:t xml:space="preserve"> хил. тона или 21,</w:t>
      </w:r>
      <w:r w:rsidR="00C349A7" w:rsidRPr="00AA3FA0">
        <w:t>5</w:t>
      </w:r>
      <w:r w:rsidRPr="00AA3FA0">
        <w:t>% от общото количество внесени товари. Внася се оловен и цинков концентрат, руди, изделия на черна и цветна металургия, скрап, натрошено стъкло, хранителни продукти и фуражи и др.;</w:t>
      </w:r>
    </w:p>
    <w:p w:rsidR="0054559D" w:rsidRPr="00AA3FA0" w:rsidRDefault="0054559D" w:rsidP="0054559D">
      <w:pPr>
        <w:numPr>
          <w:ilvl w:val="0"/>
          <w:numId w:val="5"/>
        </w:numPr>
        <w:ind w:left="1145" w:hanging="357"/>
        <w:jc w:val="both"/>
      </w:pPr>
      <w:r w:rsidRPr="00AA3FA0">
        <w:t>Румъния</w:t>
      </w:r>
      <w:r w:rsidR="00CF56DE" w:rsidRPr="00AA3FA0">
        <w:t xml:space="preserve"> </w:t>
      </w:r>
      <w:r w:rsidRPr="00AA3FA0">
        <w:t>–</w:t>
      </w:r>
      <w:r w:rsidR="00CF56DE" w:rsidRPr="00AA3FA0">
        <w:t xml:space="preserve"> </w:t>
      </w:r>
      <w:r w:rsidRPr="00AA3FA0">
        <w:t>108,3 хил.тона или 15,0% от общото количество внесени товари. От Румъния се осъществява внос на киселини, петролни деривати, газ пропан-бутан, метален скрап, руди, машини и др.;</w:t>
      </w:r>
    </w:p>
    <w:p w:rsidR="007F126B" w:rsidRPr="00AA3FA0" w:rsidRDefault="007F126B" w:rsidP="007F126B">
      <w:pPr>
        <w:numPr>
          <w:ilvl w:val="0"/>
          <w:numId w:val="5"/>
        </w:numPr>
        <w:ind w:left="1145" w:hanging="357"/>
        <w:jc w:val="both"/>
      </w:pPr>
      <w:r w:rsidRPr="00AA3FA0">
        <w:t>Русия –</w:t>
      </w:r>
      <w:r w:rsidR="00CF56DE" w:rsidRPr="00AA3FA0">
        <w:t xml:space="preserve"> </w:t>
      </w:r>
      <w:r w:rsidRPr="00AA3FA0">
        <w:t>106,99 хил. тона или 14,8% от общото количество товари, внесени в Р България през 2017 г. От Русия се осъществява внос на газ-пропан бутан, нефт и нефтопродукти, машини, селскостопански продукти, химични вещества и продукти и др.;</w:t>
      </w:r>
    </w:p>
    <w:p w:rsidR="00F7536F" w:rsidRPr="00AA3FA0" w:rsidRDefault="00F7536F" w:rsidP="00F7536F">
      <w:pPr>
        <w:numPr>
          <w:ilvl w:val="0"/>
          <w:numId w:val="5"/>
        </w:numPr>
        <w:ind w:left="1145" w:hanging="357"/>
        <w:jc w:val="both"/>
      </w:pPr>
      <w:r w:rsidRPr="00AA3FA0">
        <w:t xml:space="preserve">Турция – </w:t>
      </w:r>
      <w:r w:rsidR="00B635A6" w:rsidRPr="00AA3FA0">
        <w:t>106,0</w:t>
      </w:r>
      <w:r w:rsidRPr="00AA3FA0">
        <w:t xml:space="preserve"> хил.тона или 1</w:t>
      </w:r>
      <w:r w:rsidR="00B635A6" w:rsidRPr="00AA3FA0">
        <w:t>4</w:t>
      </w:r>
      <w:r w:rsidRPr="00AA3FA0">
        <w:t>,</w:t>
      </w:r>
      <w:r w:rsidR="00B635A6" w:rsidRPr="00AA3FA0">
        <w:t>7</w:t>
      </w:r>
      <w:r w:rsidRPr="00AA3FA0">
        <w:t xml:space="preserve">% от общото количество внесени товари, предимно обработени и необработени нерудни суровини, машини, транспортни средства, фабрични изделия и др. разнообразни стоки, селскостопански продукти и др.; </w:t>
      </w:r>
    </w:p>
    <w:p w:rsidR="00F7536F" w:rsidRPr="00AA3FA0" w:rsidRDefault="00F7536F" w:rsidP="00F7536F">
      <w:pPr>
        <w:numPr>
          <w:ilvl w:val="0"/>
          <w:numId w:val="5"/>
        </w:numPr>
        <w:ind w:left="1145" w:hanging="357"/>
        <w:jc w:val="both"/>
      </w:pPr>
      <w:r w:rsidRPr="00AA3FA0">
        <w:t xml:space="preserve">Унгария – </w:t>
      </w:r>
      <w:r w:rsidR="00B635A6" w:rsidRPr="00AA3FA0">
        <w:t>61,8</w:t>
      </w:r>
      <w:r w:rsidRPr="00AA3FA0">
        <w:t xml:space="preserve"> хил. тона или 8,</w:t>
      </w:r>
      <w:r w:rsidR="00B635A6" w:rsidRPr="00AA3FA0">
        <w:t>5</w:t>
      </w:r>
      <w:r w:rsidRPr="00AA3FA0">
        <w:t>% от общото количество. Внася се предимно газ пропан – бутан, химични вещества и продукти, машини, ламинат, хранителни продукти и др.;</w:t>
      </w:r>
    </w:p>
    <w:p w:rsidR="00F7536F" w:rsidRPr="00AA3FA0" w:rsidRDefault="000135D2" w:rsidP="00F7536F">
      <w:pPr>
        <w:numPr>
          <w:ilvl w:val="0"/>
          <w:numId w:val="5"/>
        </w:numPr>
        <w:ind w:left="1145" w:hanging="357"/>
        <w:jc w:val="both"/>
      </w:pPr>
      <w:r w:rsidRPr="00AA3FA0">
        <w:t>Австрия – 55,2</w:t>
      </w:r>
      <w:r w:rsidR="00F7536F" w:rsidRPr="00AA3FA0">
        <w:t xml:space="preserve"> хил. тона или 7,</w:t>
      </w:r>
      <w:r w:rsidRPr="00AA3FA0">
        <w:t>6</w:t>
      </w:r>
      <w:r w:rsidR="00F7536F" w:rsidRPr="00AA3FA0">
        <w:t>% от общото количество, предимно машини, транспортни средства, фабрични изделия и др. разнообразни стоки, химични вещества и продукти, хранителни продукти и др.</w:t>
      </w:r>
    </w:p>
    <w:p w:rsidR="000E1500" w:rsidRDefault="000E1500" w:rsidP="00F7536F">
      <w:pPr>
        <w:jc w:val="both"/>
        <w:rPr>
          <w:b/>
        </w:rPr>
      </w:pPr>
    </w:p>
    <w:p w:rsidR="00F7536F" w:rsidRPr="00AA3FA0" w:rsidRDefault="00F7536F" w:rsidP="00F7536F">
      <w:pPr>
        <w:jc w:val="both"/>
      </w:pPr>
      <w:r w:rsidRPr="00AA3FA0">
        <w:rPr>
          <w:b/>
        </w:rPr>
        <w:t>Износът, в размер на 1 </w:t>
      </w:r>
      <w:r w:rsidR="008E36CA" w:rsidRPr="00AA3FA0">
        <w:rPr>
          <w:b/>
        </w:rPr>
        <w:t>2</w:t>
      </w:r>
      <w:r w:rsidRPr="00AA3FA0">
        <w:rPr>
          <w:b/>
        </w:rPr>
        <w:t>92,</w:t>
      </w:r>
      <w:r w:rsidR="008E36CA" w:rsidRPr="00AA3FA0">
        <w:rPr>
          <w:b/>
        </w:rPr>
        <w:t>0</w:t>
      </w:r>
      <w:r w:rsidRPr="00AA3FA0">
        <w:rPr>
          <w:b/>
        </w:rPr>
        <w:t xml:space="preserve"> хил. тона представлява 54,</w:t>
      </w:r>
      <w:r w:rsidR="008E36CA" w:rsidRPr="00AA3FA0">
        <w:rPr>
          <w:b/>
        </w:rPr>
        <w:t>1</w:t>
      </w:r>
      <w:r w:rsidRPr="00AA3FA0">
        <w:rPr>
          <w:b/>
        </w:rPr>
        <w:t>% от общото количество товари</w:t>
      </w:r>
      <w:r w:rsidRPr="00AA3FA0">
        <w:t xml:space="preserve">, превозени в международно съобщение през 2017 г. В сравнение с 2016 г., износът се увеличава с </w:t>
      </w:r>
      <w:r w:rsidR="008E36CA" w:rsidRPr="00AA3FA0">
        <w:t>409,6</w:t>
      </w:r>
      <w:r w:rsidRPr="00AA3FA0">
        <w:t xml:space="preserve"> хил. тона или 4</w:t>
      </w:r>
      <w:r w:rsidR="008E36CA" w:rsidRPr="00AA3FA0">
        <w:t>6</w:t>
      </w:r>
      <w:r w:rsidRPr="00AA3FA0">
        <w:t>,</w:t>
      </w:r>
      <w:r w:rsidR="008E36CA" w:rsidRPr="00AA3FA0">
        <w:t>4</w:t>
      </w:r>
      <w:r w:rsidRPr="00AA3FA0">
        <w:t>%. Най-голям относителен дял има износът на стоки за:</w:t>
      </w:r>
    </w:p>
    <w:p w:rsidR="00F7536F" w:rsidRPr="00AA3FA0" w:rsidRDefault="00F7536F" w:rsidP="00F7536F">
      <w:pPr>
        <w:numPr>
          <w:ilvl w:val="0"/>
          <w:numId w:val="5"/>
        </w:numPr>
        <w:ind w:left="1145" w:hanging="357"/>
        <w:jc w:val="both"/>
      </w:pPr>
      <w:r w:rsidRPr="00AA3FA0">
        <w:t>Турция – 3</w:t>
      </w:r>
      <w:r w:rsidR="006A6142" w:rsidRPr="00AA3FA0">
        <w:t>8</w:t>
      </w:r>
      <w:r w:rsidRPr="00AA3FA0">
        <w:t>0,</w:t>
      </w:r>
      <w:r w:rsidR="006A6142" w:rsidRPr="00AA3FA0">
        <w:t>5</w:t>
      </w:r>
      <w:r w:rsidRPr="00AA3FA0">
        <w:t xml:space="preserve"> хил. тона или 29,4% от общото количество на износа - предимно хранителни продукти и фуражи, обработени и необработени нерудни суровини, машини, транспортни средства, фабрични изделия и др. разнообразни стоки, дървен материал, химически вещества и продукти, скрап, торове, селскостопански продукти;</w:t>
      </w:r>
      <w:r w:rsidR="006A6142" w:rsidRPr="00AA3FA0">
        <w:t xml:space="preserve"> </w:t>
      </w:r>
    </w:p>
    <w:p w:rsidR="006A6142" w:rsidRPr="00AA3FA0" w:rsidRDefault="006A6142" w:rsidP="006A6142">
      <w:pPr>
        <w:numPr>
          <w:ilvl w:val="0"/>
          <w:numId w:val="5"/>
        </w:numPr>
        <w:ind w:left="1145" w:hanging="357"/>
        <w:jc w:val="both"/>
      </w:pPr>
      <w:r w:rsidRPr="00AA3FA0">
        <w:t>Румъния – 209,8 хил. тона или 16,2% от износа – предимно торове, обработени и необработени нерудни суровини, метални изделия, гипсови плоскости, изделия на черна и цветна металургия;</w:t>
      </w:r>
    </w:p>
    <w:p w:rsidR="00F7536F" w:rsidRPr="00AA3FA0" w:rsidRDefault="00F7536F" w:rsidP="00F7536F">
      <w:pPr>
        <w:numPr>
          <w:ilvl w:val="0"/>
          <w:numId w:val="5"/>
        </w:numPr>
        <w:ind w:left="1145" w:hanging="357"/>
        <w:jc w:val="both"/>
      </w:pPr>
      <w:r w:rsidRPr="00AA3FA0">
        <w:t xml:space="preserve">Словакия – </w:t>
      </w:r>
      <w:r w:rsidR="006A6142" w:rsidRPr="00AA3FA0">
        <w:t>207,5</w:t>
      </w:r>
      <w:r w:rsidRPr="00AA3FA0">
        <w:t xml:space="preserve"> хил. тона или 16,</w:t>
      </w:r>
      <w:r w:rsidR="006A6142" w:rsidRPr="00AA3FA0">
        <w:t>1</w:t>
      </w:r>
      <w:r w:rsidRPr="00AA3FA0">
        <w:t xml:space="preserve">% от обема на </w:t>
      </w:r>
      <w:r w:rsidR="006A6142" w:rsidRPr="00AA3FA0">
        <w:t>из</w:t>
      </w:r>
      <w:r w:rsidRPr="00AA3FA0">
        <w:t>носа, предимно руди и метални отпадъци;</w:t>
      </w:r>
    </w:p>
    <w:p w:rsidR="00F7536F" w:rsidRPr="00AA3FA0" w:rsidRDefault="00F7536F" w:rsidP="00F7536F">
      <w:pPr>
        <w:numPr>
          <w:ilvl w:val="0"/>
          <w:numId w:val="5"/>
        </w:numPr>
        <w:ind w:left="1145" w:hanging="357"/>
        <w:jc w:val="both"/>
      </w:pPr>
      <w:r w:rsidRPr="00AA3FA0">
        <w:t>Сърбия – 1</w:t>
      </w:r>
      <w:r w:rsidR="006A6142" w:rsidRPr="00AA3FA0">
        <w:t>86,6</w:t>
      </w:r>
      <w:r w:rsidRPr="00AA3FA0">
        <w:t xml:space="preserve"> хил. тона или 14,</w:t>
      </w:r>
      <w:r w:rsidR="006A6142" w:rsidRPr="00AA3FA0">
        <w:t>4</w:t>
      </w:r>
      <w:r w:rsidRPr="00AA3FA0">
        <w:t>% от общото количество на износа, предимно руди и концентрати, метални отпадъци, химически вещества и продукти (амоняк), дизелово гориво, селскостопански продукти и др;</w:t>
      </w:r>
    </w:p>
    <w:p w:rsidR="00F7536F" w:rsidRPr="00AA3FA0" w:rsidRDefault="00F7536F" w:rsidP="00F7536F">
      <w:pPr>
        <w:numPr>
          <w:ilvl w:val="0"/>
          <w:numId w:val="5"/>
        </w:numPr>
        <w:ind w:left="1145" w:hanging="357"/>
        <w:jc w:val="both"/>
      </w:pPr>
      <w:r w:rsidRPr="00AA3FA0">
        <w:t>Македония –</w:t>
      </w:r>
      <w:r w:rsidR="006A6142" w:rsidRPr="00AA3FA0">
        <w:t xml:space="preserve"> 101,2</w:t>
      </w:r>
      <w:r w:rsidRPr="00AA3FA0">
        <w:t xml:space="preserve"> хил. тона или 7,</w:t>
      </w:r>
      <w:r w:rsidR="006A6142" w:rsidRPr="00AA3FA0">
        <w:t>8</w:t>
      </w:r>
      <w:r w:rsidRPr="00AA3FA0">
        <w:t>% от износа - предимно скрап, торове и др..</w:t>
      </w:r>
    </w:p>
    <w:p w:rsidR="000E1500" w:rsidRDefault="000E1500" w:rsidP="00F7536F">
      <w:pPr>
        <w:jc w:val="both"/>
        <w:rPr>
          <w:b/>
        </w:rPr>
      </w:pPr>
    </w:p>
    <w:p w:rsidR="00F7536F" w:rsidRPr="00AA3FA0" w:rsidRDefault="00F7536F" w:rsidP="00F7536F">
      <w:pPr>
        <w:jc w:val="both"/>
      </w:pPr>
      <w:r w:rsidRPr="00AA3FA0">
        <w:rPr>
          <w:b/>
        </w:rPr>
        <w:t>Транзитът, в размер на 3</w:t>
      </w:r>
      <w:r w:rsidR="00AA3FA0" w:rsidRPr="00AA3FA0">
        <w:rPr>
          <w:b/>
        </w:rPr>
        <w:t>72,1</w:t>
      </w:r>
      <w:r w:rsidRPr="00AA3FA0">
        <w:rPr>
          <w:b/>
        </w:rPr>
        <w:t xml:space="preserve"> хил. тона представлява 15,</w:t>
      </w:r>
      <w:r w:rsidR="00AA3FA0" w:rsidRPr="00AA3FA0">
        <w:rPr>
          <w:b/>
        </w:rPr>
        <w:t>6</w:t>
      </w:r>
      <w:r w:rsidRPr="00AA3FA0">
        <w:rPr>
          <w:b/>
        </w:rPr>
        <w:t xml:space="preserve">% </w:t>
      </w:r>
      <w:r w:rsidRPr="00AA3FA0">
        <w:t>от общото количество товари, превозени в международно съобщение през 2017 г. Намалението е с 2</w:t>
      </w:r>
      <w:r w:rsidR="00AA3FA0" w:rsidRPr="00AA3FA0">
        <w:t>74,9</w:t>
      </w:r>
      <w:r w:rsidRPr="00AA3FA0">
        <w:t xml:space="preserve"> хил. тона или 4</w:t>
      </w:r>
      <w:r w:rsidR="00AA3FA0" w:rsidRPr="00AA3FA0">
        <w:t>2</w:t>
      </w:r>
      <w:r w:rsidRPr="00AA3FA0">
        <w:t>,</w:t>
      </w:r>
      <w:r w:rsidR="00AA3FA0" w:rsidRPr="00AA3FA0">
        <w:t>5</w:t>
      </w:r>
      <w:r w:rsidRPr="00AA3FA0">
        <w:t>% спрямо 2016 г.</w:t>
      </w:r>
    </w:p>
    <w:p w:rsidR="00F7536F" w:rsidRPr="00AA3FA0" w:rsidRDefault="00F7536F" w:rsidP="00F7536F">
      <w:pPr>
        <w:numPr>
          <w:ilvl w:val="0"/>
          <w:numId w:val="5"/>
        </w:numPr>
        <w:ind w:left="1145" w:hanging="357"/>
        <w:jc w:val="both"/>
      </w:pPr>
      <w:r w:rsidRPr="00AA3FA0">
        <w:t>Най-голям относителен дял (2</w:t>
      </w:r>
      <w:r w:rsidR="00AA3FA0" w:rsidRPr="00AA3FA0">
        <w:t>0</w:t>
      </w:r>
      <w:r w:rsidRPr="00AA3FA0">
        <w:t>,</w:t>
      </w:r>
      <w:r w:rsidR="00AA3FA0" w:rsidRPr="00AA3FA0">
        <w:t xml:space="preserve">0%) или </w:t>
      </w:r>
      <w:r w:rsidRPr="00AA3FA0">
        <w:t>7</w:t>
      </w:r>
      <w:r w:rsidR="00AA3FA0" w:rsidRPr="00AA3FA0">
        <w:t>4</w:t>
      </w:r>
      <w:r w:rsidRPr="00AA3FA0">
        <w:t>,</w:t>
      </w:r>
      <w:r w:rsidR="00AA3FA0" w:rsidRPr="00AA3FA0">
        <w:t>3</w:t>
      </w:r>
      <w:r w:rsidRPr="00AA3FA0">
        <w:t xml:space="preserve"> хил. тона имат контейнерните транзитни превози от Словакия за Турция;</w:t>
      </w:r>
    </w:p>
    <w:p w:rsidR="00F7536F" w:rsidRPr="007C16FC" w:rsidRDefault="00F7536F" w:rsidP="00F7536F">
      <w:pPr>
        <w:numPr>
          <w:ilvl w:val="0"/>
          <w:numId w:val="5"/>
        </w:numPr>
        <w:ind w:left="1145" w:hanging="357"/>
        <w:jc w:val="both"/>
      </w:pPr>
      <w:r w:rsidRPr="007C16FC">
        <w:t xml:space="preserve">От Турция за Австрия – </w:t>
      </w:r>
      <w:r w:rsidR="007C16FC" w:rsidRPr="007C16FC">
        <w:t>65,4</w:t>
      </w:r>
      <w:r w:rsidRPr="007C16FC">
        <w:t xml:space="preserve"> хил. тона или 1</w:t>
      </w:r>
      <w:r w:rsidR="007C16FC" w:rsidRPr="007C16FC">
        <w:t>7</w:t>
      </w:r>
      <w:r w:rsidRPr="007C16FC">
        <w:t>,</w:t>
      </w:r>
      <w:r w:rsidR="007C16FC" w:rsidRPr="007C16FC">
        <w:t>6</w:t>
      </w:r>
      <w:r w:rsidRPr="007C16FC">
        <w:t>%, предимно обработени и необработени нерудни суровини и минерали, строителни изделия, машини;</w:t>
      </w:r>
    </w:p>
    <w:p w:rsidR="00F7536F" w:rsidRPr="007C16FC" w:rsidRDefault="00F7536F" w:rsidP="00F7536F">
      <w:pPr>
        <w:numPr>
          <w:ilvl w:val="0"/>
          <w:numId w:val="5"/>
        </w:numPr>
        <w:ind w:left="1145" w:hanging="357"/>
        <w:jc w:val="both"/>
      </w:pPr>
      <w:r w:rsidRPr="007C16FC">
        <w:t xml:space="preserve">От Румъния за Турция </w:t>
      </w:r>
      <w:r w:rsidR="007C16FC" w:rsidRPr="007C16FC">
        <w:t>–</w:t>
      </w:r>
      <w:r w:rsidRPr="007C16FC">
        <w:t xml:space="preserve"> </w:t>
      </w:r>
      <w:r w:rsidR="007C16FC" w:rsidRPr="007C16FC">
        <w:t>41,8</w:t>
      </w:r>
      <w:r w:rsidRPr="007C16FC">
        <w:t xml:space="preserve"> хил. тона или 1</w:t>
      </w:r>
      <w:r w:rsidR="007C16FC" w:rsidRPr="007C16FC">
        <w:t>1</w:t>
      </w:r>
      <w:r w:rsidRPr="007C16FC">
        <w:t>,</w:t>
      </w:r>
      <w:r w:rsidR="007C16FC" w:rsidRPr="007C16FC">
        <w:t>2</w:t>
      </w:r>
      <w:r w:rsidRPr="007C16FC">
        <w:t>%, предимно предимно машини, транспортни средства, фабрични изделия и др. разнообразни стоки;</w:t>
      </w:r>
    </w:p>
    <w:p w:rsidR="00F7536F" w:rsidRPr="007C16FC" w:rsidRDefault="00F7536F" w:rsidP="00F7536F">
      <w:pPr>
        <w:numPr>
          <w:ilvl w:val="0"/>
          <w:numId w:val="5"/>
        </w:numPr>
        <w:ind w:left="1145" w:hanging="357"/>
        <w:jc w:val="both"/>
      </w:pPr>
      <w:r w:rsidRPr="007C16FC">
        <w:t xml:space="preserve">От Унгария за Турция – </w:t>
      </w:r>
      <w:r w:rsidR="007C16FC" w:rsidRPr="007C16FC">
        <w:t>33,4</w:t>
      </w:r>
      <w:r w:rsidRPr="007C16FC">
        <w:t xml:space="preserve"> хил. тона или </w:t>
      </w:r>
      <w:r w:rsidR="007C16FC" w:rsidRPr="007C16FC">
        <w:t>9,0</w:t>
      </w:r>
      <w:r w:rsidRPr="007C16FC">
        <w:t>%, предимно химически вещества и продукти, машини, транспортни средства, фабрични изделия;</w:t>
      </w:r>
    </w:p>
    <w:p w:rsidR="00F7536F" w:rsidRPr="007C16FC" w:rsidRDefault="00F7536F" w:rsidP="00F7536F">
      <w:pPr>
        <w:numPr>
          <w:ilvl w:val="0"/>
          <w:numId w:val="5"/>
        </w:numPr>
        <w:ind w:left="1145" w:hanging="357"/>
        <w:jc w:val="both"/>
      </w:pPr>
      <w:r w:rsidRPr="007C16FC">
        <w:t>От Австрия за Турция – 2</w:t>
      </w:r>
      <w:r w:rsidR="007C16FC" w:rsidRPr="007C16FC">
        <w:t>4,3</w:t>
      </w:r>
      <w:r w:rsidRPr="007C16FC">
        <w:t xml:space="preserve"> хил. тона, или 6,</w:t>
      </w:r>
      <w:r w:rsidR="007C16FC" w:rsidRPr="007C16FC">
        <w:t>5</w:t>
      </w:r>
      <w:r w:rsidRPr="007C16FC">
        <w:t>% от обема на транзитните превози, които дружеството е извършило през 2017</w:t>
      </w:r>
      <w:r w:rsidRPr="007C16FC">
        <w:rPr>
          <w:lang w:val="en-US"/>
        </w:rPr>
        <w:t xml:space="preserve"> </w:t>
      </w:r>
      <w:r w:rsidRPr="007C16FC">
        <w:t xml:space="preserve">г. Движат се конвенционални и блок – </w:t>
      </w:r>
      <w:r w:rsidRPr="007C16FC">
        <w:lastRenderedPageBreak/>
        <w:t>влакове, натоварени предимно с машини, транспортни средства, фабрични изделия и др. разнообразни стоки, изделия на черна и цветна металургия;</w:t>
      </w:r>
    </w:p>
    <w:p w:rsidR="00F7536F" w:rsidRPr="007C16FC" w:rsidRDefault="00F7536F" w:rsidP="00F7536F">
      <w:pPr>
        <w:numPr>
          <w:ilvl w:val="0"/>
          <w:numId w:val="5"/>
        </w:numPr>
        <w:ind w:left="1145" w:hanging="357"/>
        <w:jc w:val="both"/>
      </w:pPr>
      <w:r w:rsidRPr="007C16FC">
        <w:t>От Турция за Словакия – 15,30 хил. тона, или 4,</w:t>
      </w:r>
      <w:r w:rsidR="007C16FC" w:rsidRPr="007C16FC">
        <w:t>1</w:t>
      </w:r>
      <w:r w:rsidRPr="007C16FC">
        <w:t>% от обема на транзитно превозените товари от „БДЖ – Товарни превози” ЕООД, предимно машини, транспортни средства, фабрични изделия и др. разнообразни стоки.</w:t>
      </w:r>
    </w:p>
    <w:p w:rsidR="00056902" w:rsidRDefault="00056902" w:rsidP="00F7536F">
      <w:pPr>
        <w:spacing w:after="120"/>
        <w:jc w:val="both"/>
      </w:pPr>
    </w:p>
    <w:p w:rsidR="00F7536F" w:rsidRDefault="00F7536F" w:rsidP="00F7536F">
      <w:pPr>
        <w:spacing w:after="120"/>
        <w:jc w:val="both"/>
      </w:pPr>
      <w:r w:rsidRPr="00394390">
        <w:t xml:space="preserve">В следващата таблица са показани основните </w:t>
      </w:r>
      <w:r w:rsidRPr="00394390">
        <w:rPr>
          <w:b/>
        </w:rPr>
        <w:t>обемни и технико-икономически показатели</w:t>
      </w:r>
      <w:r w:rsidRPr="00394390">
        <w:t xml:space="preserve">, характеризиращи дейността на дружеството за </w:t>
      </w:r>
      <w:r w:rsidR="006E3A20" w:rsidRPr="00394390">
        <w:t xml:space="preserve">2017 г., в сравнение с </w:t>
      </w:r>
      <w:r w:rsidRPr="00394390">
        <w:t>2016 г.</w:t>
      </w:r>
    </w:p>
    <w:tbl>
      <w:tblPr>
        <w:tblW w:w="9947" w:type="dxa"/>
        <w:tblInd w:w="-72" w:type="dxa"/>
        <w:tblLayout w:type="fixed"/>
        <w:tblCellMar>
          <w:left w:w="70" w:type="dxa"/>
          <w:right w:w="70" w:type="dxa"/>
        </w:tblCellMar>
        <w:tblLook w:val="04A0" w:firstRow="1" w:lastRow="0" w:firstColumn="1" w:lastColumn="0" w:noHBand="0" w:noVBand="1"/>
      </w:tblPr>
      <w:tblGrid>
        <w:gridCol w:w="415"/>
        <w:gridCol w:w="4835"/>
        <w:gridCol w:w="1104"/>
        <w:gridCol w:w="967"/>
        <w:gridCol w:w="968"/>
        <w:gridCol w:w="827"/>
        <w:gridCol w:w="831"/>
      </w:tblGrid>
      <w:tr w:rsidR="003C3E33" w:rsidRPr="00D84CBB" w:rsidTr="002B620B">
        <w:trPr>
          <w:trHeight w:val="116"/>
        </w:trPr>
        <w:tc>
          <w:tcPr>
            <w:tcW w:w="415" w:type="dxa"/>
            <w:tcBorders>
              <w:top w:val="single" w:sz="4" w:space="0" w:color="auto"/>
              <w:left w:val="single" w:sz="4" w:space="0" w:color="auto"/>
              <w:bottom w:val="nil"/>
              <w:right w:val="single" w:sz="4" w:space="0" w:color="auto"/>
            </w:tcBorders>
            <w:shd w:val="clear" w:color="auto" w:fill="auto"/>
            <w:hideMark/>
          </w:tcPr>
          <w:p w:rsidR="00D84CBB" w:rsidRPr="00AC272F" w:rsidRDefault="00D84CBB" w:rsidP="00D84CBB">
            <w:pPr>
              <w:jc w:val="center"/>
              <w:rPr>
                <w:rFonts w:asciiTheme="minorHAnsi" w:eastAsia="Times New Roman" w:hAnsiTheme="minorHAnsi" w:cstheme="minorHAnsi"/>
                <w:b/>
                <w:bCs/>
                <w:sz w:val="18"/>
                <w:szCs w:val="18"/>
                <w:lang w:eastAsia="bg-BG"/>
              </w:rPr>
            </w:pPr>
            <w:r w:rsidRPr="00AC272F">
              <w:rPr>
                <w:rFonts w:asciiTheme="minorHAnsi" w:eastAsia="Times New Roman" w:hAnsiTheme="minorHAnsi" w:cstheme="minorHAnsi"/>
                <w:b/>
                <w:bCs/>
                <w:sz w:val="18"/>
                <w:szCs w:val="18"/>
                <w:lang w:eastAsia="bg-BG"/>
              </w:rPr>
              <w:t xml:space="preserve">№ </w:t>
            </w:r>
          </w:p>
        </w:tc>
        <w:tc>
          <w:tcPr>
            <w:tcW w:w="4835" w:type="dxa"/>
            <w:tcBorders>
              <w:top w:val="single" w:sz="4" w:space="0" w:color="auto"/>
              <w:left w:val="nil"/>
              <w:bottom w:val="nil"/>
              <w:right w:val="single" w:sz="4" w:space="0" w:color="auto"/>
            </w:tcBorders>
            <w:shd w:val="clear" w:color="auto" w:fill="auto"/>
            <w:hideMark/>
          </w:tcPr>
          <w:p w:rsidR="00D84CBB" w:rsidRPr="00AC272F" w:rsidRDefault="00D84CBB" w:rsidP="00D84CBB">
            <w:pPr>
              <w:jc w:val="center"/>
              <w:rPr>
                <w:rFonts w:asciiTheme="minorHAnsi" w:eastAsia="Times New Roman" w:hAnsiTheme="minorHAnsi" w:cstheme="minorHAnsi"/>
                <w:b/>
                <w:bCs/>
                <w:sz w:val="18"/>
                <w:szCs w:val="18"/>
                <w:lang w:eastAsia="bg-BG"/>
              </w:rPr>
            </w:pPr>
            <w:r w:rsidRPr="00AC272F">
              <w:rPr>
                <w:rFonts w:asciiTheme="minorHAnsi" w:eastAsia="Times New Roman" w:hAnsiTheme="minorHAnsi" w:cstheme="minorHAnsi"/>
                <w:b/>
                <w:bCs/>
                <w:sz w:val="18"/>
                <w:szCs w:val="18"/>
                <w:lang w:eastAsia="bg-BG"/>
              </w:rPr>
              <w:t xml:space="preserve">ПОКАЗАТЕЛИ                                                                                                                     </w:t>
            </w:r>
          </w:p>
        </w:tc>
        <w:tc>
          <w:tcPr>
            <w:tcW w:w="1104" w:type="dxa"/>
            <w:tcBorders>
              <w:top w:val="single" w:sz="4" w:space="0" w:color="auto"/>
              <w:left w:val="nil"/>
              <w:bottom w:val="nil"/>
              <w:right w:val="single" w:sz="4" w:space="0" w:color="auto"/>
            </w:tcBorders>
            <w:shd w:val="clear" w:color="auto" w:fill="auto"/>
            <w:hideMark/>
          </w:tcPr>
          <w:p w:rsidR="00D84CBB" w:rsidRPr="00AC272F" w:rsidRDefault="00D84CBB" w:rsidP="00D84CBB">
            <w:pPr>
              <w:jc w:val="center"/>
              <w:rPr>
                <w:rFonts w:asciiTheme="minorHAnsi" w:eastAsia="Times New Roman" w:hAnsiTheme="minorHAnsi" w:cstheme="minorHAnsi"/>
                <w:b/>
                <w:bCs/>
                <w:sz w:val="18"/>
                <w:szCs w:val="18"/>
                <w:lang w:eastAsia="bg-BG"/>
              </w:rPr>
            </w:pPr>
            <w:r w:rsidRPr="00AC272F">
              <w:rPr>
                <w:rFonts w:asciiTheme="minorHAnsi" w:eastAsia="Times New Roman" w:hAnsiTheme="minorHAnsi" w:cstheme="minorHAnsi"/>
                <w:b/>
                <w:bCs/>
                <w:sz w:val="18"/>
                <w:szCs w:val="18"/>
                <w:lang w:eastAsia="bg-BG"/>
              </w:rPr>
              <w:t>Мярка</w:t>
            </w:r>
          </w:p>
        </w:tc>
        <w:tc>
          <w:tcPr>
            <w:tcW w:w="967"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D84CBB" w:rsidRPr="00AC272F" w:rsidRDefault="00D84CBB" w:rsidP="00D84CBB">
            <w:pPr>
              <w:jc w:val="center"/>
              <w:rPr>
                <w:rFonts w:asciiTheme="minorHAnsi" w:eastAsia="Times New Roman" w:hAnsiTheme="minorHAnsi" w:cstheme="minorHAnsi"/>
                <w:b/>
                <w:bCs/>
                <w:sz w:val="18"/>
                <w:szCs w:val="18"/>
                <w:lang w:eastAsia="bg-BG"/>
              </w:rPr>
            </w:pPr>
            <w:r w:rsidRPr="00AC272F">
              <w:rPr>
                <w:rFonts w:asciiTheme="minorHAnsi" w:eastAsia="Times New Roman" w:hAnsiTheme="minorHAnsi" w:cstheme="minorHAnsi"/>
                <w:b/>
                <w:bCs/>
                <w:sz w:val="18"/>
                <w:szCs w:val="18"/>
                <w:lang w:eastAsia="bg-BG"/>
              </w:rPr>
              <w:t xml:space="preserve"> 2017 г.</w:t>
            </w:r>
          </w:p>
        </w:tc>
        <w:tc>
          <w:tcPr>
            <w:tcW w:w="968" w:type="dxa"/>
            <w:vMerge w:val="restart"/>
            <w:tcBorders>
              <w:top w:val="single" w:sz="4" w:space="0" w:color="auto"/>
              <w:left w:val="single" w:sz="4" w:space="0" w:color="auto"/>
              <w:bottom w:val="single" w:sz="4" w:space="0" w:color="000000"/>
              <w:right w:val="single" w:sz="4" w:space="0" w:color="auto"/>
            </w:tcBorders>
            <w:shd w:val="clear" w:color="auto" w:fill="auto"/>
            <w:hideMark/>
          </w:tcPr>
          <w:p w:rsidR="00D84CBB" w:rsidRPr="00AC272F" w:rsidRDefault="00D84CBB" w:rsidP="00D84CBB">
            <w:pPr>
              <w:jc w:val="center"/>
              <w:rPr>
                <w:rFonts w:asciiTheme="minorHAnsi" w:eastAsia="Times New Roman" w:hAnsiTheme="minorHAnsi" w:cstheme="minorHAnsi"/>
                <w:b/>
                <w:bCs/>
                <w:sz w:val="18"/>
                <w:szCs w:val="18"/>
                <w:lang w:eastAsia="bg-BG"/>
              </w:rPr>
            </w:pPr>
            <w:r w:rsidRPr="00AC272F">
              <w:rPr>
                <w:rFonts w:asciiTheme="minorHAnsi" w:eastAsia="Times New Roman" w:hAnsiTheme="minorHAnsi" w:cstheme="minorHAnsi"/>
                <w:b/>
                <w:bCs/>
                <w:sz w:val="18"/>
                <w:szCs w:val="18"/>
                <w:lang w:eastAsia="bg-BG"/>
              </w:rPr>
              <w:t xml:space="preserve"> 2016 г.</w:t>
            </w:r>
          </w:p>
        </w:tc>
        <w:tc>
          <w:tcPr>
            <w:tcW w:w="1658" w:type="dxa"/>
            <w:gridSpan w:val="2"/>
            <w:tcBorders>
              <w:top w:val="single" w:sz="4" w:space="0" w:color="auto"/>
              <w:left w:val="single" w:sz="4" w:space="0" w:color="auto"/>
              <w:bottom w:val="single" w:sz="4" w:space="0" w:color="auto"/>
              <w:right w:val="single" w:sz="4" w:space="0" w:color="000000"/>
            </w:tcBorders>
            <w:shd w:val="clear" w:color="auto" w:fill="auto"/>
            <w:hideMark/>
          </w:tcPr>
          <w:p w:rsidR="00D84CBB" w:rsidRPr="00AC272F" w:rsidRDefault="00D84CBB" w:rsidP="00D84CBB">
            <w:pPr>
              <w:jc w:val="center"/>
              <w:rPr>
                <w:rFonts w:asciiTheme="minorHAnsi" w:eastAsia="Times New Roman" w:hAnsiTheme="minorHAnsi" w:cstheme="minorHAnsi"/>
                <w:b/>
                <w:bCs/>
                <w:sz w:val="18"/>
                <w:szCs w:val="18"/>
                <w:lang w:eastAsia="bg-BG"/>
              </w:rPr>
            </w:pPr>
            <w:r w:rsidRPr="00AC272F">
              <w:rPr>
                <w:rFonts w:asciiTheme="minorHAnsi" w:eastAsia="Times New Roman" w:hAnsiTheme="minorHAnsi" w:cstheme="minorHAnsi"/>
                <w:b/>
                <w:bCs/>
                <w:sz w:val="18"/>
                <w:szCs w:val="18"/>
                <w:lang w:eastAsia="bg-BG"/>
              </w:rPr>
              <w:t xml:space="preserve">изменение             2017/2016 г.                      </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w:t>
            </w:r>
          </w:p>
        </w:tc>
        <w:tc>
          <w:tcPr>
            <w:tcW w:w="4835" w:type="dxa"/>
            <w:tcBorders>
              <w:top w:val="nil"/>
              <w:left w:val="nil"/>
              <w:bottom w:val="single" w:sz="4" w:space="0" w:color="auto"/>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w:t>
            </w:r>
          </w:p>
        </w:tc>
        <w:tc>
          <w:tcPr>
            <w:tcW w:w="1104" w:type="dxa"/>
            <w:tcBorders>
              <w:top w:val="nil"/>
              <w:left w:val="nil"/>
              <w:bottom w:val="single" w:sz="4" w:space="0" w:color="auto"/>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w:t>
            </w:r>
          </w:p>
        </w:tc>
        <w:tc>
          <w:tcPr>
            <w:tcW w:w="967" w:type="dxa"/>
            <w:vMerge/>
            <w:tcBorders>
              <w:top w:val="single" w:sz="4" w:space="0" w:color="auto"/>
              <w:left w:val="single" w:sz="4" w:space="0" w:color="auto"/>
              <w:bottom w:val="single" w:sz="4" w:space="0" w:color="000000"/>
              <w:right w:val="single" w:sz="4" w:space="0" w:color="auto"/>
            </w:tcBorders>
            <w:vAlign w:val="center"/>
            <w:hideMark/>
          </w:tcPr>
          <w:p w:rsidR="00D84CBB" w:rsidRPr="00AC272F" w:rsidRDefault="00D84CBB" w:rsidP="00D84CBB">
            <w:pPr>
              <w:rPr>
                <w:rFonts w:asciiTheme="minorHAnsi" w:eastAsia="Times New Roman" w:hAnsiTheme="minorHAnsi" w:cstheme="minorHAnsi"/>
                <w:b/>
                <w:bCs/>
                <w:sz w:val="18"/>
                <w:szCs w:val="18"/>
                <w:lang w:eastAsia="bg-BG"/>
              </w:rPr>
            </w:pPr>
          </w:p>
        </w:tc>
        <w:tc>
          <w:tcPr>
            <w:tcW w:w="968" w:type="dxa"/>
            <w:vMerge/>
            <w:tcBorders>
              <w:top w:val="single" w:sz="4" w:space="0" w:color="auto"/>
              <w:left w:val="single" w:sz="4" w:space="0" w:color="auto"/>
              <w:bottom w:val="single" w:sz="4" w:space="0" w:color="000000"/>
              <w:right w:val="single" w:sz="4" w:space="0" w:color="auto"/>
            </w:tcBorders>
            <w:vAlign w:val="center"/>
            <w:hideMark/>
          </w:tcPr>
          <w:p w:rsidR="00D84CBB" w:rsidRPr="00AC272F" w:rsidRDefault="00D84CBB" w:rsidP="00D84CBB">
            <w:pPr>
              <w:rPr>
                <w:rFonts w:asciiTheme="minorHAnsi" w:eastAsia="Times New Roman" w:hAnsiTheme="minorHAnsi" w:cstheme="minorHAnsi"/>
                <w:b/>
                <w:bCs/>
                <w:sz w:val="18"/>
                <w:szCs w:val="18"/>
                <w:lang w:eastAsia="bg-BG"/>
              </w:rPr>
            </w:pPr>
          </w:p>
        </w:tc>
        <w:tc>
          <w:tcPr>
            <w:tcW w:w="827" w:type="dxa"/>
            <w:tcBorders>
              <w:top w:val="nil"/>
              <w:left w:val="single" w:sz="4" w:space="0" w:color="auto"/>
              <w:bottom w:val="single" w:sz="4" w:space="0" w:color="auto"/>
              <w:right w:val="single" w:sz="4" w:space="0" w:color="auto"/>
            </w:tcBorders>
            <w:shd w:val="clear" w:color="auto" w:fill="auto"/>
            <w:hideMark/>
          </w:tcPr>
          <w:p w:rsidR="00D84CBB" w:rsidRPr="00AC272F" w:rsidRDefault="00D84CBB" w:rsidP="00D84CBB">
            <w:pPr>
              <w:jc w:val="center"/>
              <w:rPr>
                <w:rFonts w:asciiTheme="minorHAnsi" w:eastAsia="Times New Roman" w:hAnsiTheme="minorHAnsi" w:cstheme="minorHAnsi"/>
                <w:b/>
                <w:bCs/>
                <w:sz w:val="18"/>
                <w:szCs w:val="18"/>
                <w:lang w:eastAsia="bg-BG"/>
              </w:rPr>
            </w:pPr>
            <w:r w:rsidRPr="00AC272F">
              <w:rPr>
                <w:rFonts w:asciiTheme="minorHAnsi" w:eastAsia="Times New Roman" w:hAnsiTheme="minorHAnsi" w:cstheme="minorHAnsi"/>
                <w:b/>
                <w:bCs/>
                <w:sz w:val="18"/>
                <w:szCs w:val="18"/>
                <w:lang w:eastAsia="bg-BG"/>
              </w:rPr>
              <w:t xml:space="preserve"> + / -</w:t>
            </w:r>
          </w:p>
        </w:tc>
        <w:tc>
          <w:tcPr>
            <w:tcW w:w="831" w:type="dxa"/>
            <w:tcBorders>
              <w:top w:val="nil"/>
              <w:left w:val="nil"/>
              <w:bottom w:val="single" w:sz="4" w:space="0" w:color="auto"/>
              <w:right w:val="single" w:sz="4" w:space="0" w:color="auto"/>
            </w:tcBorders>
            <w:shd w:val="clear" w:color="auto" w:fill="auto"/>
            <w:hideMark/>
          </w:tcPr>
          <w:p w:rsidR="00D84CBB" w:rsidRPr="00AC272F" w:rsidRDefault="00D84CBB" w:rsidP="00D84CBB">
            <w:pPr>
              <w:jc w:val="center"/>
              <w:rPr>
                <w:rFonts w:asciiTheme="minorHAnsi" w:eastAsia="Times New Roman" w:hAnsiTheme="minorHAnsi" w:cstheme="minorHAnsi"/>
                <w:b/>
                <w:bCs/>
                <w:sz w:val="18"/>
                <w:szCs w:val="18"/>
                <w:lang w:eastAsia="bg-BG"/>
              </w:rPr>
            </w:pPr>
            <w:r w:rsidRPr="00AC272F">
              <w:rPr>
                <w:rFonts w:asciiTheme="minorHAnsi" w:eastAsia="Times New Roman" w:hAnsiTheme="minorHAnsi" w:cstheme="minorHAnsi"/>
                <w:b/>
                <w:bCs/>
                <w:sz w:val="18"/>
                <w:szCs w:val="18"/>
                <w:lang w:eastAsia="bg-BG"/>
              </w:rPr>
              <w:t>%</w:t>
            </w:r>
          </w:p>
        </w:tc>
      </w:tr>
      <w:tr w:rsidR="003C3E33" w:rsidRPr="00D84CBB" w:rsidTr="00056902">
        <w:trPr>
          <w:trHeight w:val="116"/>
        </w:trPr>
        <w:tc>
          <w:tcPr>
            <w:tcW w:w="415" w:type="dxa"/>
            <w:tcBorders>
              <w:top w:val="single" w:sz="4" w:space="0" w:color="auto"/>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Превозени товари</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хил.т</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6 230,1</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6 201,1</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29,0</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0,5%</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2</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Нетотонкилометри</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млн.</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1 631,8</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1 573,4</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58,5</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3,7%</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Средно превозно разстояние</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км</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261,9</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253,7</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8,2</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3,2%</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4</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Натоварени вагони</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брой</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139 353</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138 471</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881,7</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0D6FB0">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0,6%</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5</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Работен парк вагони - общо</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брой</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1 645 755</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1 579 954</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65 801</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4,2%</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6</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xml:space="preserve">Среднодневен работен парк - общо, в т.ч. </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брой</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4 509</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4 317</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192</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4,5%</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w:t>
            </w:r>
          </w:p>
        </w:tc>
        <w:tc>
          <w:tcPr>
            <w:tcW w:w="4835" w:type="dxa"/>
            <w:tcBorders>
              <w:top w:val="nil"/>
              <w:left w:val="nil"/>
              <w:bottom w:val="nil"/>
              <w:right w:val="single" w:sz="4" w:space="0" w:color="auto"/>
            </w:tcBorders>
            <w:shd w:val="clear" w:color="000000" w:fill="FFFFFF"/>
            <w:noWrap/>
            <w:vAlign w:val="bottom"/>
            <w:hideMark/>
          </w:tcPr>
          <w:p w:rsidR="00D84CBB" w:rsidRPr="00AC272F" w:rsidRDefault="00D84CBB" w:rsidP="00D84CBB">
            <w:pPr>
              <w:rPr>
                <w:rFonts w:asciiTheme="minorHAnsi" w:eastAsia="Times New Roman" w:hAnsiTheme="minorHAnsi" w:cstheme="minorHAnsi"/>
                <w:i/>
                <w:iCs/>
                <w:sz w:val="18"/>
                <w:szCs w:val="18"/>
                <w:lang w:eastAsia="bg-BG"/>
              </w:rPr>
            </w:pPr>
            <w:r w:rsidRPr="00AC272F">
              <w:rPr>
                <w:rFonts w:asciiTheme="minorHAnsi" w:eastAsia="Times New Roman" w:hAnsiTheme="minorHAnsi" w:cstheme="minorHAnsi"/>
                <w:i/>
                <w:iCs/>
                <w:sz w:val="18"/>
                <w:szCs w:val="18"/>
                <w:lang w:eastAsia="bg-BG"/>
              </w:rPr>
              <w:t xml:space="preserve">Ср. дневен работен парк, собственост на "БДЖ - ТП" </w:t>
            </w:r>
          </w:p>
        </w:tc>
        <w:tc>
          <w:tcPr>
            <w:tcW w:w="1104" w:type="dxa"/>
            <w:tcBorders>
              <w:top w:val="nil"/>
              <w:left w:val="nil"/>
              <w:bottom w:val="nil"/>
              <w:right w:val="nil"/>
            </w:tcBorders>
            <w:shd w:val="clear" w:color="000000" w:fill="FFFFFF"/>
            <w:noWrap/>
            <w:vAlign w:val="bottom"/>
            <w:hideMark/>
          </w:tcPr>
          <w:p w:rsidR="00D84CBB" w:rsidRPr="00AC272F" w:rsidRDefault="00D84CBB" w:rsidP="00D84CBB">
            <w:pPr>
              <w:jc w:val="center"/>
              <w:rPr>
                <w:rFonts w:asciiTheme="minorHAnsi" w:eastAsia="Times New Roman" w:hAnsiTheme="minorHAnsi" w:cstheme="minorHAnsi"/>
                <w:i/>
                <w:iCs/>
                <w:sz w:val="18"/>
                <w:szCs w:val="18"/>
                <w:lang w:eastAsia="bg-BG"/>
              </w:rPr>
            </w:pPr>
            <w:r w:rsidRPr="00AC272F">
              <w:rPr>
                <w:rFonts w:asciiTheme="minorHAnsi" w:eastAsia="Times New Roman" w:hAnsiTheme="minorHAnsi" w:cstheme="minorHAnsi"/>
                <w:i/>
                <w:iCs/>
                <w:sz w:val="18"/>
                <w:szCs w:val="18"/>
                <w:lang w:eastAsia="bg-BG"/>
              </w:rPr>
              <w:t>брой</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i/>
                <w:iCs/>
                <w:sz w:val="18"/>
                <w:szCs w:val="18"/>
                <w:lang w:eastAsia="bg-BG"/>
              </w:rPr>
            </w:pPr>
            <w:r w:rsidRPr="00AC272F">
              <w:rPr>
                <w:rFonts w:asciiTheme="minorHAnsi" w:eastAsia="Times New Roman" w:hAnsiTheme="minorHAnsi" w:cstheme="minorHAnsi"/>
                <w:i/>
                <w:iCs/>
                <w:sz w:val="18"/>
                <w:szCs w:val="18"/>
                <w:lang w:eastAsia="bg-BG"/>
              </w:rPr>
              <w:t>3 111</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i/>
                <w:iCs/>
                <w:sz w:val="18"/>
                <w:szCs w:val="18"/>
                <w:lang w:eastAsia="bg-BG"/>
              </w:rPr>
            </w:pPr>
            <w:r w:rsidRPr="00AC272F">
              <w:rPr>
                <w:rFonts w:asciiTheme="minorHAnsi" w:eastAsia="Times New Roman" w:hAnsiTheme="minorHAnsi" w:cstheme="minorHAnsi"/>
                <w:i/>
                <w:iCs/>
                <w:sz w:val="18"/>
                <w:szCs w:val="18"/>
                <w:lang w:eastAsia="bg-BG"/>
              </w:rPr>
              <w:t>2 975</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136</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4,6%</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7</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Средно статично натоварване</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тон</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44,7</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44,8</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-0,1</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-0,2%</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8</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Брутотонкилометри без служ. маса на локомотива</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млн.</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3 278,1</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3 195,9</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82,1</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2,6%</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xml:space="preserve"> - ел. тяга</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млн.</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3 092,6</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2 812,4</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280,1</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10,0%</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xml:space="preserve"> - дизелова тяга</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млн.</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185,5</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383,5</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-198,0</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-51,6%</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9</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Брутотонкилометри с маса на локомотива</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млн.</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3 693,7</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3 610,3</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83,3</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2,3%</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xml:space="preserve"> - ел. тяга</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млн.</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3 489,5</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3 191,2</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298,4</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9,3%</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xml:space="preserve"> - дизелова тяга</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млн.</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204,2</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419,2</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-215,0</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outlineLvl w:val="0"/>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-51,3%</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10</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Влаккилометри</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хил.</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3 918,8</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3 981,8</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-63,0</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-1,6%</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11</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xml:space="preserve">Средна брутна тежина на товарен влак </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тон</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943</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907</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35,8</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4,0%</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12</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Средно денонощна производителност на товарен вагон</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ткм</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992</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996</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-4,3</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-0,4%</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13</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Оборот на товарен вагон на база общ парк</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денонощия</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11,8</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11,4</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0,4</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3,5%</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i/>
                <w:iCs/>
                <w:sz w:val="18"/>
                <w:szCs w:val="18"/>
                <w:lang w:eastAsia="bg-BG"/>
              </w:rPr>
            </w:pPr>
            <w:r w:rsidRPr="00AC272F">
              <w:rPr>
                <w:rFonts w:asciiTheme="minorHAnsi" w:eastAsia="Times New Roman" w:hAnsiTheme="minorHAnsi" w:cstheme="minorHAnsi"/>
                <w:i/>
                <w:iCs/>
                <w:sz w:val="18"/>
                <w:szCs w:val="18"/>
                <w:lang w:eastAsia="bg-BG"/>
              </w:rPr>
              <w:t>Оборот на тов. вагони, собственост на "БДЖ -ТП"</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i/>
                <w:sz w:val="18"/>
                <w:szCs w:val="18"/>
                <w:lang w:eastAsia="bg-BG"/>
              </w:rPr>
            </w:pPr>
            <w:r w:rsidRPr="00AC272F">
              <w:rPr>
                <w:rFonts w:asciiTheme="minorHAnsi" w:eastAsia="Times New Roman" w:hAnsiTheme="minorHAnsi" w:cstheme="minorHAnsi"/>
                <w:i/>
                <w:sz w:val="18"/>
                <w:szCs w:val="18"/>
                <w:lang w:eastAsia="bg-BG"/>
              </w:rPr>
              <w:t>денонощия</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i/>
                <w:iCs/>
                <w:sz w:val="18"/>
                <w:szCs w:val="18"/>
                <w:lang w:eastAsia="bg-BG"/>
              </w:rPr>
            </w:pPr>
            <w:r w:rsidRPr="00AC272F">
              <w:rPr>
                <w:rFonts w:asciiTheme="minorHAnsi" w:eastAsia="Times New Roman" w:hAnsiTheme="minorHAnsi" w:cstheme="minorHAnsi"/>
                <w:i/>
                <w:iCs/>
                <w:sz w:val="18"/>
                <w:szCs w:val="18"/>
                <w:lang w:eastAsia="bg-BG"/>
              </w:rPr>
              <w:t>7,2</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i/>
                <w:iCs/>
                <w:sz w:val="18"/>
                <w:szCs w:val="18"/>
                <w:lang w:eastAsia="bg-BG"/>
              </w:rPr>
            </w:pPr>
            <w:r w:rsidRPr="00AC272F">
              <w:rPr>
                <w:rFonts w:asciiTheme="minorHAnsi" w:eastAsia="Times New Roman" w:hAnsiTheme="minorHAnsi" w:cstheme="minorHAnsi"/>
                <w:i/>
                <w:iCs/>
                <w:sz w:val="18"/>
                <w:szCs w:val="18"/>
                <w:lang w:eastAsia="bg-BG"/>
              </w:rPr>
              <w:t>7,4</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i/>
                <w:iCs/>
                <w:sz w:val="18"/>
                <w:szCs w:val="18"/>
                <w:lang w:eastAsia="bg-BG"/>
              </w:rPr>
            </w:pPr>
            <w:r w:rsidRPr="00AC272F">
              <w:rPr>
                <w:rFonts w:asciiTheme="minorHAnsi" w:eastAsia="Times New Roman" w:hAnsiTheme="minorHAnsi" w:cstheme="minorHAnsi"/>
                <w:i/>
                <w:iCs/>
                <w:sz w:val="18"/>
                <w:szCs w:val="18"/>
                <w:lang w:eastAsia="bg-BG"/>
              </w:rPr>
              <w:t>-0,1</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i/>
                <w:iCs/>
                <w:sz w:val="18"/>
                <w:szCs w:val="18"/>
                <w:lang w:eastAsia="bg-BG"/>
              </w:rPr>
            </w:pPr>
            <w:r w:rsidRPr="00AC272F">
              <w:rPr>
                <w:rFonts w:asciiTheme="minorHAnsi" w:eastAsia="Times New Roman" w:hAnsiTheme="minorHAnsi" w:cstheme="minorHAnsi"/>
                <w:i/>
                <w:iCs/>
                <w:sz w:val="18"/>
                <w:szCs w:val="18"/>
                <w:lang w:eastAsia="bg-BG"/>
              </w:rPr>
              <w:t>-1,9%</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14</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Коефициент на празния пробег</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40,8%</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39,3%</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1,5%</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3,8%</w:t>
            </w:r>
          </w:p>
        </w:tc>
      </w:tr>
      <w:tr w:rsidR="003C3E33" w:rsidRPr="00D84CBB" w:rsidTr="00056902">
        <w:trPr>
          <w:trHeight w:val="116"/>
        </w:trPr>
        <w:tc>
          <w:tcPr>
            <w:tcW w:w="415"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15</w:t>
            </w:r>
          </w:p>
        </w:tc>
        <w:tc>
          <w:tcPr>
            <w:tcW w:w="4835" w:type="dxa"/>
            <w:tcBorders>
              <w:top w:val="nil"/>
              <w:left w:val="nil"/>
              <w:bottom w:val="nil"/>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xml:space="preserve">Участъкова скорост </w:t>
            </w:r>
          </w:p>
        </w:tc>
        <w:tc>
          <w:tcPr>
            <w:tcW w:w="1104" w:type="dxa"/>
            <w:tcBorders>
              <w:top w:val="nil"/>
              <w:left w:val="nil"/>
              <w:bottom w:val="nil"/>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км/ч</w:t>
            </w:r>
          </w:p>
        </w:tc>
        <w:tc>
          <w:tcPr>
            <w:tcW w:w="96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21,3</w:t>
            </w:r>
          </w:p>
        </w:tc>
        <w:tc>
          <w:tcPr>
            <w:tcW w:w="968"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20,2</w:t>
            </w:r>
          </w:p>
        </w:tc>
        <w:tc>
          <w:tcPr>
            <w:tcW w:w="827" w:type="dxa"/>
            <w:tcBorders>
              <w:top w:val="nil"/>
              <w:left w:val="single" w:sz="4" w:space="0" w:color="auto"/>
              <w:bottom w:val="nil"/>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1,1</w:t>
            </w:r>
          </w:p>
        </w:tc>
        <w:tc>
          <w:tcPr>
            <w:tcW w:w="831" w:type="dxa"/>
            <w:tcBorders>
              <w:top w:val="nil"/>
              <w:left w:val="single" w:sz="4" w:space="0" w:color="auto"/>
              <w:bottom w:val="nil"/>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5,3%</w:t>
            </w:r>
          </w:p>
        </w:tc>
      </w:tr>
      <w:tr w:rsidR="003C3E33" w:rsidRPr="00D84CBB" w:rsidTr="00056902">
        <w:trPr>
          <w:trHeight w:val="123"/>
        </w:trPr>
        <w:tc>
          <w:tcPr>
            <w:tcW w:w="415" w:type="dxa"/>
            <w:tcBorders>
              <w:top w:val="nil"/>
              <w:left w:val="single" w:sz="4" w:space="0" w:color="auto"/>
              <w:bottom w:val="double" w:sz="6" w:space="0" w:color="auto"/>
              <w:right w:val="single" w:sz="4" w:space="0" w:color="auto"/>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16</w:t>
            </w:r>
          </w:p>
        </w:tc>
        <w:tc>
          <w:tcPr>
            <w:tcW w:w="4835" w:type="dxa"/>
            <w:tcBorders>
              <w:top w:val="nil"/>
              <w:left w:val="nil"/>
              <w:bottom w:val="double" w:sz="6" w:space="0" w:color="auto"/>
              <w:right w:val="single" w:sz="4" w:space="0" w:color="auto"/>
            </w:tcBorders>
            <w:shd w:val="clear" w:color="auto" w:fill="auto"/>
            <w:noWrap/>
            <w:vAlign w:val="bottom"/>
            <w:hideMark/>
          </w:tcPr>
          <w:p w:rsidR="00D84CBB" w:rsidRPr="00AC272F" w:rsidRDefault="00D84CBB" w:rsidP="00D84CBB">
            <w:pP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 xml:space="preserve">Техническа скорост </w:t>
            </w:r>
          </w:p>
        </w:tc>
        <w:tc>
          <w:tcPr>
            <w:tcW w:w="1104" w:type="dxa"/>
            <w:tcBorders>
              <w:top w:val="nil"/>
              <w:left w:val="nil"/>
              <w:bottom w:val="double" w:sz="6" w:space="0" w:color="auto"/>
              <w:right w:val="nil"/>
            </w:tcBorders>
            <w:shd w:val="clear" w:color="auto" w:fill="auto"/>
            <w:noWrap/>
            <w:vAlign w:val="bottom"/>
            <w:hideMark/>
          </w:tcPr>
          <w:p w:rsidR="00D84CBB" w:rsidRPr="00AC272F" w:rsidRDefault="00D84CBB" w:rsidP="00D84CBB">
            <w:pPr>
              <w:jc w:val="center"/>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км/ч</w:t>
            </w:r>
          </w:p>
        </w:tc>
        <w:tc>
          <w:tcPr>
            <w:tcW w:w="967" w:type="dxa"/>
            <w:tcBorders>
              <w:top w:val="nil"/>
              <w:left w:val="single" w:sz="4" w:space="0" w:color="auto"/>
              <w:bottom w:val="double" w:sz="6" w:space="0" w:color="auto"/>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42,1</w:t>
            </w:r>
          </w:p>
        </w:tc>
        <w:tc>
          <w:tcPr>
            <w:tcW w:w="968" w:type="dxa"/>
            <w:tcBorders>
              <w:top w:val="nil"/>
              <w:left w:val="single" w:sz="4" w:space="0" w:color="auto"/>
              <w:bottom w:val="double" w:sz="6" w:space="0" w:color="auto"/>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40,3</w:t>
            </w:r>
          </w:p>
        </w:tc>
        <w:tc>
          <w:tcPr>
            <w:tcW w:w="827" w:type="dxa"/>
            <w:tcBorders>
              <w:top w:val="nil"/>
              <w:left w:val="single" w:sz="4" w:space="0" w:color="auto"/>
              <w:bottom w:val="double" w:sz="6" w:space="0" w:color="auto"/>
              <w:right w:val="nil"/>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1,8</w:t>
            </w:r>
          </w:p>
        </w:tc>
        <w:tc>
          <w:tcPr>
            <w:tcW w:w="831" w:type="dxa"/>
            <w:tcBorders>
              <w:top w:val="nil"/>
              <w:left w:val="single" w:sz="4" w:space="0" w:color="auto"/>
              <w:bottom w:val="double" w:sz="6" w:space="0" w:color="auto"/>
              <w:right w:val="single" w:sz="4" w:space="0" w:color="auto"/>
            </w:tcBorders>
            <w:shd w:val="clear" w:color="auto" w:fill="auto"/>
            <w:noWrap/>
            <w:vAlign w:val="bottom"/>
            <w:hideMark/>
          </w:tcPr>
          <w:p w:rsidR="00D84CBB" w:rsidRPr="00AC272F" w:rsidRDefault="00D84CBB" w:rsidP="00D84CBB">
            <w:pPr>
              <w:jc w:val="right"/>
              <w:rPr>
                <w:rFonts w:asciiTheme="minorHAnsi" w:eastAsia="Times New Roman" w:hAnsiTheme="minorHAnsi" w:cstheme="minorHAnsi"/>
                <w:sz w:val="18"/>
                <w:szCs w:val="18"/>
                <w:lang w:eastAsia="bg-BG"/>
              </w:rPr>
            </w:pPr>
            <w:r w:rsidRPr="00AC272F">
              <w:rPr>
                <w:rFonts w:asciiTheme="minorHAnsi" w:eastAsia="Times New Roman" w:hAnsiTheme="minorHAnsi" w:cstheme="minorHAnsi"/>
                <w:sz w:val="18"/>
                <w:szCs w:val="18"/>
                <w:lang w:eastAsia="bg-BG"/>
              </w:rPr>
              <w:t>4,5%</w:t>
            </w:r>
          </w:p>
        </w:tc>
      </w:tr>
    </w:tbl>
    <w:p w:rsidR="00D84CBB" w:rsidRDefault="00D84CBB" w:rsidP="00F7536F">
      <w:pPr>
        <w:spacing w:after="120"/>
        <w:jc w:val="both"/>
        <w:rPr>
          <w:highlight w:val="yellow"/>
        </w:rPr>
      </w:pPr>
    </w:p>
    <w:p w:rsidR="00F7536F" w:rsidRPr="0019075E" w:rsidRDefault="00F7536F" w:rsidP="00F7536F">
      <w:pPr>
        <w:spacing w:after="60"/>
        <w:jc w:val="both"/>
      </w:pPr>
      <w:r w:rsidRPr="0019075E">
        <w:t>Подобрение се отчита при следните показатели:</w:t>
      </w:r>
    </w:p>
    <w:p w:rsidR="00F7536F" w:rsidRPr="0019075E" w:rsidRDefault="00F7536F" w:rsidP="00F7536F">
      <w:pPr>
        <w:numPr>
          <w:ilvl w:val="0"/>
          <w:numId w:val="11"/>
        </w:numPr>
        <w:tabs>
          <w:tab w:val="num" w:pos="900"/>
        </w:tabs>
        <w:spacing w:after="60"/>
        <w:ind w:left="782" w:hanging="357"/>
        <w:jc w:val="both"/>
      </w:pPr>
      <w:r w:rsidRPr="0019075E">
        <w:t xml:space="preserve">средната брутна тежина на товарен влак се увеличава с </w:t>
      </w:r>
      <w:r w:rsidR="00F035E7" w:rsidRPr="0019075E">
        <w:t>4,0</w:t>
      </w:r>
      <w:r w:rsidRPr="0019075E">
        <w:t>% от 90</w:t>
      </w:r>
      <w:r w:rsidR="00F035E7" w:rsidRPr="0019075E">
        <w:t>7</w:t>
      </w:r>
      <w:r w:rsidRPr="0019075E">
        <w:t xml:space="preserve"> тона през 2016 г. на 9</w:t>
      </w:r>
      <w:r w:rsidR="00F035E7" w:rsidRPr="0019075E">
        <w:t>4</w:t>
      </w:r>
      <w:r w:rsidRPr="0019075E">
        <w:t>3 тона през 2017 г.;</w:t>
      </w:r>
    </w:p>
    <w:p w:rsidR="00F7536F" w:rsidRPr="0019075E" w:rsidRDefault="00F7536F" w:rsidP="00F7536F">
      <w:pPr>
        <w:numPr>
          <w:ilvl w:val="0"/>
          <w:numId w:val="11"/>
        </w:numPr>
        <w:tabs>
          <w:tab w:val="num" w:pos="900"/>
        </w:tabs>
        <w:spacing w:after="60"/>
        <w:ind w:left="782" w:hanging="357"/>
        <w:jc w:val="both"/>
      </w:pPr>
      <w:r w:rsidRPr="0019075E">
        <w:t>увеличават се участъковата и техническата скорост, съответно с 5,</w:t>
      </w:r>
      <w:r w:rsidR="0019075E" w:rsidRPr="0019075E">
        <w:t>3</w:t>
      </w:r>
      <w:r w:rsidRPr="0019075E">
        <w:t>% и 4,</w:t>
      </w:r>
      <w:r w:rsidR="0019075E" w:rsidRPr="0019075E">
        <w:t>5</w:t>
      </w:r>
      <w:r w:rsidRPr="0019075E">
        <w:t xml:space="preserve">% и са </w:t>
      </w:r>
      <w:r w:rsidRPr="0019075E">
        <w:br/>
        <w:t>съответно 21,3 км/час и 42,1 км/час;</w:t>
      </w:r>
    </w:p>
    <w:p w:rsidR="00F7536F" w:rsidRPr="0019075E" w:rsidRDefault="00F7536F" w:rsidP="00F7536F">
      <w:pPr>
        <w:numPr>
          <w:ilvl w:val="0"/>
          <w:numId w:val="11"/>
        </w:numPr>
        <w:tabs>
          <w:tab w:val="num" w:pos="900"/>
        </w:tabs>
        <w:spacing w:after="60"/>
        <w:ind w:left="782" w:hanging="357"/>
        <w:jc w:val="both"/>
      </w:pPr>
      <w:r w:rsidRPr="0019075E">
        <w:t xml:space="preserve">намалява се оборотът на товарните вагони, собственост на „БДЖ – Товарни превози” ЕООД с 1,9%, от 7,4 денонощия през 2016 г. на 7,2 денонощия през </w:t>
      </w:r>
      <w:r w:rsidR="00CA2AF9" w:rsidRPr="0019075E">
        <w:t>2017 г.</w:t>
      </w:r>
      <w:r w:rsidRPr="0019075E">
        <w:t>;</w:t>
      </w:r>
    </w:p>
    <w:p w:rsidR="00F7536F" w:rsidRPr="0019075E" w:rsidRDefault="00F7536F" w:rsidP="00F7536F">
      <w:pPr>
        <w:numPr>
          <w:ilvl w:val="0"/>
          <w:numId w:val="11"/>
        </w:numPr>
        <w:tabs>
          <w:tab w:val="num" w:pos="900"/>
        </w:tabs>
        <w:spacing w:after="60"/>
        <w:ind w:left="782" w:hanging="357"/>
        <w:jc w:val="both"/>
      </w:pPr>
      <w:r w:rsidRPr="0019075E">
        <w:t>средното статично натоварване на товарните вагони за 2017 г. е 44,7 тона и е</w:t>
      </w:r>
      <w:r w:rsidR="004A402C">
        <w:t xml:space="preserve"> с малко отклонение от отчетеното през 2016</w:t>
      </w:r>
      <w:r w:rsidRPr="0019075E">
        <w:t xml:space="preserve"> година.</w:t>
      </w:r>
    </w:p>
    <w:p w:rsidR="00F7536F" w:rsidRPr="000055B9" w:rsidRDefault="00F7536F" w:rsidP="00F7536F">
      <w:pPr>
        <w:tabs>
          <w:tab w:val="num" w:pos="900"/>
        </w:tabs>
        <w:spacing w:after="60"/>
        <w:jc w:val="both"/>
      </w:pPr>
      <w:r w:rsidRPr="000055B9">
        <w:t>Влошаване се отчита при следните показатели:</w:t>
      </w:r>
    </w:p>
    <w:p w:rsidR="00F7536F" w:rsidRPr="00B84852" w:rsidRDefault="00F7536F" w:rsidP="00F7536F">
      <w:pPr>
        <w:numPr>
          <w:ilvl w:val="0"/>
          <w:numId w:val="11"/>
        </w:numPr>
        <w:tabs>
          <w:tab w:val="num" w:pos="900"/>
        </w:tabs>
        <w:spacing w:after="60"/>
        <w:ind w:left="782" w:hanging="357"/>
        <w:jc w:val="both"/>
        <w:rPr>
          <w:b/>
        </w:rPr>
      </w:pPr>
      <w:r w:rsidRPr="00B84852">
        <w:t>оборотът на товарния вагон</w:t>
      </w:r>
      <w:r w:rsidR="00884CB6">
        <w:t xml:space="preserve"> </w:t>
      </w:r>
      <w:r w:rsidR="00884CB6" w:rsidRPr="00B84852">
        <w:t>общо за мрежата</w:t>
      </w:r>
      <w:r w:rsidRPr="00B84852">
        <w:t xml:space="preserve"> (собствени </w:t>
      </w:r>
      <w:r w:rsidR="00884CB6">
        <w:t>+</w:t>
      </w:r>
      <w:r w:rsidRPr="00B84852">
        <w:t xml:space="preserve"> чужди вагони) се увеличава с 0,</w:t>
      </w:r>
      <w:r w:rsidR="000055B9" w:rsidRPr="00B84852">
        <w:t>4</w:t>
      </w:r>
      <w:r w:rsidRPr="00B84852">
        <w:t xml:space="preserve"> денонощия или с </w:t>
      </w:r>
      <w:r w:rsidR="000055B9" w:rsidRPr="00B84852">
        <w:t>3,5</w:t>
      </w:r>
      <w:r w:rsidRPr="00B84852">
        <w:t xml:space="preserve">%, спрямо предходната година. Дължи са на студените зимни месеци </w:t>
      </w:r>
      <w:r w:rsidR="00884CB6">
        <w:t xml:space="preserve">в началото на годината </w:t>
      </w:r>
      <w:r w:rsidRPr="00B84852">
        <w:t>и по-бавното разтоварване на вагоните;</w:t>
      </w:r>
    </w:p>
    <w:p w:rsidR="00F7536F" w:rsidRPr="00B84852" w:rsidRDefault="00F7536F" w:rsidP="00F7536F">
      <w:pPr>
        <w:numPr>
          <w:ilvl w:val="0"/>
          <w:numId w:val="11"/>
        </w:numPr>
        <w:tabs>
          <w:tab w:val="num" w:pos="900"/>
        </w:tabs>
        <w:spacing w:after="60"/>
        <w:ind w:left="782" w:hanging="357"/>
        <w:jc w:val="both"/>
      </w:pPr>
      <w:r w:rsidRPr="00B84852">
        <w:t>средно денонощната производителност на товарен вагон, на база произведени нето тонкилометри с</w:t>
      </w:r>
      <w:r w:rsidR="000055B9" w:rsidRPr="00B84852">
        <w:t>е намалява незначително с 0,4</w:t>
      </w:r>
      <w:r w:rsidRPr="00B84852">
        <w:t>%. Дължи се на увеличение на общия работен парк товарни вагони, с който дружеството е осъществило експлоатационната си дейност с 4,</w:t>
      </w:r>
      <w:r w:rsidR="000055B9" w:rsidRPr="00B84852">
        <w:t>2</w:t>
      </w:r>
      <w:r w:rsidRPr="00B84852">
        <w:t>%;</w:t>
      </w:r>
    </w:p>
    <w:p w:rsidR="00F7536F" w:rsidRPr="00B84852" w:rsidRDefault="00F7536F" w:rsidP="00F7536F">
      <w:pPr>
        <w:numPr>
          <w:ilvl w:val="0"/>
          <w:numId w:val="11"/>
        </w:numPr>
        <w:tabs>
          <w:tab w:val="num" w:pos="900"/>
        </w:tabs>
        <w:spacing w:after="60"/>
        <w:ind w:left="782" w:hanging="357"/>
        <w:jc w:val="both"/>
      </w:pPr>
      <w:r w:rsidRPr="00B84852">
        <w:t xml:space="preserve">коефициентът на празния пробег се увеличава с </w:t>
      </w:r>
      <w:r w:rsidR="000055B9" w:rsidRPr="00B84852">
        <w:t>1,5</w:t>
      </w:r>
      <w:r w:rsidRPr="00B84852">
        <w:t xml:space="preserve"> пункта или </w:t>
      </w:r>
      <w:r w:rsidR="000055B9" w:rsidRPr="00B84852">
        <w:t>3,8</w:t>
      </w:r>
      <w:r w:rsidRPr="00B84852">
        <w:t xml:space="preserve">% за 2017 г. и е 40,8%, при </w:t>
      </w:r>
      <w:r w:rsidR="000055B9" w:rsidRPr="00B84852">
        <w:t>39,3</w:t>
      </w:r>
      <w:r w:rsidRPr="00B84852">
        <w:t>% за 2016 г.</w:t>
      </w:r>
    </w:p>
    <w:p w:rsidR="00404AB9" w:rsidRDefault="00404AB9" w:rsidP="00404AB9">
      <w:pPr>
        <w:jc w:val="both"/>
        <w:rPr>
          <w:highlight w:val="yellow"/>
        </w:rPr>
      </w:pPr>
    </w:p>
    <w:p w:rsidR="000E1500" w:rsidRDefault="000E1500" w:rsidP="002B2EB3">
      <w:pPr>
        <w:numPr>
          <w:ilvl w:val="0"/>
          <w:numId w:val="1"/>
        </w:numPr>
        <w:spacing w:after="120"/>
        <w:ind w:hanging="181"/>
        <w:jc w:val="both"/>
        <w:rPr>
          <w:rFonts w:ascii="Arial" w:hAnsi="Arial" w:cs="Arial"/>
          <w:b/>
          <w:color w:val="0000CC"/>
        </w:rPr>
        <w:sectPr w:rsidR="000E1500" w:rsidSect="00B65864">
          <w:footerReference w:type="default" r:id="rId12"/>
          <w:pgSz w:w="11906" w:h="16838" w:code="9"/>
          <w:pgMar w:top="899" w:right="926" w:bottom="709" w:left="1134" w:header="709" w:footer="709" w:gutter="0"/>
          <w:cols w:space="708"/>
          <w:docGrid w:linePitch="360"/>
        </w:sectPr>
      </w:pPr>
    </w:p>
    <w:p w:rsidR="002B2EB3" w:rsidRPr="00182A9A" w:rsidRDefault="002B2EB3" w:rsidP="002B2EB3">
      <w:pPr>
        <w:numPr>
          <w:ilvl w:val="0"/>
          <w:numId w:val="1"/>
        </w:numPr>
        <w:spacing w:after="120"/>
        <w:ind w:hanging="181"/>
        <w:jc w:val="both"/>
        <w:rPr>
          <w:rFonts w:ascii="Arial" w:hAnsi="Arial" w:cs="Arial"/>
          <w:b/>
          <w:color w:val="0000CC"/>
        </w:rPr>
      </w:pPr>
      <w:r w:rsidRPr="00182A9A">
        <w:rPr>
          <w:rFonts w:ascii="Arial" w:hAnsi="Arial" w:cs="Arial"/>
          <w:b/>
          <w:color w:val="0000CC"/>
        </w:rPr>
        <w:lastRenderedPageBreak/>
        <w:t>Приходи</w:t>
      </w:r>
    </w:p>
    <w:p w:rsidR="002B2EB3" w:rsidRPr="00182A9A" w:rsidRDefault="002B2EB3" w:rsidP="00120E2B">
      <w:pPr>
        <w:shd w:val="clear" w:color="auto" w:fill="FFFFFF"/>
        <w:spacing w:after="120"/>
        <w:jc w:val="both"/>
      </w:pPr>
      <w:r w:rsidRPr="00182A9A">
        <w:t>През 2017 г. „БДЖ - ТП” ЕООД отчете следните видове приходи от услуги:</w:t>
      </w:r>
    </w:p>
    <w:p w:rsidR="002B2EB3" w:rsidRPr="00182A9A" w:rsidRDefault="002B2EB3" w:rsidP="008D21DC">
      <w:pPr>
        <w:numPr>
          <w:ilvl w:val="0"/>
          <w:numId w:val="3"/>
        </w:numPr>
        <w:shd w:val="clear" w:color="auto" w:fill="FFFFFF"/>
        <w:tabs>
          <w:tab w:val="num" w:pos="900"/>
        </w:tabs>
        <w:spacing w:after="120"/>
        <w:ind w:left="782" w:hanging="357"/>
        <w:jc w:val="both"/>
      </w:pPr>
      <w:r w:rsidRPr="00182A9A">
        <w:t xml:space="preserve">Приходи от превоз на товари – по отчет са </w:t>
      </w:r>
      <w:r w:rsidR="00056902" w:rsidRPr="00182A9A">
        <w:t>95</w:t>
      </w:r>
      <w:r w:rsidR="00847D54" w:rsidRPr="00182A9A">
        <w:t xml:space="preserve"> </w:t>
      </w:r>
      <w:r w:rsidR="00056902" w:rsidRPr="00182A9A">
        <w:t>97</w:t>
      </w:r>
      <w:r w:rsidR="00F74B11">
        <w:t>8</w:t>
      </w:r>
      <w:r w:rsidR="00AA2F69" w:rsidRPr="00182A9A">
        <w:t xml:space="preserve"> </w:t>
      </w:r>
      <w:r w:rsidRPr="00182A9A">
        <w:t>хил. лева. В сравнение с</w:t>
      </w:r>
      <w:r w:rsidR="00056902" w:rsidRPr="00182A9A">
        <w:t xml:space="preserve"> предх</w:t>
      </w:r>
      <w:r w:rsidRPr="00182A9A">
        <w:t xml:space="preserve">одната година се отчита намаление на приходите в размер на </w:t>
      </w:r>
      <w:r w:rsidR="00182A9A" w:rsidRPr="00182A9A">
        <w:t>303</w:t>
      </w:r>
      <w:r w:rsidR="00120E2B" w:rsidRPr="00182A9A">
        <w:t xml:space="preserve"> хи</w:t>
      </w:r>
      <w:r w:rsidRPr="00182A9A">
        <w:t>л. лева. Спрямо бизнес плана приходите от превоз на товари са по</w:t>
      </w:r>
      <w:r w:rsidR="00120E2B" w:rsidRPr="00182A9A">
        <w:t xml:space="preserve">-малко </w:t>
      </w:r>
      <w:r w:rsidRPr="00182A9A">
        <w:t>с</w:t>
      </w:r>
      <w:r w:rsidR="00595E3D" w:rsidRPr="00182A9A">
        <w:t xml:space="preserve"> </w:t>
      </w:r>
      <w:r w:rsidR="00182A9A" w:rsidRPr="00182A9A">
        <w:t>1 043</w:t>
      </w:r>
      <w:r w:rsidRPr="00182A9A">
        <w:t xml:space="preserve"> хил. лева.</w:t>
      </w:r>
    </w:p>
    <w:p w:rsidR="002B2EB3" w:rsidRPr="00182A9A" w:rsidRDefault="002B2EB3" w:rsidP="008D21DC">
      <w:pPr>
        <w:numPr>
          <w:ilvl w:val="0"/>
          <w:numId w:val="3"/>
        </w:numPr>
        <w:tabs>
          <w:tab w:val="num" w:pos="900"/>
        </w:tabs>
        <w:spacing w:after="120"/>
        <w:ind w:left="782" w:hanging="357"/>
        <w:jc w:val="both"/>
      </w:pPr>
      <w:r w:rsidRPr="00182A9A">
        <w:t xml:space="preserve">Приходи от товаро-разтоварна дейност – по отчет са </w:t>
      </w:r>
      <w:r w:rsidR="00AA2F69" w:rsidRPr="00182A9A">
        <w:t>1</w:t>
      </w:r>
      <w:r w:rsidR="00182A9A" w:rsidRPr="00182A9A">
        <w:t>5</w:t>
      </w:r>
      <w:r w:rsidR="00847D54" w:rsidRPr="00182A9A">
        <w:t>3</w:t>
      </w:r>
      <w:r w:rsidR="00595E3D" w:rsidRPr="00182A9A">
        <w:t xml:space="preserve"> </w:t>
      </w:r>
      <w:r w:rsidRPr="00182A9A">
        <w:t>хил. лева. Тези приходи са по</w:t>
      </w:r>
      <w:r w:rsidR="00120E2B" w:rsidRPr="00182A9A">
        <w:t>-малко</w:t>
      </w:r>
      <w:r w:rsidRPr="00182A9A">
        <w:t xml:space="preserve"> с </w:t>
      </w:r>
      <w:r w:rsidR="00847D54" w:rsidRPr="00182A9A">
        <w:t>4</w:t>
      </w:r>
      <w:r w:rsidR="00595E3D" w:rsidRPr="00182A9A">
        <w:t xml:space="preserve"> </w:t>
      </w:r>
      <w:r w:rsidRPr="00182A9A">
        <w:t xml:space="preserve">хил. лева спрямо същия предходната година и с </w:t>
      </w:r>
      <w:r w:rsidR="00182A9A" w:rsidRPr="00182A9A">
        <w:t>9 хил.</w:t>
      </w:r>
      <w:r w:rsidR="00847D54" w:rsidRPr="00182A9A">
        <w:t xml:space="preserve"> </w:t>
      </w:r>
      <w:r w:rsidR="0013425C" w:rsidRPr="00182A9A">
        <w:t>лева</w:t>
      </w:r>
      <w:r w:rsidRPr="00182A9A">
        <w:t xml:space="preserve"> по</w:t>
      </w:r>
      <w:r w:rsidR="00847D54" w:rsidRPr="00182A9A">
        <w:t>вече</w:t>
      </w:r>
      <w:r w:rsidRPr="00182A9A">
        <w:t xml:space="preserve"> от плана.</w:t>
      </w:r>
    </w:p>
    <w:p w:rsidR="002B2EB3" w:rsidRPr="00182A9A" w:rsidRDefault="002B2EB3" w:rsidP="008D21DC">
      <w:pPr>
        <w:numPr>
          <w:ilvl w:val="0"/>
          <w:numId w:val="3"/>
        </w:numPr>
        <w:tabs>
          <w:tab w:val="num" w:pos="900"/>
        </w:tabs>
        <w:spacing w:after="120"/>
        <w:ind w:left="782" w:hanging="357"/>
        <w:jc w:val="both"/>
      </w:pPr>
      <w:r w:rsidRPr="00182A9A">
        <w:t xml:space="preserve">Приходи от спедиция – </w:t>
      </w:r>
      <w:r w:rsidR="00847D54" w:rsidRPr="00182A9A">
        <w:t>8</w:t>
      </w:r>
      <w:r w:rsidRPr="00182A9A">
        <w:t xml:space="preserve"> хил. лева, отчита се намаление с </w:t>
      </w:r>
      <w:r w:rsidR="00AA2F69" w:rsidRPr="00182A9A">
        <w:t>1</w:t>
      </w:r>
      <w:r w:rsidR="00847D54" w:rsidRPr="00182A9A">
        <w:t>1</w:t>
      </w:r>
      <w:r w:rsidR="00E97590" w:rsidRPr="00182A9A">
        <w:t>%</w:t>
      </w:r>
      <w:r w:rsidRPr="00182A9A">
        <w:t xml:space="preserve"> в сравнение с</w:t>
      </w:r>
      <w:r w:rsidR="00595E3D" w:rsidRPr="00182A9A">
        <w:t xml:space="preserve"> </w:t>
      </w:r>
      <w:r w:rsidR="00AA2F69" w:rsidRPr="00182A9A">
        <w:t>2016 година</w:t>
      </w:r>
      <w:r w:rsidRPr="00182A9A">
        <w:t>.</w:t>
      </w:r>
    </w:p>
    <w:p w:rsidR="00076050" w:rsidRPr="00182A9A" w:rsidRDefault="002B2EB3" w:rsidP="008D21DC">
      <w:pPr>
        <w:numPr>
          <w:ilvl w:val="0"/>
          <w:numId w:val="3"/>
        </w:numPr>
        <w:tabs>
          <w:tab w:val="num" w:pos="900"/>
        </w:tabs>
        <w:spacing w:after="120"/>
        <w:ind w:left="782" w:hanging="357"/>
        <w:jc w:val="both"/>
      </w:pPr>
      <w:r w:rsidRPr="00182A9A">
        <w:t xml:space="preserve">Други приходи от експлоатационна дейност – </w:t>
      </w:r>
      <w:r w:rsidR="008B7DBA" w:rsidRPr="00182A9A">
        <w:t xml:space="preserve">отчетени са </w:t>
      </w:r>
      <w:r w:rsidR="00AA2F69" w:rsidRPr="00182A9A">
        <w:t>1</w:t>
      </w:r>
      <w:r w:rsidR="00595E3D" w:rsidRPr="00182A9A">
        <w:t> </w:t>
      </w:r>
      <w:r w:rsidR="00182A9A" w:rsidRPr="00182A9A">
        <w:t>192</w:t>
      </w:r>
      <w:r w:rsidR="00595E3D" w:rsidRPr="00182A9A">
        <w:t xml:space="preserve"> </w:t>
      </w:r>
      <w:r w:rsidR="00076050" w:rsidRPr="00182A9A">
        <w:t xml:space="preserve">хил лева, с </w:t>
      </w:r>
      <w:r w:rsidR="00182A9A" w:rsidRPr="00182A9A">
        <w:t>37</w:t>
      </w:r>
      <w:r w:rsidRPr="00182A9A">
        <w:t xml:space="preserve"> хил. лева по</w:t>
      </w:r>
      <w:r w:rsidR="00182A9A" w:rsidRPr="00182A9A">
        <w:t>-малко</w:t>
      </w:r>
      <w:r w:rsidRPr="00182A9A">
        <w:t xml:space="preserve"> в сравнение с отчетените през </w:t>
      </w:r>
      <w:r w:rsidR="008045AB" w:rsidRPr="00182A9A">
        <w:t xml:space="preserve">същия период на </w:t>
      </w:r>
      <w:r w:rsidRPr="00182A9A">
        <w:t xml:space="preserve">миналата година. </w:t>
      </w:r>
    </w:p>
    <w:p w:rsidR="00564BBB" w:rsidRPr="00182A9A" w:rsidRDefault="002B2EB3" w:rsidP="008D21DC">
      <w:pPr>
        <w:numPr>
          <w:ilvl w:val="0"/>
          <w:numId w:val="3"/>
        </w:numPr>
        <w:tabs>
          <w:tab w:val="num" w:pos="900"/>
        </w:tabs>
        <w:spacing w:after="120"/>
        <w:ind w:left="782" w:hanging="357"/>
        <w:jc w:val="both"/>
      </w:pPr>
      <w:r w:rsidRPr="00182A9A">
        <w:t xml:space="preserve">Отчетени са </w:t>
      </w:r>
      <w:r w:rsidRPr="00182A9A">
        <w:rPr>
          <w:b/>
        </w:rPr>
        <w:t>други приходи</w:t>
      </w:r>
      <w:r w:rsidRPr="00182A9A">
        <w:t xml:space="preserve"> в размер на </w:t>
      </w:r>
      <w:r w:rsidR="00182A9A" w:rsidRPr="00182A9A">
        <w:t>12</w:t>
      </w:r>
      <w:r w:rsidR="00847D54" w:rsidRPr="00182A9A">
        <w:t xml:space="preserve"> </w:t>
      </w:r>
      <w:r w:rsidR="00182A9A" w:rsidRPr="00182A9A">
        <w:t>103</w:t>
      </w:r>
      <w:r w:rsidR="00595E3D" w:rsidRPr="00182A9A">
        <w:t xml:space="preserve"> </w:t>
      </w:r>
      <w:r w:rsidRPr="00182A9A">
        <w:t>хил. лева, с</w:t>
      </w:r>
      <w:r w:rsidR="00F60129" w:rsidRPr="00182A9A">
        <w:t xml:space="preserve"> </w:t>
      </w:r>
      <w:r w:rsidR="00182A9A" w:rsidRPr="00182A9A">
        <w:t>5 827</w:t>
      </w:r>
      <w:r w:rsidRPr="00182A9A">
        <w:t xml:space="preserve"> хил. лева по</w:t>
      </w:r>
      <w:r w:rsidR="00076050" w:rsidRPr="00182A9A">
        <w:t>вече</w:t>
      </w:r>
      <w:r w:rsidRPr="00182A9A">
        <w:t xml:space="preserve"> в сравнение с отчетените през миналата година. </w:t>
      </w:r>
    </w:p>
    <w:p w:rsidR="002B2EB3" w:rsidRPr="00841663" w:rsidRDefault="002B2EB3" w:rsidP="00564BBB">
      <w:pPr>
        <w:tabs>
          <w:tab w:val="num" w:pos="900"/>
        </w:tabs>
        <w:spacing w:after="120"/>
        <w:ind w:left="782"/>
        <w:jc w:val="both"/>
      </w:pPr>
      <w:r w:rsidRPr="00841663">
        <w:t>В тези приходи се отчитат:</w:t>
      </w:r>
    </w:p>
    <w:p w:rsidR="00635C5E" w:rsidRPr="00841663" w:rsidRDefault="002B2EB3" w:rsidP="008D21DC">
      <w:pPr>
        <w:numPr>
          <w:ilvl w:val="0"/>
          <w:numId w:val="22"/>
        </w:numPr>
        <w:tabs>
          <w:tab w:val="num" w:pos="900"/>
        </w:tabs>
        <w:spacing w:after="120"/>
        <w:jc w:val="both"/>
      </w:pPr>
      <w:r w:rsidRPr="00841663">
        <w:t xml:space="preserve">приходи от наеми на </w:t>
      </w:r>
      <w:r w:rsidR="00FD40DC" w:rsidRPr="00841663">
        <w:t xml:space="preserve">локомотиви </w:t>
      </w:r>
      <w:r w:rsidRPr="00841663">
        <w:t>в размер на</w:t>
      </w:r>
      <w:r w:rsidR="00863841" w:rsidRPr="00841663">
        <w:t xml:space="preserve"> </w:t>
      </w:r>
      <w:r w:rsidR="00460B3A" w:rsidRPr="00841663">
        <w:t>3</w:t>
      </w:r>
      <w:r w:rsidR="00847D54" w:rsidRPr="00841663">
        <w:t> </w:t>
      </w:r>
      <w:r w:rsidR="00841663" w:rsidRPr="00841663">
        <w:rPr>
          <w:lang w:val="en-US"/>
        </w:rPr>
        <w:t>541</w:t>
      </w:r>
      <w:r w:rsidR="00847D54" w:rsidRPr="00841663">
        <w:t xml:space="preserve"> </w:t>
      </w:r>
      <w:r w:rsidRPr="00841663">
        <w:t>хил. лева,</w:t>
      </w:r>
      <w:r w:rsidR="00175566" w:rsidRPr="00841663">
        <w:t xml:space="preserve"> с </w:t>
      </w:r>
      <w:r w:rsidR="00AA2F69" w:rsidRPr="00841663">
        <w:t xml:space="preserve">2 </w:t>
      </w:r>
      <w:r w:rsidR="00841663" w:rsidRPr="00841663">
        <w:rPr>
          <w:lang w:val="en-US"/>
        </w:rPr>
        <w:t>417</w:t>
      </w:r>
      <w:r w:rsidR="00635C5E" w:rsidRPr="00841663">
        <w:t xml:space="preserve"> хил. лева повече от съпоставимия период на миналата година;</w:t>
      </w:r>
    </w:p>
    <w:p w:rsidR="00635C5E" w:rsidRPr="00841663" w:rsidRDefault="002B2EB3" w:rsidP="008D21DC">
      <w:pPr>
        <w:numPr>
          <w:ilvl w:val="0"/>
          <w:numId w:val="22"/>
        </w:numPr>
        <w:tabs>
          <w:tab w:val="num" w:pos="900"/>
        </w:tabs>
        <w:spacing w:after="120"/>
        <w:jc w:val="both"/>
      </w:pPr>
      <w:r w:rsidRPr="00841663">
        <w:t>от отдадени под наем сгради</w:t>
      </w:r>
      <w:r w:rsidR="00595E3D" w:rsidRPr="00841663">
        <w:t xml:space="preserve"> </w:t>
      </w:r>
      <w:r w:rsidR="00460B3A" w:rsidRPr="00841663">
        <w:t xml:space="preserve">– в размер на </w:t>
      </w:r>
      <w:r w:rsidR="00841663" w:rsidRPr="00841663">
        <w:rPr>
          <w:lang w:val="en-US"/>
        </w:rPr>
        <w:t>420</w:t>
      </w:r>
      <w:r w:rsidR="00FD40DC" w:rsidRPr="00841663">
        <w:t xml:space="preserve"> хил. лева,</w:t>
      </w:r>
    </w:p>
    <w:p w:rsidR="002B2EB3" w:rsidRPr="00841663" w:rsidRDefault="00FD40DC" w:rsidP="008D21DC">
      <w:pPr>
        <w:numPr>
          <w:ilvl w:val="0"/>
          <w:numId w:val="22"/>
        </w:numPr>
        <w:tabs>
          <w:tab w:val="num" w:pos="900"/>
        </w:tabs>
        <w:spacing w:after="120"/>
        <w:jc w:val="both"/>
      </w:pPr>
      <w:r w:rsidRPr="00841663">
        <w:t xml:space="preserve">такса от чужди жп администрации за товарни вагони </w:t>
      </w:r>
      <w:r w:rsidR="002B2EB3" w:rsidRPr="00841663">
        <w:t xml:space="preserve">в размер на </w:t>
      </w:r>
      <w:r w:rsidR="00847D54" w:rsidRPr="00841663">
        <w:t xml:space="preserve">2 </w:t>
      </w:r>
      <w:r w:rsidR="00841663" w:rsidRPr="00841663">
        <w:rPr>
          <w:lang w:val="en-US"/>
        </w:rPr>
        <w:t>903</w:t>
      </w:r>
      <w:r w:rsidR="00595E3D" w:rsidRPr="00841663">
        <w:t xml:space="preserve"> </w:t>
      </w:r>
      <w:r w:rsidR="002B2EB3" w:rsidRPr="00841663">
        <w:t>хил. лева</w:t>
      </w:r>
      <w:r w:rsidR="00635C5E" w:rsidRPr="00841663">
        <w:t xml:space="preserve">, с </w:t>
      </w:r>
      <w:r w:rsidR="00460B3A" w:rsidRPr="00841663">
        <w:t>1</w:t>
      </w:r>
      <w:r w:rsidR="00841663" w:rsidRPr="00841663">
        <w:t> </w:t>
      </w:r>
      <w:r w:rsidR="00841663" w:rsidRPr="00841663">
        <w:rPr>
          <w:lang w:val="en-US"/>
        </w:rPr>
        <w:t xml:space="preserve">624 </w:t>
      </w:r>
      <w:r w:rsidR="00635C5E" w:rsidRPr="00841663">
        <w:t>хил. лева повече от 2016 г;</w:t>
      </w:r>
    </w:p>
    <w:p w:rsidR="003D5F7C" w:rsidRPr="00841663" w:rsidRDefault="003D5F7C" w:rsidP="008D21DC">
      <w:pPr>
        <w:numPr>
          <w:ilvl w:val="0"/>
          <w:numId w:val="22"/>
        </w:numPr>
        <w:tabs>
          <w:tab w:val="num" w:pos="900"/>
        </w:tabs>
        <w:spacing w:after="120"/>
        <w:jc w:val="both"/>
      </w:pPr>
      <w:r w:rsidRPr="00841663">
        <w:t xml:space="preserve">приходи от свързани лица в размер на </w:t>
      </w:r>
      <w:r w:rsidR="004163E4" w:rsidRPr="00841663">
        <w:t>2</w:t>
      </w:r>
      <w:r w:rsidRPr="00841663">
        <w:t> </w:t>
      </w:r>
      <w:r w:rsidR="00841663" w:rsidRPr="00841663">
        <w:rPr>
          <w:lang w:val="en-US"/>
        </w:rPr>
        <w:t>830</w:t>
      </w:r>
      <w:r w:rsidRPr="00841663">
        <w:t xml:space="preserve"> хил. лева с </w:t>
      </w:r>
      <w:r w:rsidR="00841663" w:rsidRPr="00841663">
        <w:rPr>
          <w:lang w:val="en-US"/>
        </w:rPr>
        <w:t>919</w:t>
      </w:r>
      <w:r w:rsidRPr="00841663">
        <w:t xml:space="preserve"> хил. лева повече от 2016 г, в т.ч 1 </w:t>
      </w:r>
      <w:r w:rsidR="00841663" w:rsidRPr="00841663">
        <w:rPr>
          <w:lang w:val="en-US"/>
        </w:rPr>
        <w:t>880</w:t>
      </w:r>
      <w:r w:rsidRPr="00841663">
        <w:t xml:space="preserve"> хил. лева приходи от предоставени локомотиви на СЛ, приходи от текуща поддръжка и ремонт в размер на </w:t>
      </w:r>
      <w:r w:rsidR="00841663" w:rsidRPr="00841663">
        <w:rPr>
          <w:lang w:val="en-US"/>
        </w:rPr>
        <w:t>643</w:t>
      </w:r>
      <w:r w:rsidRPr="00841663">
        <w:t xml:space="preserve"> хил. лева и приходи о</w:t>
      </w:r>
      <w:r w:rsidR="00175566" w:rsidRPr="00841663">
        <w:t xml:space="preserve">т продадени материали на СЛ – </w:t>
      </w:r>
      <w:r w:rsidR="004163E4" w:rsidRPr="00841663">
        <w:t>2</w:t>
      </w:r>
      <w:r w:rsidR="00841663" w:rsidRPr="00841663">
        <w:rPr>
          <w:lang w:val="en-US"/>
        </w:rPr>
        <w:t>52</w:t>
      </w:r>
      <w:r w:rsidRPr="00841663">
        <w:t xml:space="preserve"> хил. лева.</w:t>
      </w:r>
    </w:p>
    <w:p w:rsidR="00AE2DDD" w:rsidRDefault="00AE2DDD" w:rsidP="00635C5E">
      <w:pPr>
        <w:spacing w:after="120"/>
        <w:ind w:left="720"/>
        <w:jc w:val="both"/>
        <w:rPr>
          <w:highlight w:val="yellow"/>
        </w:rPr>
      </w:pPr>
    </w:p>
    <w:p w:rsidR="00200452" w:rsidRDefault="00216C22" w:rsidP="00635C5E">
      <w:pPr>
        <w:spacing w:after="120"/>
        <w:ind w:left="720"/>
        <w:jc w:val="both"/>
        <w:rPr>
          <w:highlight w:val="yellow"/>
        </w:rPr>
      </w:pPr>
      <w:r w:rsidRPr="00216C22">
        <w:rPr>
          <w:noProof/>
          <w:lang w:eastAsia="bg-BG"/>
        </w:rPr>
        <w:drawing>
          <wp:inline distT="0" distB="0" distL="0" distR="0">
            <wp:extent cx="5707380" cy="3589020"/>
            <wp:effectExtent l="19050" t="0" r="26670" b="0"/>
            <wp:docPr id="2"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200452" w:rsidRDefault="00200452" w:rsidP="00635C5E">
      <w:pPr>
        <w:spacing w:after="120"/>
        <w:ind w:left="720"/>
        <w:jc w:val="both"/>
        <w:rPr>
          <w:highlight w:val="yellow"/>
        </w:rPr>
      </w:pPr>
    </w:p>
    <w:p w:rsidR="00216C22" w:rsidRDefault="00216C22" w:rsidP="002B2EB3">
      <w:pPr>
        <w:numPr>
          <w:ilvl w:val="0"/>
          <w:numId w:val="1"/>
        </w:numPr>
        <w:spacing w:after="120"/>
        <w:ind w:hanging="181"/>
        <w:jc w:val="both"/>
        <w:rPr>
          <w:rFonts w:ascii="Arial" w:hAnsi="Arial" w:cs="Arial"/>
          <w:b/>
          <w:color w:val="0000CC"/>
        </w:rPr>
        <w:sectPr w:rsidR="00216C22" w:rsidSect="00B65864">
          <w:pgSz w:w="11906" w:h="16838" w:code="9"/>
          <w:pgMar w:top="899" w:right="926" w:bottom="709" w:left="1134" w:header="709" w:footer="709" w:gutter="0"/>
          <w:cols w:space="708"/>
          <w:docGrid w:linePitch="360"/>
        </w:sectPr>
      </w:pPr>
    </w:p>
    <w:p w:rsidR="002B2EB3" w:rsidRPr="00200452" w:rsidRDefault="002B2EB3" w:rsidP="002B2EB3">
      <w:pPr>
        <w:numPr>
          <w:ilvl w:val="0"/>
          <w:numId w:val="1"/>
        </w:numPr>
        <w:spacing w:after="120"/>
        <w:ind w:hanging="181"/>
        <w:jc w:val="both"/>
        <w:rPr>
          <w:rFonts w:ascii="Arial" w:hAnsi="Arial" w:cs="Arial"/>
          <w:b/>
          <w:color w:val="0000CC"/>
        </w:rPr>
      </w:pPr>
      <w:r w:rsidRPr="00200452">
        <w:rPr>
          <w:rFonts w:ascii="Arial" w:hAnsi="Arial" w:cs="Arial"/>
          <w:b/>
          <w:color w:val="0000CC"/>
        </w:rPr>
        <w:lastRenderedPageBreak/>
        <w:t>Разходи</w:t>
      </w:r>
    </w:p>
    <w:tbl>
      <w:tblPr>
        <w:tblW w:w="9873" w:type="dxa"/>
        <w:tblInd w:w="58" w:type="dxa"/>
        <w:tblCellMar>
          <w:left w:w="70" w:type="dxa"/>
          <w:right w:w="70" w:type="dxa"/>
        </w:tblCellMar>
        <w:tblLook w:val="04A0" w:firstRow="1" w:lastRow="0" w:firstColumn="1" w:lastColumn="0" w:noHBand="0" w:noVBand="1"/>
      </w:tblPr>
      <w:tblGrid>
        <w:gridCol w:w="3224"/>
        <w:gridCol w:w="1159"/>
        <w:gridCol w:w="1077"/>
        <w:gridCol w:w="1139"/>
        <w:gridCol w:w="1077"/>
        <w:gridCol w:w="1125"/>
        <w:gridCol w:w="1072"/>
      </w:tblGrid>
      <w:tr w:rsidR="00200452" w:rsidRPr="00200452" w:rsidTr="00200452">
        <w:trPr>
          <w:trHeight w:val="234"/>
        </w:trPr>
        <w:tc>
          <w:tcPr>
            <w:tcW w:w="3224" w:type="dxa"/>
            <w:tcBorders>
              <w:top w:val="single" w:sz="4" w:space="0" w:color="auto"/>
              <w:left w:val="single" w:sz="4" w:space="0" w:color="auto"/>
              <w:bottom w:val="nil"/>
              <w:right w:val="nil"/>
            </w:tcBorders>
            <w:shd w:val="clear" w:color="000000" w:fill="F2F2F2"/>
            <w:noWrap/>
            <w:vAlign w:val="bottom"/>
            <w:hideMark/>
          </w:tcPr>
          <w:p w:rsidR="00200452" w:rsidRPr="00200452" w:rsidRDefault="00200452" w:rsidP="00200452">
            <w:pPr>
              <w:jc w:val="center"/>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 </w:t>
            </w:r>
          </w:p>
        </w:tc>
        <w:tc>
          <w:tcPr>
            <w:tcW w:w="1159" w:type="dxa"/>
            <w:tcBorders>
              <w:top w:val="single" w:sz="4" w:space="0" w:color="auto"/>
              <w:left w:val="single" w:sz="4" w:space="0" w:color="auto"/>
              <w:bottom w:val="nil"/>
              <w:right w:val="single" w:sz="4" w:space="0" w:color="auto"/>
            </w:tcBorders>
            <w:shd w:val="clear" w:color="000000" w:fill="F2F2F2"/>
            <w:noWrap/>
            <w:vAlign w:val="bottom"/>
            <w:hideMark/>
          </w:tcPr>
          <w:p w:rsidR="00200452" w:rsidRPr="00200452" w:rsidRDefault="00200452" w:rsidP="00200452">
            <w:pPr>
              <w:jc w:val="center"/>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 </w:t>
            </w:r>
          </w:p>
        </w:tc>
        <w:tc>
          <w:tcPr>
            <w:tcW w:w="1077" w:type="dxa"/>
            <w:vMerge w:val="restart"/>
            <w:tcBorders>
              <w:top w:val="single" w:sz="4" w:space="0" w:color="auto"/>
              <w:left w:val="single" w:sz="4" w:space="0" w:color="auto"/>
              <w:bottom w:val="nil"/>
              <w:right w:val="single" w:sz="4" w:space="0" w:color="auto"/>
            </w:tcBorders>
            <w:shd w:val="clear" w:color="000000" w:fill="F2F2F2"/>
            <w:vAlign w:val="bottom"/>
            <w:hideMark/>
          </w:tcPr>
          <w:p w:rsidR="00200452" w:rsidRPr="00200452" w:rsidRDefault="00200452" w:rsidP="00200452">
            <w:pPr>
              <w:jc w:val="center"/>
              <w:rPr>
                <w:rFonts w:ascii="Calibri" w:eastAsia="Times New Roman" w:hAnsi="Calibri" w:cs="Calibri"/>
                <w:b/>
                <w:bCs/>
                <w:color w:val="000000"/>
                <w:sz w:val="18"/>
                <w:szCs w:val="18"/>
                <w:lang w:eastAsia="bg-BG"/>
              </w:rPr>
            </w:pPr>
            <w:r w:rsidRPr="00200452">
              <w:rPr>
                <w:rFonts w:ascii="Calibri" w:eastAsia="Times New Roman" w:hAnsi="Calibri" w:cs="Calibri"/>
                <w:b/>
                <w:bCs/>
                <w:color w:val="000000"/>
                <w:sz w:val="18"/>
                <w:szCs w:val="18"/>
                <w:lang w:eastAsia="bg-BG"/>
              </w:rPr>
              <w:t xml:space="preserve">% от общите </w:t>
            </w:r>
          </w:p>
        </w:tc>
        <w:tc>
          <w:tcPr>
            <w:tcW w:w="1139" w:type="dxa"/>
            <w:tcBorders>
              <w:top w:val="single" w:sz="4" w:space="0" w:color="auto"/>
              <w:left w:val="single" w:sz="4" w:space="0" w:color="auto"/>
              <w:bottom w:val="nil"/>
              <w:right w:val="single" w:sz="4" w:space="0" w:color="auto"/>
            </w:tcBorders>
            <w:shd w:val="clear" w:color="000000" w:fill="F2F2F2"/>
            <w:noWrap/>
            <w:vAlign w:val="bottom"/>
            <w:hideMark/>
          </w:tcPr>
          <w:p w:rsidR="00200452" w:rsidRPr="00200452" w:rsidRDefault="00200452" w:rsidP="00200452">
            <w:pPr>
              <w:jc w:val="center"/>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 </w:t>
            </w:r>
          </w:p>
        </w:tc>
        <w:tc>
          <w:tcPr>
            <w:tcW w:w="1077" w:type="dxa"/>
            <w:vMerge w:val="restart"/>
            <w:tcBorders>
              <w:top w:val="single" w:sz="4" w:space="0" w:color="auto"/>
              <w:left w:val="single" w:sz="4" w:space="0" w:color="auto"/>
              <w:bottom w:val="nil"/>
              <w:right w:val="nil"/>
            </w:tcBorders>
            <w:shd w:val="clear" w:color="000000" w:fill="F2F2F2"/>
            <w:vAlign w:val="bottom"/>
            <w:hideMark/>
          </w:tcPr>
          <w:p w:rsidR="00200452" w:rsidRPr="00200452" w:rsidRDefault="00200452" w:rsidP="00200452">
            <w:pPr>
              <w:jc w:val="center"/>
              <w:rPr>
                <w:rFonts w:ascii="Calibri" w:eastAsia="Times New Roman" w:hAnsi="Calibri" w:cs="Calibri"/>
                <w:b/>
                <w:bCs/>
                <w:color w:val="000000"/>
                <w:sz w:val="18"/>
                <w:szCs w:val="18"/>
                <w:lang w:eastAsia="bg-BG"/>
              </w:rPr>
            </w:pPr>
            <w:r w:rsidRPr="00200452">
              <w:rPr>
                <w:rFonts w:ascii="Calibri" w:eastAsia="Times New Roman" w:hAnsi="Calibri" w:cs="Calibri"/>
                <w:b/>
                <w:bCs/>
                <w:color w:val="000000"/>
                <w:sz w:val="18"/>
                <w:szCs w:val="18"/>
                <w:lang w:eastAsia="bg-BG"/>
              </w:rPr>
              <w:t xml:space="preserve">% от общите </w:t>
            </w:r>
          </w:p>
        </w:tc>
        <w:tc>
          <w:tcPr>
            <w:tcW w:w="2197" w:type="dxa"/>
            <w:gridSpan w:val="2"/>
            <w:tcBorders>
              <w:top w:val="single" w:sz="4" w:space="0" w:color="auto"/>
              <w:left w:val="single" w:sz="4" w:space="0" w:color="auto"/>
              <w:bottom w:val="nil"/>
              <w:right w:val="single" w:sz="4" w:space="0" w:color="000000"/>
            </w:tcBorders>
            <w:shd w:val="clear" w:color="000000" w:fill="F2F2F2"/>
            <w:noWrap/>
            <w:vAlign w:val="bottom"/>
            <w:hideMark/>
          </w:tcPr>
          <w:p w:rsidR="00200452" w:rsidRPr="00200452" w:rsidRDefault="00200452" w:rsidP="00200452">
            <w:pPr>
              <w:jc w:val="center"/>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Отчет 2017/отчет2016</w:t>
            </w:r>
          </w:p>
        </w:tc>
      </w:tr>
      <w:tr w:rsidR="00200452" w:rsidRPr="00200452" w:rsidTr="00200452">
        <w:trPr>
          <w:trHeight w:val="234"/>
        </w:trPr>
        <w:tc>
          <w:tcPr>
            <w:tcW w:w="3224" w:type="dxa"/>
            <w:tcBorders>
              <w:top w:val="nil"/>
              <w:left w:val="single" w:sz="4" w:space="0" w:color="auto"/>
              <w:bottom w:val="nil"/>
              <w:right w:val="nil"/>
            </w:tcBorders>
            <w:shd w:val="clear" w:color="000000" w:fill="F2F2F2"/>
            <w:noWrap/>
            <w:vAlign w:val="bottom"/>
            <w:hideMark/>
          </w:tcPr>
          <w:p w:rsidR="00200452" w:rsidRPr="00200452" w:rsidRDefault="00200452" w:rsidP="00200452">
            <w:pPr>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Разходи за основна дейност</w:t>
            </w:r>
          </w:p>
        </w:tc>
        <w:tc>
          <w:tcPr>
            <w:tcW w:w="1159" w:type="dxa"/>
            <w:tcBorders>
              <w:top w:val="nil"/>
              <w:left w:val="single" w:sz="4" w:space="0" w:color="auto"/>
              <w:bottom w:val="nil"/>
              <w:right w:val="single" w:sz="4" w:space="0" w:color="auto"/>
            </w:tcBorders>
            <w:shd w:val="clear" w:color="000000" w:fill="F2F2F2"/>
            <w:noWrap/>
            <w:vAlign w:val="bottom"/>
            <w:hideMark/>
          </w:tcPr>
          <w:p w:rsidR="00200452" w:rsidRPr="00200452" w:rsidRDefault="00200452" w:rsidP="00200452">
            <w:pPr>
              <w:jc w:val="center"/>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Отчет</w:t>
            </w:r>
          </w:p>
        </w:tc>
        <w:tc>
          <w:tcPr>
            <w:tcW w:w="1077" w:type="dxa"/>
            <w:vMerge/>
            <w:tcBorders>
              <w:top w:val="single" w:sz="4" w:space="0" w:color="auto"/>
              <w:left w:val="single" w:sz="4" w:space="0" w:color="auto"/>
              <w:bottom w:val="nil"/>
              <w:right w:val="single" w:sz="4" w:space="0" w:color="auto"/>
            </w:tcBorders>
            <w:vAlign w:val="center"/>
            <w:hideMark/>
          </w:tcPr>
          <w:p w:rsidR="00200452" w:rsidRPr="00200452" w:rsidRDefault="00200452" w:rsidP="00200452">
            <w:pPr>
              <w:rPr>
                <w:rFonts w:ascii="Calibri" w:eastAsia="Times New Roman" w:hAnsi="Calibri" w:cs="Calibri"/>
                <w:b/>
                <w:bCs/>
                <w:color w:val="000000"/>
                <w:sz w:val="18"/>
                <w:szCs w:val="18"/>
                <w:lang w:eastAsia="bg-BG"/>
              </w:rPr>
            </w:pPr>
          </w:p>
        </w:tc>
        <w:tc>
          <w:tcPr>
            <w:tcW w:w="1139" w:type="dxa"/>
            <w:tcBorders>
              <w:top w:val="nil"/>
              <w:left w:val="single" w:sz="4" w:space="0" w:color="auto"/>
              <w:bottom w:val="nil"/>
              <w:right w:val="single" w:sz="4" w:space="0" w:color="auto"/>
            </w:tcBorders>
            <w:shd w:val="clear" w:color="000000" w:fill="F2F2F2"/>
            <w:noWrap/>
            <w:vAlign w:val="bottom"/>
            <w:hideMark/>
          </w:tcPr>
          <w:p w:rsidR="00200452" w:rsidRPr="00200452" w:rsidRDefault="00200452" w:rsidP="00200452">
            <w:pPr>
              <w:jc w:val="center"/>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Отчет</w:t>
            </w:r>
          </w:p>
        </w:tc>
        <w:tc>
          <w:tcPr>
            <w:tcW w:w="1077" w:type="dxa"/>
            <w:vMerge/>
            <w:tcBorders>
              <w:top w:val="single" w:sz="4" w:space="0" w:color="auto"/>
              <w:left w:val="single" w:sz="4" w:space="0" w:color="auto"/>
              <w:bottom w:val="nil"/>
              <w:right w:val="nil"/>
            </w:tcBorders>
            <w:vAlign w:val="center"/>
            <w:hideMark/>
          </w:tcPr>
          <w:p w:rsidR="00200452" w:rsidRPr="00200452" w:rsidRDefault="00200452" w:rsidP="00200452">
            <w:pPr>
              <w:rPr>
                <w:rFonts w:ascii="Calibri" w:eastAsia="Times New Roman" w:hAnsi="Calibri" w:cs="Calibri"/>
                <w:b/>
                <w:bCs/>
                <w:color w:val="000000"/>
                <w:sz w:val="18"/>
                <w:szCs w:val="18"/>
                <w:lang w:eastAsia="bg-BG"/>
              </w:rPr>
            </w:pPr>
          </w:p>
        </w:tc>
        <w:tc>
          <w:tcPr>
            <w:tcW w:w="1125" w:type="dxa"/>
            <w:tcBorders>
              <w:top w:val="nil"/>
              <w:left w:val="single" w:sz="4" w:space="0" w:color="auto"/>
              <w:bottom w:val="nil"/>
              <w:right w:val="nil"/>
            </w:tcBorders>
            <w:shd w:val="clear" w:color="000000" w:fill="F2F2F2"/>
            <w:noWrap/>
            <w:vAlign w:val="bottom"/>
            <w:hideMark/>
          </w:tcPr>
          <w:p w:rsidR="00200452" w:rsidRPr="00200452" w:rsidRDefault="00200452" w:rsidP="00200452">
            <w:pPr>
              <w:jc w:val="center"/>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 xml:space="preserve">  + -</w:t>
            </w:r>
          </w:p>
        </w:tc>
        <w:tc>
          <w:tcPr>
            <w:tcW w:w="1072" w:type="dxa"/>
            <w:tcBorders>
              <w:top w:val="nil"/>
              <w:left w:val="nil"/>
              <w:bottom w:val="nil"/>
              <w:right w:val="single" w:sz="4" w:space="0" w:color="auto"/>
            </w:tcBorders>
            <w:shd w:val="clear" w:color="000000" w:fill="F2F2F2"/>
            <w:noWrap/>
            <w:vAlign w:val="bottom"/>
            <w:hideMark/>
          </w:tcPr>
          <w:p w:rsidR="00200452" w:rsidRPr="00200452" w:rsidRDefault="00200452" w:rsidP="00200452">
            <w:pPr>
              <w:jc w:val="center"/>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 xml:space="preserve"> % на</w:t>
            </w:r>
          </w:p>
        </w:tc>
      </w:tr>
      <w:tr w:rsidR="00200452" w:rsidRPr="00200452" w:rsidTr="00200452">
        <w:trPr>
          <w:trHeight w:val="234"/>
        </w:trPr>
        <w:tc>
          <w:tcPr>
            <w:tcW w:w="3224" w:type="dxa"/>
            <w:tcBorders>
              <w:top w:val="nil"/>
              <w:left w:val="single" w:sz="4" w:space="0" w:color="auto"/>
              <w:bottom w:val="nil"/>
              <w:right w:val="nil"/>
            </w:tcBorders>
            <w:shd w:val="clear" w:color="000000" w:fill="F2F2F2"/>
            <w:noWrap/>
            <w:vAlign w:val="bottom"/>
            <w:hideMark/>
          </w:tcPr>
          <w:p w:rsidR="00200452" w:rsidRPr="00200452" w:rsidRDefault="00200452" w:rsidP="00200452">
            <w:pPr>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 </w:t>
            </w:r>
          </w:p>
        </w:tc>
        <w:tc>
          <w:tcPr>
            <w:tcW w:w="1159" w:type="dxa"/>
            <w:tcBorders>
              <w:top w:val="nil"/>
              <w:left w:val="single" w:sz="4" w:space="0" w:color="auto"/>
              <w:bottom w:val="nil"/>
              <w:right w:val="single" w:sz="4" w:space="0" w:color="auto"/>
            </w:tcBorders>
            <w:shd w:val="clear" w:color="000000" w:fill="F2F2F2"/>
            <w:noWrap/>
            <w:vAlign w:val="bottom"/>
            <w:hideMark/>
          </w:tcPr>
          <w:p w:rsidR="00200452" w:rsidRPr="00200452" w:rsidRDefault="00200452" w:rsidP="00200452">
            <w:pPr>
              <w:jc w:val="center"/>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31.12.2017 г.</w:t>
            </w:r>
          </w:p>
        </w:tc>
        <w:tc>
          <w:tcPr>
            <w:tcW w:w="1077" w:type="dxa"/>
            <w:vMerge/>
            <w:tcBorders>
              <w:top w:val="single" w:sz="4" w:space="0" w:color="auto"/>
              <w:left w:val="single" w:sz="4" w:space="0" w:color="auto"/>
              <w:bottom w:val="nil"/>
              <w:right w:val="single" w:sz="4" w:space="0" w:color="auto"/>
            </w:tcBorders>
            <w:vAlign w:val="center"/>
            <w:hideMark/>
          </w:tcPr>
          <w:p w:rsidR="00200452" w:rsidRPr="00200452" w:rsidRDefault="00200452" w:rsidP="00200452">
            <w:pPr>
              <w:rPr>
                <w:rFonts w:ascii="Calibri" w:eastAsia="Times New Roman" w:hAnsi="Calibri" w:cs="Calibri"/>
                <w:b/>
                <w:bCs/>
                <w:color w:val="000000"/>
                <w:sz w:val="18"/>
                <w:szCs w:val="18"/>
                <w:lang w:eastAsia="bg-BG"/>
              </w:rPr>
            </w:pPr>
          </w:p>
        </w:tc>
        <w:tc>
          <w:tcPr>
            <w:tcW w:w="1139" w:type="dxa"/>
            <w:tcBorders>
              <w:top w:val="nil"/>
              <w:left w:val="single" w:sz="4" w:space="0" w:color="auto"/>
              <w:bottom w:val="single" w:sz="4" w:space="0" w:color="auto"/>
              <w:right w:val="single" w:sz="4" w:space="0" w:color="auto"/>
            </w:tcBorders>
            <w:shd w:val="clear" w:color="000000" w:fill="F2F2F2"/>
            <w:noWrap/>
            <w:vAlign w:val="bottom"/>
            <w:hideMark/>
          </w:tcPr>
          <w:p w:rsidR="00200452" w:rsidRPr="00200452" w:rsidRDefault="00200452" w:rsidP="00200452">
            <w:pPr>
              <w:jc w:val="center"/>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31.12.2016 г.</w:t>
            </w:r>
          </w:p>
        </w:tc>
        <w:tc>
          <w:tcPr>
            <w:tcW w:w="1077" w:type="dxa"/>
            <w:vMerge/>
            <w:tcBorders>
              <w:top w:val="single" w:sz="4" w:space="0" w:color="auto"/>
              <w:left w:val="single" w:sz="4" w:space="0" w:color="auto"/>
              <w:bottom w:val="nil"/>
              <w:right w:val="nil"/>
            </w:tcBorders>
            <w:vAlign w:val="center"/>
            <w:hideMark/>
          </w:tcPr>
          <w:p w:rsidR="00200452" w:rsidRPr="00200452" w:rsidRDefault="00200452" w:rsidP="00200452">
            <w:pPr>
              <w:rPr>
                <w:rFonts w:ascii="Calibri" w:eastAsia="Times New Roman" w:hAnsi="Calibri" w:cs="Calibri"/>
                <w:b/>
                <w:bCs/>
                <w:color w:val="000000"/>
                <w:sz w:val="18"/>
                <w:szCs w:val="18"/>
                <w:lang w:eastAsia="bg-BG"/>
              </w:rPr>
            </w:pPr>
          </w:p>
        </w:tc>
        <w:tc>
          <w:tcPr>
            <w:tcW w:w="1125" w:type="dxa"/>
            <w:tcBorders>
              <w:top w:val="nil"/>
              <w:left w:val="single" w:sz="4" w:space="0" w:color="auto"/>
              <w:bottom w:val="nil"/>
              <w:right w:val="nil"/>
            </w:tcBorders>
            <w:shd w:val="clear" w:color="000000" w:fill="F2F2F2"/>
            <w:noWrap/>
            <w:vAlign w:val="bottom"/>
            <w:hideMark/>
          </w:tcPr>
          <w:p w:rsidR="00200452" w:rsidRPr="00200452" w:rsidRDefault="00200452" w:rsidP="00200452">
            <w:pPr>
              <w:jc w:val="center"/>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 </w:t>
            </w:r>
          </w:p>
        </w:tc>
        <w:tc>
          <w:tcPr>
            <w:tcW w:w="1072" w:type="dxa"/>
            <w:tcBorders>
              <w:top w:val="nil"/>
              <w:left w:val="nil"/>
              <w:bottom w:val="nil"/>
              <w:right w:val="single" w:sz="4" w:space="0" w:color="auto"/>
            </w:tcBorders>
            <w:shd w:val="clear" w:color="000000" w:fill="F2F2F2"/>
            <w:noWrap/>
            <w:vAlign w:val="bottom"/>
            <w:hideMark/>
          </w:tcPr>
          <w:p w:rsidR="00200452" w:rsidRPr="00200452" w:rsidRDefault="00200452" w:rsidP="00200452">
            <w:pPr>
              <w:jc w:val="center"/>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изменение</w:t>
            </w:r>
          </w:p>
        </w:tc>
      </w:tr>
      <w:tr w:rsidR="00200452" w:rsidRPr="00200452" w:rsidTr="00200452">
        <w:trPr>
          <w:trHeight w:val="234"/>
        </w:trPr>
        <w:tc>
          <w:tcPr>
            <w:tcW w:w="3224" w:type="dxa"/>
            <w:tcBorders>
              <w:top w:val="single" w:sz="4" w:space="0" w:color="auto"/>
              <w:left w:val="single" w:sz="4" w:space="0" w:color="auto"/>
              <w:bottom w:val="nil"/>
              <w:right w:val="nil"/>
            </w:tcBorders>
            <w:shd w:val="clear" w:color="auto" w:fill="auto"/>
            <w:noWrap/>
            <w:vAlign w:val="bottom"/>
            <w:hideMark/>
          </w:tcPr>
          <w:p w:rsidR="00200452" w:rsidRPr="00200452" w:rsidRDefault="00200452" w:rsidP="00200452">
            <w:pPr>
              <w:rPr>
                <w:rFonts w:ascii="Calibri" w:eastAsia="Times New Roman" w:hAnsi="Calibri" w:cs="Calibri"/>
                <w:b/>
                <w:bCs/>
                <w:i/>
                <w:iCs/>
                <w:sz w:val="18"/>
                <w:szCs w:val="18"/>
                <w:lang w:eastAsia="bg-BG"/>
              </w:rPr>
            </w:pPr>
            <w:r w:rsidRPr="00200452">
              <w:rPr>
                <w:rFonts w:ascii="Calibri" w:eastAsia="Times New Roman" w:hAnsi="Calibri" w:cs="Calibri"/>
                <w:b/>
                <w:bCs/>
                <w:i/>
                <w:iCs/>
                <w:sz w:val="18"/>
                <w:szCs w:val="18"/>
                <w:lang w:eastAsia="bg-BG"/>
              </w:rPr>
              <w:t>Разходи за материали, в т.ч.:</w:t>
            </w:r>
          </w:p>
        </w:tc>
        <w:tc>
          <w:tcPr>
            <w:tcW w:w="1159" w:type="dxa"/>
            <w:tcBorders>
              <w:top w:val="single" w:sz="4" w:space="0" w:color="auto"/>
              <w:left w:val="single" w:sz="4" w:space="0" w:color="auto"/>
              <w:bottom w:val="nil"/>
              <w:right w:val="single" w:sz="4" w:space="0" w:color="auto"/>
            </w:tcBorders>
            <w:shd w:val="clear" w:color="auto" w:fill="auto"/>
            <w:noWrap/>
            <w:vAlign w:val="bottom"/>
            <w:hideMark/>
          </w:tcPr>
          <w:p w:rsidR="00200452" w:rsidRPr="00200452" w:rsidRDefault="00200452" w:rsidP="00200452">
            <w:pPr>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 xml:space="preserve">            27 561 </w:t>
            </w:r>
          </w:p>
        </w:tc>
        <w:tc>
          <w:tcPr>
            <w:tcW w:w="1077" w:type="dxa"/>
            <w:tcBorders>
              <w:top w:val="single" w:sz="4" w:space="0" w:color="auto"/>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24%</w:t>
            </w:r>
          </w:p>
        </w:tc>
        <w:tc>
          <w:tcPr>
            <w:tcW w:w="1139" w:type="dxa"/>
            <w:tcBorders>
              <w:top w:val="single" w:sz="4" w:space="0" w:color="auto"/>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26 176</w:t>
            </w:r>
          </w:p>
        </w:tc>
        <w:tc>
          <w:tcPr>
            <w:tcW w:w="1077" w:type="dxa"/>
            <w:tcBorders>
              <w:top w:val="single" w:sz="4" w:space="0" w:color="auto"/>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24%</w:t>
            </w:r>
          </w:p>
        </w:tc>
        <w:tc>
          <w:tcPr>
            <w:tcW w:w="1125" w:type="dxa"/>
            <w:tcBorders>
              <w:top w:val="single" w:sz="4" w:space="0" w:color="auto"/>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1 385</w:t>
            </w:r>
          </w:p>
        </w:tc>
        <w:tc>
          <w:tcPr>
            <w:tcW w:w="1072" w:type="dxa"/>
            <w:tcBorders>
              <w:top w:val="single" w:sz="4" w:space="0" w:color="auto"/>
              <w:left w:val="nil"/>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5%</w:t>
            </w:r>
          </w:p>
        </w:tc>
      </w:tr>
      <w:tr w:rsidR="00200452" w:rsidRPr="00200452" w:rsidTr="00200452">
        <w:trPr>
          <w:trHeight w:val="234"/>
        </w:trPr>
        <w:tc>
          <w:tcPr>
            <w:tcW w:w="3224" w:type="dxa"/>
            <w:tcBorders>
              <w:top w:val="nil"/>
              <w:left w:val="single" w:sz="4" w:space="0" w:color="auto"/>
              <w:bottom w:val="nil"/>
              <w:right w:val="nil"/>
            </w:tcBorders>
            <w:shd w:val="clear" w:color="auto" w:fill="auto"/>
            <w:noWrap/>
            <w:vAlign w:val="bottom"/>
            <w:hideMark/>
          </w:tcPr>
          <w:p w:rsidR="00200452" w:rsidRPr="00200452" w:rsidRDefault="00200452" w:rsidP="00200452">
            <w:pPr>
              <w:rPr>
                <w:rFonts w:ascii="Calibri" w:eastAsia="Times New Roman" w:hAnsi="Calibri" w:cs="Calibri"/>
                <w:i/>
                <w:iCs/>
                <w:sz w:val="18"/>
                <w:szCs w:val="18"/>
                <w:lang w:eastAsia="bg-BG"/>
              </w:rPr>
            </w:pPr>
            <w:r w:rsidRPr="00200452">
              <w:rPr>
                <w:rFonts w:ascii="Calibri" w:eastAsia="Times New Roman" w:hAnsi="Calibri" w:cs="Calibri"/>
                <w:i/>
                <w:iCs/>
                <w:sz w:val="18"/>
                <w:szCs w:val="18"/>
                <w:lang w:eastAsia="bg-BG"/>
              </w:rPr>
              <w:t xml:space="preserve">       материали</w:t>
            </w:r>
          </w:p>
        </w:tc>
        <w:tc>
          <w:tcPr>
            <w:tcW w:w="115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 xml:space="preserve">              2 930 </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3%</w:t>
            </w:r>
          </w:p>
        </w:tc>
        <w:tc>
          <w:tcPr>
            <w:tcW w:w="113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2 986</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3%</w:t>
            </w:r>
          </w:p>
        </w:tc>
        <w:tc>
          <w:tcPr>
            <w:tcW w:w="1125"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-56</w:t>
            </w:r>
          </w:p>
        </w:tc>
        <w:tc>
          <w:tcPr>
            <w:tcW w:w="1072" w:type="dxa"/>
            <w:tcBorders>
              <w:top w:val="nil"/>
              <w:left w:val="nil"/>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-2%</w:t>
            </w:r>
          </w:p>
        </w:tc>
      </w:tr>
      <w:tr w:rsidR="00200452" w:rsidRPr="00200452" w:rsidTr="00200452">
        <w:trPr>
          <w:trHeight w:val="234"/>
        </w:trPr>
        <w:tc>
          <w:tcPr>
            <w:tcW w:w="3224" w:type="dxa"/>
            <w:tcBorders>
              <w:top w:val="nil"/>
              <w:left w:val="single" w:sz="4" w:space="0" w:color="auto"/>
              <w:bottom w:val="nil"/>
              <w:right w:val="nil"/>
            </w:tcBorders>
            <w:shd w:val="clear" w:color="auto" w:fill="auto"/>
            <w:noWrap/>
            <w:vAlign w:val="bottom"/>
            <w:hideMark/>
          </w:tcPr>
          <w:p w:rsidR="00200452" w:rsidRPr="00200452" w:rsidRDefault="00200452" w:rsidP="00200452">
            <w:pPr>
              <w:rPr>
                <w:rFonts w:ascii="Calibri" w:eastAsia="Times New Roman" w:hAnsi="Calibri" w:cs="Calibri"/>
                <w:i/>
                <w:iCs/>
                <w:sz w:val="18"/>
                <w:szCs w:val="18"/>
                <w:lang w:eastAsia="bg-BG"/>
              </w:rPr>
            </w:pPr>
            <w:r w:rsidRPr="00200452">
              <w:rPr>
                <w:rFonts w:ascii="Calibri" w:eastAsia="Times New Roman" w:hAnsi="Calibri" w:cs="Calibri"/>
                <w:i/>
                <w:iCs/>
                <w:sz w:val="18"/>
                <w:szCs w:val="18"/>
                <w:lang w:eastAsia="bg-BG"/>
              </w:rPr>
              <w:t xml:space="preserve">       вода</w:t>
            </w:r>
          </w:p>
        </w:tc>
        <w:tc>
          <w:tcPr>
            <w:tcW w:w="115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 xml:space="preserve">                 155 </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0,013%</w:t>
            </w:r>
          </w:p>
        </w:tc>
        <w:tc>
          <w:tcPr>
            <w:tcW w:w="113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139</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0,013%</w:t>
            </w:r>
          </w:p>
        </w:tc>
        <w:tc>
          <w:tcPr>
            <w:tcW w:w="1125"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16</w:t>
            </w:r>
          </w:p>
        </w:tc>
        <w:tc>
          <w:tcPr>
            <w:tcW w:w="1072" w:type="dxa"/>
            <w:tcBorders>
              <w:top w:val="nil"/>
              <w:left w:val="nil"/>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11%</w:t>
            </w:r>
          </w:p>
        </w:tc>
      </w:tr>
      <w:tr w:rsidR="00200452" w:rsidRPr="00200452" w:rsidTr="00200452">
        <w:trPr>
          <w:trHeight w:val="234"/>
        </w:trPr>
        <w:tc>
          <w:tcPr>
            <w:tcW w:w="3224" w:type="dxa"/>
            <w:tcBorders>
              <w:top w:val="nil"/>
              <w:left w:val="single" w:sz="4" w:space="0" w:color="auto"/>
              <w:bottom w:val="nil"/>
              <w:right w:val="nil"/>
            </w:tcBorders>
            <w:shd w:val="clear" w:color="auto" w:fill="auto"/>
            <w:noWrap/>
            <w:vAlign w:val="bottom"/>
            <w:hideMark/>
          </w:tcPr>
          <w:p w:rsidR="00200452" w:rsidRPr="00200452" w:rsidRDefault="00200452" w:rsidP="00200452">
            <w:pPr>
              <w:rPr>
                <w:rFonts w:ascii="Calibri" w:eastAsia="Times New Roman" w:hAnsi="Calibri" w:cs="Calibri"/>
                <w:i/>
                <w:iCs/>
                <w:sz w:val="18"/>
                <w:szCs w:val="18"/>
                <w:lang w:eastAsia="bg-BG"/>
              </w:rPr>
            </w:pPr>
            <w:r w:rsidRPr="00200452">
              <w:rPr>
                <w:rFonts w:ascii="Calibri" w:eastAsia="Times New Roman" w:hAnsi="Calibri" w:cs="Calibri"/>
                <w:i/>
                <w:iCs/>
                <w:sz w:val="18"/>
                <w:szCs w:val="18"/>
                <w:lang w:eastAsia="bg-BG"/>
              </w:rPr>
              <w:t xml:space="preserve">       горива</w:t>
            </w:r>
          </w:p>
        </w:tc>
        <w:tc>
          <w:tcPr>
            <w:tcW w:w="115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 xml:space="preserve">              6 510 </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6%</w:t>
            </w:r>
          </w:p>
        </w:tc>
        <w:tc>
          <w:tcPr>
            <w:tcW w:w="113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7 418</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7%</w:t>
            </w:r>
          </w:p>
        </w:tc>
        <w:tc>
          <w:tcPr>
            <w:tcW w:w="1125"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-908</w:t>
            </w:r>
          </w:p>
        </w:tc>
        <w:tc>
          <w:tcPr>
            <w:tcW w:w="1072" w:type="dxa"/>
            <w:tcBorders>
              <w:top w:val="nil"/>
              <w:left w:val="nil"/>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-12%</w:t>
            </w:r>
          </w:p>
        </w:tc>
      </w:tr>
      <w:tr w:rsidR="00200452" w:rsidRPr="00200452" w:rsidTr="00200452">
        <w:trPr>
          <w:trHeight w:val="234"/>
        </w:trPr>
        <w:tc>
          <w:tcPr>
            <w:tcW w:w="3224" w:type="dxa"/>
            <w:tcBorders>
              <w:top w:val="nil"/>
              <w:left w:val="single" w:sz="4" w:space="0" w:color="auto"/>
              <w:bottom w:val="nil"/>
              <w:right w:val="nil"/>
            </w:tcBorders>
            <w:shd w:val="clear" w:color="auto" w:fill="auto"/>
            <w:noWrap/>
            <w:vAlign w:val="bottom"/>
            <w:hideMark/>
          </w:tcPr>
          <w:p w:rsidR="00200452" w:rsidRPr="00200452" w:rsidRDefault="00200452" w:rsidP="00200452">
            <w:pPr>
              <w:rPr>
                <w:rFonts w:ascii="Calibri" w:eastAsia="Times New Roman" w:hAnsi="Calibri" w:cs="Calibri"/>
                <w:i/>
                <w:iCs/>
                <w:sz w:val="18"/>
                <w:szCs w:val="18"/>
                <w:lang w:eastAsia="bg-BG"/>
              </w:rPr>
            </w:pPr>
            <w:r w:rsidRPr="00200452">
              <w:rPr>
                <w:rFonts w:ascii="Calibri" w:eastAsia="Times New Roman" w:hAnsi="Calibri" w:cs="Calibri"/>
                <w:i/>
                <w:iCs/>
                <w:sz w:val="18"/>
                <w:szCs w:val="18"/>
                <w:lang w:eastAsia="bg-BG"/>
              </w:rPr>
              <w:t xml:space="preserve">       ел. енергия</w:t>
            </w:r>
          </w:p>
        </w:tc>
        <w:tc>
          <w:tcPr>
            <w:tcW w:w="115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 xml:space="preserve">            17 930 </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15%</w:t>
            </w:r>
          </w:p>
        </w:tc>
        <w:tc>
          <w:tcPr>
            <w:tcW w:w="113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15 598</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15%</w:t>
            </w:r>
          </w:p>
        </w:tc>
        <w:tc>
          <w:tcPr>
            <w:tcW w:w="1125"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2 332</w:t>
            </w:r>
          </w:p>
        </w:tc>
        <w:tc>
          <w:tcPr>
            <w:tcW w:w="1072" w:type="dxa"/>
            <w:tcBorders>
              <w:top w:val="nil"/>
              <w:left w:val="nil"/>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15%</w:t>
            </w:r>
          </w:p>
        </w:tc>
      </w:tr>
      <w:tr w:rsidR="00200452" w:rsidRPr="00200452" w:rsidTr="00200452">
        <w:trPr>
          <w:trHeight w:val="234"/>
        </w:trPr>
        <w:tc>
          <w:tcPr>
            <w:tcW w:w="3224" w:type="dxa"/>
            <w:tcBorders>
              <w:top w:val="nil"/>
              <w:left w:val="single" w:sz="4" w:space="0" w:color="auto"/>
              <w:bottom w:val="nil"/>
              <w:right w:val="nil"/>
            </w:tcBorders>
            <w:shd w:val="clear" w:color="auto" w:fill="auto"/>
            <w:noWrap/>
            <w:vAlign w:val="bottom"/>
            <w:hideMark/>
          </w:tcPr>
          <w:p w:rsidR="00200452" w:rsidRPr="00200452" w:rsidRDefault="00200452" w:rsidP="00200452">
            <w:pPr>
              <w:rPr>
                <w:rFonts w:ascii="Calibri" w:eastAsia="Times New Roman" w:hAnsi="Calibri" w:cs="Calibri"/>
                <w:i/>
                <w:iCs/>
                <w:sz w:val="18"/>
                <w:szCs w:val="18"/>
                <w:lang w:eastAsia="bg-BG"/>
              </w:rPr>
            </w:pPr>
            <w:r w:rsidRPr="00200452">
              <w:rPr>
                <w:rFonts w:ascii="Calibri" w:eastAsia="Times New Roman" w:hAnsi="Calibri" w:cs="Calibri"/>
                <w:i/>
                <w:iCs/>
                <w:sz w:val="18"/>
                <w:szCs w:val="18"/>
                <w:lang w:eastAsia="bg-BG"/>
              </w:rPr>
              <w:t xml:space="preserve">       топлоенергия</w:t>
            </w:r>
          </w:p>
        </w:tc>
        <w:tc>
          <w:tcPr>
            <w:tcW w:w="115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 xml:space="preserve">                    36 </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0,03%</w:t>
            </w:r>
          </w:p>
        </w:tc>
        <w:tc>
          <w:tcPr>
            <w:tcW w:w="113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35</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0,03%</w:t>
            </w:r>
          </w:p>
        </w:tc>
        <w:tc>
          <w:tcPr>
            <w:tcW w:w="1125"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1</w:t>
            </w:r>
          </w:p>
        </w:tc>
        <w:tc>
          <w:tcPr>
            <w:tcW w:w="1072" w:type="dxa"/>
            <w:tcBorders>
              <w:top w:val="nil"/>
              <w:left w:val="nil"/>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4%</w:t>
            </w:r>
          </w:p>
        </w:tc>
      </w:tr>
      <w:tr w:rsidR="00200452" w:rsidRPr="00200452" w:rsidTr="00200452">
        <w:trPr>
          <w:trHeight w:val="234"/>
        </w:trPr>
        <w:tc>
          <w:tcPr>
            <w:tcW w:w="3224" w:type="dxa"/>
            <w:tcBorders>
              <w:top w:val="nil"/>
              <w:left w:val="single" w:sz="4" w:space="0" w:color="auto"/>
              <w:bottom w:val="nil"/>
              <w:right w:val="nil"/>
            </w:tcBorders>
            <w:shd w:val="clear" w:color="auto" w:fill="auto"/>
            <w:noWrap/>
            <w:vAlign w:val="bottom"/>
            <w:hideMark/>
          </w:tcPr>
          <w:p w:rsidR="00200452" w:rsidRPr="00200452" w:rsidRDefault="00200452" w:rsidP="00200452">
            <w:pPr>
              <w:rPr>
                <w:rFonts w:ascii="Calibri" w:eastAsia="Times New Roman" w:hAnsi="Calibri" w:cs="Calibri"/>
                <w:b/>
                <w:bCs/>
                <w:i/>
                <w:iCs/>
                <w:sz w:val="18"/>
                <w:szCs w:val="18"/>
                <w:lang w:eastAsia="bg-BG"/>
              </w:rPr>
            </w:pPr>
            <w:r w:rsidRPr="00200452">
              <w:rPr>
                <w:rFonts w:ascii="Calibri" w:eastAsia="Times New Roman" w:hAnsi="Calibri" w:cs="Calibri"/>
                <w:b/>
                <w:bCs/>
                <w:i/>
                <w:iCs/>
                <w:sz w:val="18"/>
                <w:szCs w:val="18"/>
                <w:lang w:eastAsia="bg-BG"/>
              </w:rPr>
              <w:t xml:space="preserve"> Разходи за външни услуги в т,ч:</w:t>
            </w:r>
          </w:p>
        </w:tc>
        <w:tc>
          <w:tcPr>
            <w:tcW w:w="115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 xml:space="preserve">            25 306 </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22%</w:t>
            </w:r>
          </w:p>
        </w:tc>
        <w:tc>
          <w:tcPr>
            <w:tcW w:w="113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23 654</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22%</w:t>
            </w:r>
          </w:p>
        </w:tc>
        <w:tc>
          <w:tcPr>
            <w:tcW w:w="1125"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1 652</w:t>
            </w:r>
          </w:p>
        </w:tc>
        <w:tc>
          <w:tcPr>
            <w:tcW w:w="1072" w:type="dxa"/>
            <w:tcBorders>
              <w:top w:val="nil"/>
              <w:left w:val="nil"/>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7%</w:t>
            </w:r>
          </w:p>
        </w:tc>
      </w:tr>
      <w:tr w:rsidR="00200452" w:rsidRPr="00200452" w:rsidTr="00200452">
        <w:trPr>
          <w:trHeight w:val="234"/>
        </w:trPr>
        <w:tc>
          <w:tcPr>
            <w:tcW w:w="3224" w:type="dxa"/>
            <w:tcBorders>
              <w:top w:val="nil"/>
              <w:left w:val="single" w:sz="4" w:space="0" w:color="auto"/>
              <w:bottom w:val="nil"/>
              <w:right w:val="nil"/>
            </w:tcBorders>
            <w:shd w:val="clear" w:color="auto" w:fill="auto"/>
            <w:noWrap/>
            <w:vAlign w:val="bottom"/>
            <w:hideMark/>
          </w:tcPr>
          <w:p w:rsidR="00200452" w:rsidRPr="00200452" w:rsidRDefault="00200452" w:rsidP="00200452">
            <w:pPr>
              <w:ind w:firstLineChars="200" w:firstLine="360"/>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 xml:space="preserve">инфраструктурни такси </w:t>
            </w:r>
          </w:p>
        </w:tc>
        <w:tc>
          <w:tcPr>
            <w:tcW w:w="115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 xml:space="preserve">            14 719 </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13%</w:t>
            </w:r>
          </w:p>
        </w:tc>
        <w:tc>
          <w:tcPr>
            <w:tcW w:w="113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14 440</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13%</w:t>
            </w:r>
          </w:p>
        </w:tc>
        <w:tc>
          <w:tcPr>
            <w:tcW w:w="1125"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279</w:t>
            </w:r>
          </w:p>
        </w:tc>
        <w:tc>
          <w:tcPr>
            <w:tcW w:w="1072" w:type="dxa"/>
            <w:tcBorders>
              <w:top w:val="nil"/>
              <w:left w:val="nil"/>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2%</w:t>
            </w:r>
          </w:p>
        </w:tc>
      </w:tr>
      <w:tr w:rsidR="00200452" w:rsidRPr="00200452" w:rsidTr="00200452">
        <w:trPr>
          <w:trHeight w:val="234"/>
        </w:trPr>
        <w:tc>
          <w:tcPr>
            <w:tcW w:w="3224" w:type="dxa"/>
            <w:tcBorders>
              <w:top w:val="nil"/>
              <w:left w:val="single" w:sz="4" w:space="0" w:color="auto"/>
              <w:bottom w:val="nil"/>
              <w:right w:val="nil"/>
            </w:tcBorders>
            <w:shd w:val="clear" w:color="auto" w:fill="auto"/>
            <w:noWrap/>
            <w:vAlign w:val="bottom"/>
            <w:hideMark/>
          </w:tcPr>
          <w:p w:rsidR="00200452" w:rsidRPr="00200452" w:rsidRDefault="00200452" w:rsidP="00200452">
            <w:pPr>
              <w:rPr>
                <w:rFonts w:ascii="Calibri" w:eastAsia="Times New Roman" w:hAnsi="Calibri" w:cs="Calibri"/>
                <w:b/>
                <w:bCs/>
                <w:i/>
                <w:iCs/>
                <w:sz w:val="18"/>
                <w:szCs w:val="18"/>
                <w:lang w:eastAsia="bg-BG"/>
              </w:rPr>
            </w:pPr>
            <w:r w:rsidRPr="00200452">
              <w:rPr>
                <w:rFonts w:ascii="Calibri" w:eastAsia="Times New Roman" w:hAnsi="Calibri" w:cs="Calibri"/>
                <w:b/>
                <w:bCs/>
                <w:i/>
                <w:iCs/>
                <w:sz w:val="18"/>
                <w:szCs w:val="18"/>
                <w:lang w:eastAsia="bg-BG"/>
              </w:rPr>
              <w:t>Разходи за персонала, в т.ч.:</w:t>
            </w:r>
          </w:p>
        </w:tc>
        <w:tc>
          <w:tcPr>
            <w:tcW w:w="115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 xml:space="preserve">            53 815 </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46%</w:t>
            </w:r>
          </w:p>
        </w:tc>
        <w:tc>
          <w:tcPr>
            <w:tcW w:w="113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48 526</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45%</w:t>
            </w:r>
          </w:p>
        </w:tc>
        <w:tc>
          <w:tcPr>
            <w:tcW w:w="1125"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5 289</w:t>
            </w:r>
          </w:p>
        </w:tc>
        <w:tc>
          <w:tcPr>
            <w:tcW w:w="1072" w:type="dxa"/>
            <w:tcBorders>
              <w:top w:val="nil"/>
              <w:left w:val="nil"/>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11%</w:t>
            </w:r>
          </w:p>
        </w:tc>
      </w:tr>
      <w:tr w:rsidR="00200452" w:rsidRPr="00200452" w:rsidTr="00200452">
        <w:trPr>
          <w:trHeight w:val="234"/>
        </w:trPr>
        <w:tc>
          <w:tcPr>
            <w:tcW w:w="3224" w:type="dxa"/>
            <w:tcBorders>
              <w:top w:val="nil"/>
              <w:left w:val="single" w:sz="4" w:space="0" w:color="auto"/>
              <w:bottom w:val="nil"/>
              <w:right w:val="nil"/>
            </w:tcBorders>
            <w:shd w:val="clear" w:color="auto" w:fill="auto"/>
            <w:noWrap/>
            <w:vAlign w:val="bottom"/>
            <w:hideMark/>
          </w:tcPr>
          <w:p w:rsidR="00200452" w:rsidRPr="00200452" w:rsidRDefault="00200452" w:rsidP="00200452">
            <w:pPr>
              <w:rPr>
                <w:rFonts w:ascii="Calibri" w:eastAsia="Times New Roman" w:hAnsi="Calibri" w:cs="Calibri"/>
                <w:i/>
                <w:iCs/>
                <w:sz w:val="18"/>
                <w:szCs w:val="18"/>
                <w:lang w:eastAsia="bg-BG"/>
              </w:rPr>
            </w:pPr>
            <w:r w:rsidRPr="00200452">
              <w:rPr>
                <w:rFonts w:ascii="Calibri" w:eastAsia="Times New Roman" w:hAnsi="Calibri" w:cs="Calibri"/>
                <w:i/>
                <w:iCs/>
                <w:sz w:val="18"/>
                <w:szCs w:val="18"/>
                <w:lang w:eastAsia="bg-BG"/>
              </w:rPr>
              <w:t xml:space="preserve">      заплати</w:t>
            </w:r>
          </w:p>
        </w:tc>
        <w:tc>
          <w:tcPr>
            <w:tcW w:w="115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 xml:space="preserve">            41 124 </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35%</w:t>
            </w:r>
          </w:p>
        </w:tc>
        <w:tc>
          <w:tcPr>
            <w:tcW w:w="113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36 828</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34%</w:t>
            </w:r>
          </w:p>
        </w:tc>
        <w:tc>
          <w:tcPr>
            <w:tcW w:w="1125"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4 296</w:t>
            </w:r>
          </w:p>
        </w:tc>
        <w:tc>
          <w:tcPr>
            <w:tcW w:w="1072" w:type="dxa"/>
            <w:tcBorders>
              <w:top w:val="nil"/>
              <w:left w:val="nil"/>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12%</w:t>
            </w:r>
          </w:p>
        </w:tc>
      </w:tr>
      <w:tr w:rsidR="00200452" w:rsidRPr="00200452" w:rsidTr="00200452">
        <w:trPr>
          <w:trHeight w:val="234"/>
        </w:trPr>
        <w:tc>
          <w:tcPr>
            <w:tcW w:w="3224" w:type="dxa"/>
            <w:tcBorders>
              <w:top w:val="nil"/>
              <w:left w:val="single" w:sz="4" w:space="0" w:color="auto"/>
              <w:bottom w:val="nil"/>
              <w:right w:val="nil"/>
            </w:tcBorders>
            <w:shd w:val="clear" w:color="auto" w:fill="auto"/>
            <w:noWrap/>
            <w:vAlign w:val="bottom"/>
            <w:hideMark/>
          </w:tcPr>
          <w:p w:rsidR="00200452" w:rsidRPr="00200452" w:rsidRDefault="00200452" w:rsidP="00200452">
            <w:pPr>
              <w:rPr>
                <w:rFonts w:ascii="Calibri" w:eastAsia="Times New Roman" w:hAnsi="Calibri" w:cs="Calibri"/>
                <w:i/>
                <w:iCs/>
                <w:sz w:val="18"/>
                <w:szCs w:val="18"/>
                <w:lang w:eastAsia="bg-BG"/>
              </w:rPr>
            </w:pPr>
            <w:r w:rsidRPr="00200452">
              <w:rPr>
                <w:rFonts w:ascii="Calibri" w:eastAsia="Times New Roman" w:hAnsi="Calibri" w:cs="Calibri"/>
                <w:i/>
                <w:iCs/>
                <w:sz w:val="18"/>
                <w:szCs w:val="18"/>
                <w:lang w:eastAsia="bg-BG"/>
              </w:rPr>
              <w:t xml:space="preserve">      социални осигуровки и надбавки</w:t>
            </w:r>
          </w:p>
        </w:tc>
        <w:tc>
          <w:tcPr>
            <w:tcW w:w="115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 xml:space="preserve">            12 691 </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11%</w:t>
            </w:r>
          </w:p>
        </w:tc>
        <w:tc>
          <w:tcPr>
            <w:tcW w:w="113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11 698</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11%</w:t>
            </w:r>
          </w:p>
        </w:tc>
        <w:tc>
          <w:tcPr>
            <w:tcW w:w="1125"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993</w:t>
            </w:r>
          </w:p>
        </w:tc>
        <w:tc>
          <w:tcPr>
            <w:tcW w:w="1072" w:type="dxa"/>
            <w:tcBorders>
              <w:top w:val="nil"/>
              <w:left w:val="nil"/>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8%</w:t>
            </w:r>
          </w:p>
        </w:tc>
      </w:tr>
      <w:tr w:rsidR="00200452" w:rsidRPr="00200452" w:rsidTr="00200452">
        <w:trPr>
          <w:trHeight w:val="234"/>
        </w:trPr>
        <w:tc>
          <w:tcPr>
            <w:tcW w:w="3224" w:type="dxa"/>
            <w:tcBorders>
              <w:top w:val="nil"/>
              <w:left w:val="single" w:sz="4" w:space="0" w:color="auto"/>
              <w:bottom w:val="nil"/>
              <w:right w:val="nil"/>
            </w:tcBorders>
            <w:shd w:val="clear" w:color="auto" w:fill="auto"/>
            <w:noWrap/>
            <w:vAlign w:val="bottom"/>
            <w:hideMark/>
          </w:tcPr>
          <w:p w:rsidR="00200452" w:rsidRPr="00200452" w:rsidRDefault="00200452" w:rsidP="00200452">
            <w:pPr>
              <w:rPr>
                <w:rFonts w:ascii="Calibri" w:eastAsia="Times New Roman" w:hAnsi="Calibri" w:cs="Calibri"/>
                <w:b/>
                <w:bCs/>
                <w:i/>
                <w:iCs/>
                <w:sz w:val="18"/>
                <w:szCs w:val="18"/>
                <w:lang w:eastAsia="bg-BG"/>
              </w:rPr>
            </w:pPr>
            <w:r w:rsidRPr="00200452">
              <w:rPr>
                <w:rFonts w:ascii="Calibri" w:eastAsia="Times New Roman" w:hAnsi="Calibri" w:cs="Calibri"/>
                <w:b/>
                <w:bCs/>
                <w:i/>
                <w:iCs/>
                <w:sz w:val="18"/>
                <w:szCs w:val="18"/>
                <w:lang w:eastAsia="bg-BG"/>
              </w:rPr>
              <w:t>Други разходи, в т.ч.:</w:t>
            </w:r>
          </w:p>
        </w:tc>
        <w:tc>
          <w:tcPr>
            <w:tcW w:w="115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 xml:space="preserve">              3 359 </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3%</w:t>
            </w:r>
          </w:p>
        </w:tc>
        <w:tc>
          <w:tcPr>
            <w:tcW w:w="1139"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3 318</w:t>
            </w:r>
          </w:p>
        </w:tc>
        <w:tc>
          <w:tcPr>
            <w:tcW w:w="1077" w:type="dxa"/>
            <w:tcBorders>
              <w:top w:val="nil"/>
              <w:left w:val="nil"/>
              <w:bottom w:val="nil"/>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3%</w:t>
            </w:r>
          </w:p>
        </w:tc>
        <w:tc>
          <w:tcPr>
            <w:tcW w:w="1125" w:type="dxa"/>
            <w:tcBorders>
              <w:top w:val="nil"/>
              <w:left w:val="single" w:sz="4" w:space="0" w:color="auto"/>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41</w:t>
            </w:r>
          </w:p>
        </w:tc>
        <w:tc>
          <w:tcPr>
            <w:tcW w:w="1072" w:type="dxa"/>
            <w:tcBorders>
              <w:top w:val="nil"/>
              <w:left w:val="nil"/>
              <w:bottom w:val="nil"/>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1%</w:t>
            </w:r>
          </w:p>
        </w:tc>
      </w:tr>
      <w:tr w:rsidR="00200452" w:rsidRPr="00200452" w:rsidTr="00200452">
        <w:trPr>
          <w:trHeight w:val="234"/>
        </w:trPr>
        <w:tc>
          <w:tcPr>
            <w:tcW w:w="3224" w:type="dxa"/>
            <w:tcBorders>
              <w:top w:val="nil"/>
              <w:left w:val="single" w:sz="4" w:space="0" w:color="auto"/>
              <w:bottom w:val="single" w:sz="4" w:space="0" w:color="auto"/>
              <w:right w:val="nil"/>
            </w:tcBorders>
            <w:shd w:val="clear" w:color="auto" w:fill="auto"/>
            <w:noWrap/>
            <w:vAlign w:val="bottom"/>
            <w:hideMark/>
          </w:tcPr>
          <w:p w:rsidR="00200452" w:rsidRPr="00200452" w:rsidRDefault="00200452" w:rsidP="00200452">
            <w:pPr>
              <w:rPr>
                <w:rFonts w:ascii="Calibri" w:eastAsia="Times New Roman" w:hAnsi="Calibri" w:cs="Calibri"/>
                <w:b/>
                <w:bCs/>
                <w:i/>
                <w:iCs/>
                <w:sz w:val="18"/>
                <w:szCs w:val="18"/>
                <w:lang w:eastAsia="bg-BG"/>
              </w:rPr>
            </w:pPr>
            <w:r w:rsidRPr="00200452">
              <w:rPr>
                <w:rFonts w:ascii="Calibri" w:eastAsia="Times New Roman" w:hAnsi="Calibri" w:cs="Calibri"/>
                <w:b/>
                <w:bCs/>
                <w:i/>
                <w:iCs/>
                <w:sz w:val="18"/>
                <w:szCs w:val="18"/>
                <w:lang w:eastAsia="bg-BG"/>
              </w:rPr>
              <w:t>Амортизации и обезценки на ДА</w:t>
            </w:r>
          </w:p>
        </w:tc>
        <w:tc>
          <w:tcPr>
            <w:tcW w:w="1159" w:type="dxa"/>
            <w:tcBorders>
              <w:top w:val="nil"/>
              <w:left w:val="single" w:sz="4" w:space="0" w:color="auto"/>
              <w:bottom w:val="single" w:sz="4" w:space="0" w:color="auto"/>
              <w:right w:val="single" w:sz="4" w:space="0" w:color="auto"/>
            </w:tcBorders>
            <w:shd w:val="clear" w:color="auto" w:fill="auto"/>
            <w:noWrap/>
            <w:vAlign w:val="bottom"/>
            <w:hideMark/>
          </w:tcPr>
          <w:p w:rsidR="00200452" w:rsidRPr="00200452" w:rsidRDefault="00200452" w:rsidP="00200452">
            <w:pPr>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 xml:space="preserve">              6 774 </w:t>
            </w:r>
          </w:p>
        </w:tc>
        <w:tc>
          <w:tcPr>
            <w:tcW w:w="1077" w:type="dxa"/>
            <w:tcBorders>
              <w:top w:val="nil"/>
              <w:left w:val="nil"/>
              <w:bottom w:val="single" w:sz="4" w:space="0" w:color="auto"/>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6%</w:t>
            </w:r>
          </w:p>
        </w:tc>
        <w:tc>
          <w:tcPr>
            <w:tcW w:w="1139" w:type="dxa"/>
            <w:tcBorders>
              <w:top w:val="nil"/>
              <w:left w:val="single" w:sz="4" w:space="0" w:color="auto"/>
              <w:bottom w:val="single" w:sz="4" w:space="0" w:color="auto"/>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5 320</w:t>
            </w:r>
          </w:p>
        </w:tc>
        <w:tc>
          <w:tcPr>
            <w:tcW w:w="1077" w:type="dxa"/>
            <w:tcBorders>
              <w:top w:val="nil"/>
              <w:left w:val="nil"/>
              <w:bottom w:val="single" w:sz="4" w:space="0" w:color="auto"/>
              <w:right w:val="nil"/>
            </w:tcBorders>
            <w:shd w:val="clear" w:color="auto" w:fill="auto"/>
            <w:noWrap/>
            <w:vAlign w:val="bottom"/>
            <w:hideMark/>
          </w:tcPr>
          <w:p w:rsidR="00200452" w:rsidRDefault="00200452">
            <w:pPr>
              <w:jc w:val="right"/>
              <w:rPr>
                <w:rFonts w:ascii="Calibri" w:hAnsi="Calibri" w:cs="Calibri"/>
                <w:sz w:val="18"/>
                <w:szCs w:val="18"/>
              </w:rPr>
            </w:pPr>
            <w:r>
              <w:rPr>
                <w:rFonts w:ascii="Calibri" w:hAnsi="Calibri" w:cs="Calibri"/>
                <w:sz w:val="18"/>
                <w:szCs w:val="18"/>
              </w:rPr>
              <w:t>5%</w:t>
            </w:r>
          </w:p>
        </w:tc>
        <w:tc>
          <w:tcPr>
            <w:tcW w:w="1125" w:type="dxa"/>
            <w:tcBorders>
              <w:top w:val="nil"/>
              <w:left w:val="single" w:sz="4" w:space="0" w:color="auto"/>
              <w:bottom w:val="single" w:sz="4" w:space="0" w:color="auto"/>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1 454</w:t>
            </w:r>
          </w:p>
        </w:tc>
        <w:tc>
          <w:tcPr>
            <w:tcW w:w="1072" w:type="dxa"/>
            <w:tcBorders>
              <w:top w:val="nil"/>
              <w:left w:val="nil"/>
              <w:bottom w:val="single" w:sz="4" w:space="0" w:color="auto"/>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sz w:val="18"/>
                <w:szCs w:val="18"/>
                <w:lang w:eastAsia="bg-BG"/>
              </w:rPr>
            </w:pPr>
            <w:r w:rsidRPr="00200452">
              <w:rPr>
                <w:rFonts w:ascii="Calibri" w:eastAsia="Times New Roman" w:hAnsi="Calibri" w:cs="Calibri"/>
                <w:sz w:val="18"/>
                <w:szCs w:val="18"/>
                <w:lang w:eastAsia="bg-BG"/>
              </w:rPr>
              <w:t>27%</w:t>
            </w:r>
          </w:p>
        </w:tc>
      </w:tr>
      <w:tr w:rsidR="00200452" w:rsidRPr="00200452" w:rsidTr="00200452">
        <w:trPr>
          <w:trHeight w:val="234"/>
        </w:trPr>
        <w:tc>
          <w:tcPr>
            <w:tcW w:w="3224" w:type="dxa"/>
            <w:tcBorders>
              <w:top w:val="nil"/>
              <w:left w:val="single" w:sz="4" w:space="0" w:color="auto"/>
              <w:bottom w:val="single" w:sz="4" w:space="0" w:color="auto"/>
              <w:right w:val="nil"/>
            </w:tcBorders>
            <w:shd w:val="clear" w:color="auto" w:fill="auto"/>
            <w:noWrap/>
            <w:vAlign w:val="bottom"/>
            <w:hideMark/>
          </w:tcPr>
          <w:p w:rsidR="00200452" w:rsidRPr="00200452" w:rsidRDefault="00200452" w:rsidP="00200452">
            <w:pPr>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Общо:</w:t>
            </w:r>
          </w:p>
        </w:tc>
        <w:tc>
          <w:tcPr>
            <w:tcW w:w="1159" w:type="dxa"/>
            <w:tcBorders>
              <w:top w:val="nil"/>
              <w:left w:val="single" w:sz="4" w:space="0" w:color="auto"/>
              <w:bottom w:val="single" w:sz="4" w:space="0" w:color="auto"/>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116 815</w:t>
            </w:r>
          </w:p>
        </w:tc>
        <w:tc>
          <w:tcPr>
            <w:tcW w:w="1077" w:type="dxa"/>
            <w:tcBorders>
              <w:top w:val="nil"/>
              <w:left w:val="nil"/>
              <w:bottom w:val="single" w:sz="4" w:space="0" w:color="auto"/>
              <w:right w:val="nil"/>
            </w:tcBorders>
            <w:shd w:val="clear" w:color="auto" w:fill="auto"/>
            <w:noWrap/>
            <w:vAlign w:val="bottom"/>
            <w:hideMark/>
          </w:tcPr>
          <w:p w:rsidR="00200452" w:rsidRPr="00200452" w:rsidRDefault="00200452" w:rsidP="00200452">
            <w:pPr>
              <w:jc w:val="right"/>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100%</w:t>
            </w:r>
          </w:p>
        </w:tc>
        <w:tc>
          <w:tcPr>
            <w:tcW w:w="1139" w:type="dxa"/>
            <w:tcBorders>
              <w:top w:val="nil"/>
              <w:left w:val="single" w:sz="4" w:space="0" w:color="auto"/>
              <w:bottom w:val="single" w:sz="4" w:space="0" w:color="auto"/>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106 994</w:t>
            </w:r>
          </w:p>
        </w:tc>
        <w:tc>
          <w:tcPr>
            <w:tcW w:w="1077" w:type="dxa"/>
            <w:tcBorders>
              <w:top w:val="nil"/>
              <w:left w:val="nil"/>
              <w:bottom w:val="single" w:sz="4" w:space="0" w:color="auto"/>
              <w:right w:val="nil"/>
            </w:tcBorders>
            <w:shd w:val="clear" w:color="auto" w:fill="auto"/>
            <w:noWrap/>
            <w:vAlign w:val="bottom"/>
            <w:hideMark/>
          </w:tcPr>
          <w:p w:rsidR="00200452" w:rsidRPr="00200452" w:rsidRDefault="00200452" w:rsidP="00200452">
            <w:pPr>
              <w:jc w:val="right"/>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100%</w:t>
            </w:r>
          </w:p>
        </w:tc>
        <w:tc>
          <w:tcPr>
            <w:tcW w:w="1125" w:type="dxa"/>
            <w:tcBorders>
              <w:top w:val="nil"/>
              <w:left w:val="single" w:sz="4" w:space="0" w:color="auto"/>
              <w:bottom w:val="single" w:sz="4" w:space="0" w:color="auto"/>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9 821</w:t>
            </w:r>
          </w:p>
        </w:tc>
        <w:tc>
          <w:tcPr>
            <w:tcW w:w="1072" w:type="dxa"/>
            <w:tcBorders>
              <w:top w:val="nil"/>
              <w:left w:val="nil"/>
              <w:bottom w:val="single" w:sz="4" w:space="0" w:color="auto"/>
              <w:right w:val="single" w:sz="4" w:space="0" w:color="auto"/>
            </w:tcBorders>
            <w:shd w:val="clear" w:color="auto" w:fill="auto"/>
            <w:noWrap/>
            <w:vAlign w:val="bottom"/>
            <w:hideMark/>
          </w:tcPr>
          <w:p w:rsidR="00200452" w:rsidRPr="00200452" w:rsidRDefault="00200452" w:rsidP="00200452">
            <w:pPr>
              <w:jc w:val="right"/>
              <w:rPr>
                <w:rFonts w:ascii="Calibri" w:eastAsia="Times New Roman" w:hAnsi="Calibri" w:cs="Calibri"/>
                <w:b/>
                <w:bCs/>
                <w:sz w:val="18"/>
                <w:szCs w:val="18"/>
                <w:lang w:eastAsia="bg-BG"/>
              </w:rPr>
            </w:pPr>
            <w:r w:rsidRPr="00200452">
              <w:rPr>
                <w:rFonts w:ascii="Calibri" w:eastAsia="Times New Roman" w:hAnsi="Calibri" w:cs="Calibri"/>
                <w:b/>
                <w:bCs/>
                <w:sz w:val="18"/>
                <w:szCs w:val="18"/>
                <w:lang w:eastAsia="bg-BG"/>
              </w:rPr>
              <w:t>9%</w:t>
            </w:r>
          </w:p>
        </w:tc>
      </w:tr>
    </w:tbl>
    <w:p w:rsidR="005C1270" w:rsidRPr="00431331" w:rsidRDefault="005C1270" w:rsidP="005C1270">
      <w:pPr>
        <w:spacing w:before="120"/>
        <w:jc w:val="both"/>
      </w:pPr>
      <w:r w:rsidRPr="00431331">
        <w:t>Общият размер на разходите по основни икономически елементи /бе</w:t>
      </w:r>
      <w:r w:rsidR="00E77FDB" w:rsidRPr="00431331">
        <w:t>з финансови разходи/ нараства с</w:t>
      </w:r>
      <w:r w:rsidR="00200452" w:rsidRPr="00431331">
        <w:t xml:space="preserve"> 9</w:t>
      </w:r>
      <w:r w:rsidR="00847D54" w:rsidRPr="00431331">
        <w:t xml:space="preserve"> </w:t>
      </w:r>
      <w:r w:rsidR="00200452" w:rsidRPr="00431331">
        <w:t>821</w:t>
      </w:r>
      <w:r w:rsidRPr="00431331">
        <w:t xml:space="preserve"> хил. лева и поради това се променя и относителният дял на разходите по елементи.  </w:t>
      </w:r>
    </w:p>
    <w:p w:rsidR="005C1270" w:rsidRPr="00431331" w:rsidRDefault="00200452" w:rsidP="008D21DC">
      <w:pPr>
        <w:numPr>
          <w:ilvl w:val="0"/>
          <w:numId w:val="6"/>
        </w:numPr>
        <w:spacing w:before="120" w:after="120"/>
        <w:ind w:left="714" w:hanging="357"/>
        <w:jc w:val="both"/>
        <w:rPr>
          <w:i/>
        </w:rPr>
      </w:pPr>
      <w:r w:rsidRPr="00431331">
        <w:t>Увеличен е делът на разходите за персонал с 1%</w:t>
      </w:r>
      <w:r w:rsidR="005C1270" w:rsidRPr="00431331">
        <w:t>;</w:t>
      </w:r>
    </w:p>
    <w:p w:rsidR="005C1270" w:rsidRPr="00431331" w:rsidRDefault="005C1270" w:rsidP="008D21DC">
      <w:pPr>
        <w:numPr>
          <w:ilvl w:val="0"/>
          <w:numId w:val="6"/>
        </w:numPr>
        <w:spacing w:before="120" w:after="120"/>
        <w:ind w:left="714" w:hanging="357"/>
        <w:jc w:val="both"/>
        <w:rPr>
          <w:i/>
        </w:rPr>
      </w:pPr>
      <w:r w:rsidRPr="00431331">
        <w:t xml:space="preserve">Увеличен е делът на разходите за амортизации от </w:t>
      </w:r>
      <w:r w:rsidR="00595E3D" w:rsidRPr="00431331">
        <w:t>5</w:t>
      </w:r>
      <w:r w:rsidRPr="00431331">
        <w:t xml:space="preserve"> на 6%;</w:t>
      </w:r>
    </w:p>
    <w:p w:rsidR="00A422EE" w:rsidRPr="00431331" w:rsidRDefault="00A422EE" w:rsidP="009C4DAD">
      <w:pPr>
        <w:spacing w:after="120"/>
        <w:ind w:firstLine="567"/>
        <w:jc w:val="both"/>
      </w:pPr>
      <w:r w:rsidRPr="00431331">
        <w:t>Най- голям процент от разходите за основна дейност имат разходите за персонал – 46%.</w:t>
      </w:r>
    </w:p>
    <w:p w:rsidR="00F32F3A" w:rsidRPr="00431331" w:rsidRDefault="00B9367B" w:rsidP="00F32F3A">
      <w:pPr>
        <w:numPr>
          <w:ilvl w:val="1"/>
          <w:numId w:val="3"/>
        </w:numPr>
        <w:tabs>
          <w:tab w:val="clear" w:pos="1440"/>
          <w:tab w:val="num" w:pos="0"/>
        </w:tabs>
        <w:spacing w:after="120"/>
        <w:ind w:left="0" w:firstLine="567"/>
        <w:jc w:val="both"/>
      </w:pPr>
      <w:r w:rsidRPr="00431331">
        <w:rPr>
          <w:b/>
        </w:rPr>
        <w:t>Разходи за персонал</w:t>
      </w:r>
      <w:r w:rsidR="00657828" w:rsidRPr="00431331">
        <w:t xml:space="preserve"> </w:t>
      </w:r>
      <w:r w:rsidR="00F32F3A" w:rsidRPr="00431331">
        <w:t xml:space="preserve">за </w:t>
      </w:r>
      <w:r w:rsidR="00431331" w:rsidRPr="00431331">
        <w:t>двана</w:t>
      </w:r>
      <w:r w:rsidR="00514F60" w:rsidRPr="00431331">
        <w:t xml:space="preserve">десетте </w:t>
      </w:r>
      <w:r w:rsidR="00F32F3A" w:rsidRPr="00431331">
        <w:t>ме</w:t>
      </w:r>
      <w:r w:rsidR="00514F60" w:rsidRPr="00431331">
        <w:t xml:space="preserve">сеца на 2017 г са в размер на </w:t>
      </w:r>
      <w:r w:rsidR="00431331" w:rsidRPr="00431331">
        <w:t>53 815</w:t>
      </w:r>
      <w:r w:rsidR="00F32F3A" w:rsidRPr="00431331">
        <w:t xml:space="preserve"> хил. лева и са увеличени с </w:t>
      </w:r>
      <w:r w:rsidR="00431331" w:rsidRPr="00431331">
        <w:t>5 289</w:t>
      </w:r>
      <w:r w:rsidR="00514F60" w:rsidRPr="00431331">
        <w:t xml:space="preserve"> хил. лева спрямо </w:t>
      </w:r>
      <w:r w:rsidR="00F32F3A" w:rsidRPr="00431331">
        <w:t>2016 г. Включват разходи за възнаграждения и социални осигуровки.</w:t>
      </w:r>
    </w:p>
    <w:p w:rsidR="00F7536F" w:rsidRPr="00431331" w:rsidRDefault="00F7536F" w:rsidP="00F7536F">
      <w:pPr>
        <w:numPr>
          <w:ilvl w:val="1"/>
          <w:numId w:val="21"/>
        </w:numPr>
        <w:spacing w:after="120"/>
        <w:ind w:left="0" w:firstLine="360"/>
        <w:jc w:val="both"/>
      </w:pPr>
      <w:r w:rsidRPr="00431331">
        <w:rPr>
          <w:b/>
        </w:rPr>
        <w:t>Разходи за възнаграждения</w:t>
      </w:r>
      <w:r w:rsidRPr="00431331">
        <w:t xml:space="preserve"> – </w:t>
      </w:r>
      <w:r w:rsidR="00431331" w:rsidRPr="00431331">
        <w:t xml:space="preserve">за </w:t>
      </w:r>
      <w:r w:rsidRPr="00431331">
        <w:t xml:space="preserve">2017 г. са отчетени </w:t>
      </w:r>
      <w:r w:rsidR="00431331" w:rsidRPr="00431331">
        <w:t>41 124</w:t>
      </w:r>
      <w:r w:rsidRPr="00431331">
        <w:t xml:space="preserve"> хил. лева. спрямо предходната година се отчита увеличение с </w:t>
      </w:r>
      <w:r w:rsidR="00431331" w:rsidRPr="00431331">
        <w:t>4</w:t>
      </w:r>
      <w:r w:rsidRPr="00431331">
        <w:t xml:space="preserve"> </w:t>
      </w:r>
      <w:r w:rsidR="00431331" w:rsidRPr="00431331">
        <w:t>296</w:t>
      </w:r>
      <w:r w:rsidRPr="00431331">
        <w:t xml:space="preserve"> хил. лева</w:t>
      </w:r>
      <w:r w:rsidRPr="00431331">
        <w:rPr>
          <w:lang w:val="en-US"/>
        </w:rPr>
        <w:t xml:space="preserve"> </w:t>
      </w:r>
      <w:r w:rsidRPr="00431331">
        <w:t xml:space="preserve">или с </w:t>
      </w:r>
      <w:r w:rsidR="00431331" w:rsidRPr="00431331">
        <w:t>12%</w:t>
      </w:r>
      <w:r w:rsidRPr="00431331">
        <w:t xml:space="preserve">, а спрямо бизнес плана разходите за възнаграждения са повече с </w:t>
      </w:r>
      <w:r w:rsidR="00431331" w:rsidRPr="00431331">
        <w:t>4 215</w:t>
      </w:r>
      <w:r w:rsidRPr="00431331">
        <w:t xml:space="preserve"> хил. лева.  </w:t>
      </w:r>
    </w:p>
    <w:p w:rsidR="00F7536F" w:rsidRPr="00431331" w:rsidRDefault="00F7536F" w:rsidP="00F7536F">
      <w:pPr>
        <w:spacing w:after="120"/>
        <w:jc w:val="both"/>
      </w:pPr>
      <w:r w:rsidRPr="00431331">
        <w:t xml:space="preserve">Увеличението на разходите за заплати спрямо същия период на м.г. се дължи на </w:t>
      </w:r>
      <w:r w:rsidR="00431331" w:rsidRPr="00431331">
        <w:t>следните фактри</w:t>
      </w:r>
      <w:r w:rsidRPr="00431331">
        <w:t xml:space="preserve">: </w:t>
      </w:r>
    </w:p>
    <w:p w:rsidR="00F7536F" w:rsidRPr="00431331" w:rsidRDefault="00F7536F" w:rsidP="00F7536F">
      <w:pPr>
        <w:numPr>
          <w:ilvl w:val="0"/>
          <w:numId w:val="16"/>
        </w:numPr>
        <w:ind w:left="567" w:hanging="207"/>
        <w:jc w:val="both"/>
      </w:pPr>
      <w:r w:rsidRPr="00431331">
        <w:t>Увеличаване от 01 януари 2017 г. на МРЗ за страната с 9,5% и съответно отразяването й в заплатите на заетите лица в „БДЖ – Товарни превози” ЕООД.</w:t>
      </w:r>
    </w:p>
    <w:p w:rsidR="00F7536F" w:rsidRDefault="00F7536F" w:rsidP="00F7536F">
      <w:pPr>
        <w:numPr>
          <w:ilvl w:val="0"/>
          <w:numId w:val="16"/>
        </w:numPr>
        <w:ind w:left="567" w:hanging="207"/>
        <w:jc w:val="both"/>
      </w:pPr>
      <w:r w:rsidRPr="00431331">
        <w:t xml:space="preserve">През 2017 г. е положен и отчетен извънреден труд от работниците и служителите при „БДЖ – Товарни превози” ЕООД в размер на </w:t>
      </w:r>
      <w:r w:rsidR="00431331" w:rsidRPr="00431331">
        <w:t>2 204 449</w:t>
      </w:r>
      <w:r w:rsidRPr="00431331">
        <w:t xml:space="preserve"> лв.</w:t>
      </w:r>
      <w:r w:rsidR="00431331" w:rsidRPr="00431331">
        <w:t xml:space="preserve">, което е с 1 275 927 лв повече в </w:t>
      </w:r>
      <w:r w:rsidRPr="00431331">
        <w:t>сравнение с 2016 г.</w:t>
      </w:r>
      <w:r w:rsidR="00431331">
        <w:t xml:space="preserve"> </w:t>
      </w:r>
    </w:p>
    <w:p w:rsidR="00431331" w:rsidRPr="00431331" w:rsidRDefault="00431331" w:rsidP="00431331">
      <w:pPr>
        <w:ind w:left="567"/>
        <w:jc w:val="both"/>
      </w:pPr>
      <w:r>
        <w:t xml:space="preserve">Основни причини за </w:t>
      </w:r>
      <w:r w:rsidR="00336E9E">
        <w:t>полагане на извънреден труд са:</w:t>
      </w:r>
    </w:p>
    <w:p w:rsidR="00F7536F" w:rsidRPr="00431331" w:rsidRDefault="00336E9E" w:rsidP="00F7536F">
      <w:pPr>
        <w:numPr>
          <w:ilvl w:val="0"/>
          <w:numId w:val="17"/>
        </w:numPr>
        <w:ind w:left="567" w:hanging="204"/>
        <w:jc w:val="both"/>
      </w:pPr>
      <w:r>
        <w:t>Н</w:t>
      </w:r>
      <w:r w:rsidR="00F7536F" w:rsidRPr="00336E9E">
        <w:t>едостигът на локомотивен персонал</w:t>
      </w:r>
      <w:r w:rsidR="00F7536F" w:rsidRPr="00431331">
        <w:t xml:space="preserve"> - данните показват голямо текучество на локомотивния персонал - намаление за по-малко от две годишен период със 121 броя или 22,8%. Обемът на влакова работа само за „БДЖ – Товарни превози” ЕООД е намален, но този персонал обслужва същите влакове за „ТБД Товарни превози” ЕАД; </w:t>
      </w:r>
    </w:p>
    <w:p w:rsidR="00F7536F" w:rsidRPr="00431331" w:rsidRDefault="00F7536F" w:rsidP="00F7536F">
      <w:pPr>
        <w:numPr>
          <w:ilvl w:val="0"/>
          <w:numId w:val="17"/>
        </w:numPr>
        <w:ind w:left="567" w:hanging="204"/>
        <w:jc w:val="both"/>
      </w:pPr>
      <w:r w:rsidRPr="00431331">
        <w:t>Необходимостта от преквалификация на локомотивния персонал, породена от различните серии локомотиви и експлоатацията им на територията на цялата страна поради различните тягови норми допълнително покачва извънредния труд по време на курсовете за преквалификация;</w:t>
      </w:r>
    </w:p>
    <w:p w:rsidR="00F7536F" w:rsidRPr="00431331" w:rsidRDefault="00F7536F" w:rsidP="00F7536F">
      <w:pPr>
        <w:numPr>
          <w:ilvl w:val="0"/>
          <w:numId w:val="17"/>
        </w:numPr>
        <w:ind w:left="567" w:hanging="204"/>
        <w:jc w:val="both"/>
      </w:pPr>
      <w:r w:rsidRPr="00431331">
        <w:t>Изпълнение на договор за наем на тяга с „ТБД -Товарни превози” ЕООД.</w:t>
      </w:r>
      <w:r w:rsidR="00336E9E">
        <w:t xml:space="preserve"> - о</w:t>
      </w:r>
      <w:r w:rsidRPr="00431331">
        <w:t xml:space="preserve">т месец Януари 2017 г.  по договора за осигуряване на локомотивна тяга с „ТБД – Товарни превози” ЕАД денонощно работят 3 - 4 бр. локомотива. </w:t>
      </w:r>
    </w:p>
    <w:p w:rsidR="00F7536F" w:rsidRPr="00336E9E" w:rsidRDefault="00F7536F" w:rsidP="00F7536F">
      <w:pPr>
        <w:numPr>
          <w:ilvl w:val="0"/>
          <w:numId w:val="17"/>
        </w:numPr>
        <w:spacing w:after="120"/>
        <w:ind w:left="567" w:hanging="204"/>
        <w:jc w:val="both"/>
      </w:pPr>
      <w:r w:rsidRPr="00336E9E">
        <w:t xml:space="preserve">Причина за увеличение на изплатената сума в лева за положения и отчетен извънреден труд е факта, че от 01.01.2017г. трудовите възнаграждения на целия персонал в </w:t>
      </w:r>
      <w:r w:rsidRPr="00336E9E">
        <w:lastRenderedPageBreak/>
        <w:t>Дружеството са индексирани с 9,52 %, което води до увеличаване на изплатените суми за професионална квалификация и професионален опит (клас), нощен труд и извънреден труд.</w:t>
      </w:r>
    </w:p>
    <w:p w:rsidR="00F7536F" w:rsidRPr="00336E9E" w:rsidRDefault="00F7536F" w:rsidP="00F7536F">
      <w:pPr>
        <w:spacing w:after="120"/>
        <w:jc w:val="both"/>
      </w:pPr>
      <w:r w:rsidRPr="00336E9E">
        <w:rPr>
          <w:b/>
        </w:rPr>
        <w:t>Средносписъчния брой</w:t>
      </w:r>
      <w:r w:rsidRPr="00336E9E">
        <w:t xml:space="preserve"> на персонала за 2017 г. е 3 25</w:t>
      </w:r>
      <w:r w:rsidR="00431331" w:rsidRPr="00336E9E">
        <w:t>0</w:t>
      </w:r>
      <w:r w:rsidRPr="00336E9E">
        <w:t xml:space="preserve"> броя, при 3 34</w:t>
      </w:r>
      <w:r w:rsidR="00431331" w:rsidRPr="00336E9E">
        <w:t>3</w:t>
      </w:r>
      <w:r w:rsidRPr="00336E9E">
        <w:t xml:space="preserve"> броя за същия период на миналата година, или с </w:t>
      </w:r>
      <w:r w:rsidR="00336E9E" w:rsidRPr="00336E9E">
        <w:t>93</w:t>
      </w:r>
      <w:r w:rsidRPr="00336E9E">
        <w:t xml:space="preserve"> броя по-малко.  </w:t>
      </w:r>
    </w:p>
    <w:p w:rsidR="00F7536F" w:rsidRPr="00336E9E" w:rsidRDefault="00F7536F" w:rsidP="00F7536F">
      <w:pPr>
        <w:spacing w:after="120"/>
        <w:jc w:val="both"/>
        <w:rPr>
          <w:b/>
        </w:rPr>
      </w:pPr>
      <w:r w:rsidRPr="00336E9E">
        <w:rPr>
          <w:b/>
        </w:rPr>
        <w:t xml:space="preserve">Производителността </w:t>
      </w:r>
      <w:r w:rsidRPr="00336E9E">
        <w:t xml:space="preserve">на нето тонкилометър се увеличава с </w:t>
      </w:r>
      <w:r w:rsidR="00336E9E" w:rsidRPr="00336E9E">
        <w:t>6,7</w:t>
      </w:r>
      <w:r w:rsidRPr="00336E9E">
        <w:t xml:space="preserve">% за 2017 г. </w:t>
      </w:r>
      <w:r w:rsidR="00336E9E" w:rsidRPr="00336E9E">
        <w:t xml:space="preserve">спрямо </w:t>
      </w:r>
      <w:r w:rsidRPr="00336E9E">
        <w:t xml:space="preserve"> 2016 г.</w:t>
      </w:r>
    </w:p>
    <w:p w:rsidR="003709CE" w:rsidRPr="005722E9" w:rsidRDefault="003709CE" w:rsidP="003709CE">
      <w:pPr>
        <w:spacing w:after="120"/>
        <w:jc w:val="both"/>
        <w:rPr>
          <w:i/>
        </w:rPr>
      </w:pPr>
      <w:r w:rsidRPr="005722E9">
        <w:rPr>
          <w:b/>
        </w:rPr>
        <w:t>Средната месечна брутна работна заплата</w:t>
      </w:r>
      <w:r w:rsidRPr="005722E9">
        <w:t xml:space="preserve"> (без изплатените обезщетения) за 1</w:t>
      </w:r>
      <w:r>
        <w:rPr>
          <w:lang w:val="en-US"/>
        </w:rPr>
        <w:t>2</w:t>
      </w:r>
      <w:r w:rsidRPr="005722E9">
        <w:t xml:space="preserve">-те месеца на 2017 г. на „БДЖ – Товарни превози” ЕООД е </w:t>
      </w:r>
      <w:r>
        <w:rPr>
          <w:lang w:val="en-US"/>
        </w:rPr>
        <w:t>1 053</w:t>
      </w:r>
      <w:r w:rsidRPr="005722E9">
        <w:t xml:space="preserve"> лева, а отчетената за предходната година е </w:t>
      </w:r>
      <w:r>
        <w:rPr>
          <w:lang w:val="en-US"/>
        </w:rPr>
        <w:t>91</w:t>
      </w:r>
      <w:r w:rsidRPr="005722E9">
        <w:t>5 лева, т.е. има увеличение със 1</w:t>
      </w:r>
      <w:r>
        <w:rPr>
          <w:lang w:val="en-US"/>
        </w:rPr>
        <w:t>38</w:t>
      </w:r>
      <w:r w:rsidRPr="005722E9">
        <w:t xml:space="preserve"> лева или 1</w:t>
      </w:r>
      <w:r>
        <w:rPr>
          <w:lang w:val="en-US"/>
        </w:rPr>
        <w:t>3</w:t>
      </w:r>
      <w:r w:rsidRPr="005722E9">
        <w:t>,</w:t>
      </w:r>
      <w:r>
        <w:rPr>
          <w:lang w:val="en-US"/>
        </w:rPr>
        <w:t>1</w:t>
      </w:r>
      <w:r w:rsidRPr="005722E9">
        <w:t xml:space="preserve">%. </w:t>
      </w:r>
      <w:r w:rsidRPr="005722E9">
        <w:rPr>
          <w:i/>
        </w:rPr>
        <w:t>Нарастването на работната заплата произтича от приетото решение от СД за увеличаване на основните заплати с 9,5% с цел спазване на изискванията за минималната работна заплата. От 01 януари 2017 г. минималната работна заплата за страната е 460 лв.</w:t>
      </w:r>
    </w:p>
    <w:p w:rsidR="003709CE" w:rsidRPr="008D6243" w:rsidRDefault="003709CE" w:rsidP="003709CE">
      <w:pPr>
        <w:spacing w:after="120"/>
        <w:jc w:val="both"/>
      </w:pPr>
      <w:r w:rsidRPr="008D6243">
        <w:rPr>
          <w:b/>
        </w:rPr>
        <w:t xml:space="preserve">Социалните осигуровки </w:t>
      </w:r>
      <w:r w:rsidRPr="008D6243">
        <w:t>за 1</w:t>
      </w:r>
      <w:r>
        <w:rPr>
          <w:lang w:val="en-US"/>
        </w:rPr>
        <w:t>2</w:t>
      </w:r>
      <w:r w:rsidRPr="008D6243">
        <w:t>-те месеца на 2017 г. са в размер на 1</w:t>
      </w:r>
      <w:r>
        <w:rPr>
          <w:lang w:val="en-US"/>
        </w:rPr>
        <w:t>2</w:t>
      </w:r>
      <w:r w:rsidRPr="008D6243">
        <w:t> </w:t>
      </w:r>
      <w:r>
        <w:rPr>
          <w:lang w:val="en-US"/>
        </w:rPr>
        <w:t>69</w:t>
      </w:r>
      <w:r w:rsidRPr="008D6243">
        <w:t>1 хил. лева при отчетени за същия период на миналата година 1</w:t>
      </w:r>
      <w:r>
        <w:rPr>
          <w:lang w:val="en-US"/>
        </w:rPr>
        <w:t>1</w:t>
      </w:r>
      <w:r w:rsidRPr="008D6243">
        <w:t> 6</w:t>
      </w:r>
      <w:r>
        <w:rPr>
          <w:lang w:val="en-US"/>
        </w:rPr>
        <w:t>98</w:t>
      </w:r>
      <w:r w:rsidRPr="008D6243">
        <w:t xml:space="preserve"> хил. лева, отчита се увеличение с </w:t>
      </w:r>
      <w:r>
        <w:rPr>
          <w:lang w:val="en-US"/>
        </w:rPr>
        <w:t>993</w:t>
      </w:r>
      <w:r w:rsidRPr="008D6243">
        <w:t xml:space="preserve"> хил. лева. Спрямо плана има увеличение на социалните разходи с 1 </w:t>
      </w:r>
      <w:r>
        <w:t>556</w:t>
      </w:r>
      <w:r w:rsidRPr="008D6243">
        <w:t xml:space="preserve"> хил. лева или 1</w:t>
      </w:r>
      <w:r>
        <w:t>2,2</w:t>
      </w:r>
      <w:r w:rsidRPr="008D6243">
        <w:t>%.</w:t>
      </w:r>
    </w:p>
    <w:p w:rsidR="003709CE" w:rsidRPr="009E6A4B" w:rsidRDefault="003709CE" w:rsidP="003709CE">
      <w:pPr>
        <w:spacing w:after="120"/>
        <w:jc w:val="both"/>
      </w:pPr>
      <w:r w:rsidRPr="009E6A4B">
        <w:t xml:space="preserve">За социални разходи, всеки месец допълнително за персонала, зает с охрана, се начисляват по </w:t>
      </w:r>
      <w:r w:rsidRPr="009E6A4B">
        <w:br/>
        <w:t>77,6 хил. лева, за 1</w:t>
      </w:r>
      <w:r>
        <w:rPr>
          <w:lang w:val="en-US"/>
        </w:rPr>
        <w:t>2</w:t>
      </w:r>
      <w:r w:rsidRPr="009E6A4B">
        <w:t xml:space="preserve">-те месеца тази сума е </w:t>
      </w:r>
      <w:r>
        <w:rPr>
          <w:lang w:val="en-US"/>
        </w:rPr>
        <w:t>9</w:t>
      </w:r>
      <w:r w:rsidRPr="009E6A4B">
        <w:t>3</w:t>
      </w:r>
      <w:r>
        <w:rPr>
          <w:lang w:val="en-US"/>
        </w:rPr>
        <w:t>1</w:t>
      </w:r>
      <w:r w:rsidRPr="009E6A4B">
        <w:t>,</w:t>
      </w:r>
      <w:r>
        <w:rPr>
          <w:lang w:val="en-US"/>
        </w:rPr>
        <w:t>2</w:t>
      </w:r>
      <w:r w:rsidRPr="009E6A4B">
        <w:t xml:space="preserve"> хил. лева, тъй като на този персонал се полагат всички социални разходи и придобивки, както на останалите служители от дружеството. </w:t>
      </w:r>
    </w:p>
    <w:p w:rsidR="003709CE" w:rsidRDefault="003709CE" w:rsidP="003709CE">
      <w:pPr>
        <w:spacing w:after="120"/>
        <w:jc w:val="both"/>
        <w:rPr>
          <w:lang w:val="en-US"/>
        </w:rPr>
      </w:pPr>
      <w:r w:rsidRPr="009E6A4B">
        <w:t>В следващата таблица са отразени показателите, отнасящи се до трудовите ресурси по отчет за   1</w:t>
      </w:r>
      <w:r>
        <w:rPr>
          <w:lang w:val="en-US"/>
        </w:rPr>
        <w:t>2</w:t>
      </w:r>
      <w:r w:rsidRPr="009E6A4B">
        <w:t>-те месеца на 2017 г. и сравнени със</w:t>
      </w:r>
      <w:r w:rsidRPr="00DE788B">
        <w:t xml:space="preserve"> същия период на 2016 г. и бизнес плана. </w:t>
      </w:r>
    </w:p>
    <w:tbl>
      <w:tblPr>
        <w:tblW w:w="9436" w:type="dxa"/>
        <w:tblInd w:w="55" w:type="dxa"/>
        <w:tblCellMar>
          <w:left w:w="70" w:type="dxa"/>
          <w:right w:w="70" w:type="dxa"/>
        </w:tblCellMar>
        <w:tblLook w:val="04A0" w:firstRow="1" w:lastRow="0" w:firstColumn="1" w:lastColumn="0" w:noHBand="0" w:noVBand="1"/>
      </w:tblPr>
      <w:tblGrid>
        <w:gridCol w:w="4848"/>
        <w:gridCol w:w="644"/>
        <w:gridCol w:w="796"/>
        <w:gridCol w:w="780"/>
        <w:gridCol w:w="796"/>
        <w:gridCol w:w="1027"/>
        <w:gridCol w:w="986"/>
      </w:tblGrid>
      <w:tr w:rsidR="003709CE" w:rsidRPr="00B96F99" w:rsidTr="003709CE">
        <w:trPr>
          <w:trHeight w:val="255"/>
        </w:trPr>
        <w:tc>
          <w:tcPr>
            <w:tcW w:w="4848" w:type="dxa"/>
            <w:vMerge w:val="restart"/>
            <w:tcBorders>
              <w:top w:val="single" w:sz="8" w:space="0" w:color="auto"/>
              <w:left w:val="single" w:sz="8" w:space="0" w:color="auto"/>
              <w:bottom w:val="double" w:sz="6" w:space="0" w:color="000000"/>
              <w:right w:val="nil"/>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ПОКАЗАТЕЛИ</w:t>
            </w:r>
          </w:p>
        </w:tc>
        <w:tc>
          <w:tcPr>
            <w:tcW w:w="528" w:type="dxa"/>
            <w:tcBorders>
              <w:top w:val="single" w:sz="8" w:space="0" w:color="auto"/>
              <w:left w:val="nil"/>
              <w:bottom w:val="nil"/>
              <w:right w:val="nil"/>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 </w:t>
            </w:r>
          </w:p>
        </w:tc>
        <w:tc>
          <w:tcPr>
            <w:tcW w:w="796" w:type="dxa"/>
            <w:tcBorders>
              <w:top w:val="single" w:sz="8" w:space="0" w:color="auto"/>
              <w:left w:val="nil"/>
              <w:bottom w:val="nil"/>
              <w:right w:val="nil"/>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 xml:space="preserve">Отчет </w:t>
            </w:r>
          </w:p>
        </w:tc>
        <w:tc>
          <w:tcPr>
            <w:tcW w:w="780" w:type="dxa"/>
            <w:tcBorders>
              <w:top w:val="single" w:sz="8" w:space="0" w:color="auto"/>
              <w:left w:val="nil"/>
              <w:bottom w:val="nil"/>
              <w:right w:val="nil"/>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 xml:space="preserve">План </w:t>
            </w:r>
          </w:p>
        </w:tc>
        <w:tc>
          <w:tcPr>
            <w:tcW w:w="796" w:type="dxa"/>
            <w:tcBorders>
              <w:top w:val="single" w:sz="8" w:space="0" w:color="auto"/>
              <w:left w:val="nil"/>
              <w:bottom w:val="nil"/>
              <w:right w:val="nil"/>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 xml:space="preserve">Отчет </w:t>
            </w:r>
          </w:p>
        </w:tc>
        <w:tc>
          <w:tcPr>
            <w:tcW w:w="844" w:type="dxa"/>
            <w:tcBorders>
              <w:top w:val="single" w:sz="8" w:space="0" w:color="auto"/>
              <w:left w:val="nil"/>
              <w:bottom w:val="nil"/>
              <w:right w:val="nil"/>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 -</w:t>
            </w:r>
          </w:p>
        </w:tc>
        <w:tc>
          <w:tcPr>
            <w:tcW w:w="844" w:type="dxa"/>
            <w:tcBorders>
              <w:top w:val="single" w:sz="8" w:space="0" w:color="auto"/>
              <w:left w:val="nil"/>
              <w:bottom w:val="nil"/>
              <w:right w:val="single" w:sz="8" w:space="0" w:color="auto"/>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 -</w:t>
            </w:r>
          </w:p>
        </w:tc>
      </w:tr>
      <w:tr w:rsidR="003709CE" w:rsidRPr="00B96F99" w:rsidTr="003709CE">
        <w:trPr>
          <w:trHeight w:val="255"/>
        </w:trPr>
        <w:tc>
          <w:tcPr>
            <w:tcW w:w="4848" w:type="dxa"/>
            <w:vMerge/>
            <w:tcBorders>
              <w:top w:val="single" w:sz="8" w:space="0" w:color="auto"/>
              <w:left w:val="single" w:sz="8" w:space="0" w:color="auto"/>
              <w:bottom w:val="double" w:sz="6" w:space="0" w:color="000000"/>
              <w:right w:val="nil"/>
            </w:tcBorders>
            <w:vAlign w:val="center"/>
            <w:hideMark/>
          </w:tcPr>
          <w:p w:rsidR="003709CE" w:rsidRPr="00B96F99" w:rsidRDefault="003709CE" w:rsidP="003709CE">
            <w:pPr>
              <w:rPr>
                <w:rFonts w:ascii="Calibri" w:eastAsia="Times New Roman" w:hAnsi="Calibri" w:cs="Calibri"/>
                <w:sz w:val="18"/>
                <w:szCs w:val="18"/>
                <w:lang w:eastAsia="bg-BG"/>
              </w:rPr>
            </w:pPr>
          </w:p>
        </w:tc>
        <w:tc>
          <w:tcPr>
            <w:tcW w:w="528" w:type="dxa"/>
            <w:tcBorders>
              <w:top w:val="nil"/>
              <w:left w:val="nil"/>
              <w:bottom w:val="nil"/>
              <w:right w:val="nil"/>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Мярка</w:t>
            </w:r>
          </w:p>
        </w:tc>
        <w:tc>
          <w:tcPr>
            <w:tcW w:w="796" w:type="dxa"/>
            <w:tcBorders>
              <w:top w:val="nil"/>
              <w:left w:val="nil"/>
              <w:bottom w:val="nil"/>
              <w:right w:val="nil"/>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 </w:t>
            </w:r>
          </w:p>
        </w:tc>
        <w:tc>
          <w:tcPr>
            <w:tcW w:w="780" w:type="dxa"/>
            <w:tcBorders>
              <w:top w:val="nil"/>
              <w:left w:val="nil"/>
              <w:bottom w:val="nil"/>
              <w:right w:val="nil"/>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 </w:t>
            </w:r>
          </w:p>
        </w:tc>
        <w:tc>
          <w:tcPr>
            <w:tcW w:w="796" w:type="dxa"/>
            <w:tcBorders>
              <w:top w:val="nil"/>
              <w:left w:val="nil"/>
              <w:bottom w:val="nil"/>
              <w:right w:val="nil"/>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 </w:t>
            </w:r>
          </w:p>
        </w:tc>
        <w:tc>
          <w:tcPr>
            <w:tcW w:w="844" w:type="dxa"/>
            <w:tcBorders>
              <w:top w:val="nil"/>
              <w:left w:val="nil"/>
              <w:bottom w:val="nil"/>
              <w:right w:val="nil"/>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отчет/отчет</w:t>
            </w:r>
          </w:p>
        </w:tc>
        <w:tc>
          <w:tcPr>
            <w:tcW w:w="844" w:type="dxa"/>
            <w:tcBorders>
              <w:top w:val="nil"/>
              <w:left w:val="nil"/>
              <w:bottom w:val="nil"/>
              <w:right w:val="single" w:sz="8" w:space="0" w:color="auto"/>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отчет/план</w:t>
            </w:r>
          </w:p>
        </w:tc>
      </w:tr>
      <w:tr w:rsidR="003709CE" w:rsidRPr="00B96F99" w:rsidTr="003709CE">
        <w:trPr>
          <w:trHeight w:val="270"/>
        </w:trPr>
        <w:tc>
          <w:tcPr>
            <w:tcW w:w="4848" w:type="dxa"/>
            <w:vMerge/>
            <w:tcBorders>
              <w:top w:val="single" w:sz="8" w:space="0" w:color="auto"/>
              <w:left w:val="single" w:sz="8" w:space="0" w:color="auto"/>
              <w:bottom w:val="double" w:sz="6" w:space="0" w:color="000000"/>
              <w:right w:val="nil"/>
            </w:tcBorders>
            <w:vAlign w:val="center"/>
            <w:hideMark/>
          </w:tcPr>
          <w:p w:rsidR="003709CE" w:rsidRPr="00B96F99" w:rsidRDefault="003709CE" w:rsidP="003709CE">
            <w:pPr>
              <w:rPr>
                <w:rFonts w:ascii="Calibri" w:eastAsia="Times New Roman" w:hAnsi="Calibri" w:cs="Calibri"/>
                <w:sz w:val="18"/>
                <w:szCs w:val="18"/>
                <w:lang w:eastAsia="bg-BG"/>
              </w:rPr>
            </w:pPr>
          </w:p>
        </w:tc>
        <w:tc>
          <w:tcPr>
            <w:tcW w:w="528" w:type="dxa"/>
            <w:tcBorders>
              <w:top w:val="nil"/>
              <w:left w:val="nil"/>
              <w:bottom w:val="double" w:sz="6" w:space="0" w:color="auto"/>
              <w:right w:val="nil"/>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 </w:t>
            </w:r>
          </w:p>
        </w:tc>
        <w:tc>
          <w:tcPr>
            <w:tcW w:w="796" w:type="dxa"/>
            <w:tcBorders>
              <w:top w:val="nil"/>
              <w:left w:val="nil"/>
              <w:bottom w:val="double" w:sz="6" w:space="0" w:color="auto"/>
              <w:right w:val="nil"/>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2017 г.</w:t>
            </w:r>
          </w:p>
        </w:tc>
        <w:tc>
          <w:tcPr>
            <w:tcW w:w="780" w:type="dxa"/>
            <w:tcBorders>
              <w:top w:val="nil"/>
              <w:left w:val="nil"/>
              <w:bottom w:val="double" w:sz="6" w:space="0" w:color="auto"/>
              <w:right w:val="nil"/>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2017 г.</w:t>
            </w:r>
          </w:p>
        </w:tc>
        <w:tc>
          <w:tcPr>
            <w:tcW w:w="796" w:type="dxa"/>
            <w:tcBorders>
              <w:top w:val="nil"/>
              <w:left w:val="nil"/>
              <w:bottom w:val="double" w:sz="6" w:space="0" w:color="auto"/>
              <w:right w:val="nil"/>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2016 г.</w:t>
            </w:r>
          </w:p>
        </w:tc>
        <w:tc>
          <w:tcPr>
            <w:tcW w:w="844" w:type="dxa"/>
            <w:tcBorders>
              <w:top w:val="nil"/>
              <w:left w:val="nil"/>
              <w:bottom w:val="double" w:sz="6" w:space="0" w:color="auto"/>
              <w:right w:val="nil"/>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к.3/к.5</w:t>
            </w:r>
          </w:p>
        </w:tc>
        <w:tc>
          <w:tcPr>
            <w:tcW w:w="844" w:type="dxa"/>
            <w:tcBorders>
              <w:top w:val="nil"/>
              <w:left w:val="nil"/>
              <w:bottom w:val="double" w:sz="6" w:space="0" w:color="auto"/>
              <w:right w:val="single" w:sz="8" w:space="0" w:color="auto"/>
            </w:tcBorders>
            <w:shd w:val="clear" w:color="000000" w:fill="FFFFFF"/>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 к.3/к.4</w:t>
            </w:r>
          </w:p>
        </w:tc>
      </w:tr>
      <w:tr w:rsidR="003709CE" w:rsidRPr="00B96F99" w:rsidTr="003709CE">
        <w:trPr>
          <w:trHeight w:val="270"/>
        </w:trPr>
        <w:tc>
          <w:tcPr>
            <w:tcW w:w="4848" w:type="dxa"/>
            <w:tcBorders>
              <w:top w:val="nil"/>
              <w:left w:val="single" w:sz="8" w:space="0" w:color="auto"/>
              <w:bottom w:val="nil"/>
              <w:right w:val="nil"/>
            </w:tcBorders>
            <w:shd w:val="clear" w:color="auto" w:fill="auto"/>
            <w:noWrap/>
            <w:vAlign w:val="bottom"/>
            <w:hideMark/>
          </w:tcPr>
          <w:p w:rsidR="003709CE" w:rsidRPr="00B96F99" w:rsidRDefault="003709CE" w:rsidP="003709CE">
            <w:pP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Средносписъчен брой</w:t>
            </w:r>
          </w:p>
        </w:tc>
        <w:tc>
          <w:tcPr>
            <w:tcW w:w="528" w:type="dxa"/>
            <w:tcBorders>
              <w:top w:val="nil"/>
              <w:left w:val="nil"/>
              <w:bottom w:val="nil"/>
              <w:right w:val="nil"/>
            </w:tcBorders>
            <w:shd w:val="clear" w:color="auto" w:fill="auto"/>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бр.</w:t>
            </w:r>
          </w:p>
        </w:tc>
        <w:tc>
          <w:tcPr>
            <w:tcW w:w="796"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3 250</w:t>
            </w:r>
          </w:p>
        </w:tc>
        <w:tc>
          <w:tcPr>
            <w:tcW w:w="780"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3 086</w:t>
            </w:r>
          </w:p>
        </w:tc>
        <w:tc>
          <w:tcPr>
            <w:tcW w:w="796"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3 343</w:t>
            </w:r>
          </w:p>
        </w:tc>
        <w:tc>
          <w:tcPr>
            <w:tcW w:w="844"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-93</w:t>
            </w:r>
          </w:p>
        </w:tc>
        <w:tc>
          <w:tcPr>
            <w:tcW w:w="844" w:type="dxa"/>
            <w:tcBorders>
              <w:top w:val="nil"/>
              <w:left w:val="nil"/>
              <w:bottom w:val="nil"/>
              <w:right w:val="single" w:sz="8" w:space="0" w:color="auto"/>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164</w:t>
            </w:r>
          </w:p>
        </w:tc>
      </w:tr>
      <w:tr w:rsidR="003709CE" w:rsidRPr="00B96F99" w:rsidTr="003709CE">
        <w:trPr>
          <w:trHeight w:val="255"/>
        </w:trPr>
        <w:tc>
          <w:tcPr>
            <w:tcW w:w="4848" w:type="dxa"/>
            <w:tcBorders>
              <w:top w:val="nil"/>
              <w:left w:val="single" w:sz="8" w:space="0" w:color="auto"/>
              <w:bottom w:val="nil"/>
              <w:right w:val="nil"/>
            </w:tcBorders>
            <w:shd w:val="clear" w:color="auto" w:fill="auto"/>
            <w:noWrap/>
            <w:vAlign w:val="bottom"/>
            <w:hideMark/>
          </w:tcPr>
          <w:p w:rsidR="003709CE" w:rsidRPr="00B96F99" w:rsidRDefault="003709CE" w:rsidP="003709CE">
            <w:pP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Списъчен брой на 31.12.</w:t>
            </w:r>
            <w:r w:rsidRPr="00B96F99">
              <w:rPr>
                <w:rFonts w:ascii="Calibri" w:eastAsia="Times New Roman" w:hAnsi="Calibri" w:cs="Calibri"/>
                <w:i/>
                <w:iCs/>
                <w:sz w:val="18"/>
                <w:szCs w:val="18"/>
                <w:lang w:eastAsia="bg-BG"/>
              </w:rPr>
              <w:t xml:space="preserve"> </w:t>
            </w:r>
            <w:r w:rsidRPr="00B96F99">
              <w:rPr>
                <w:rFonts w:ascii="Calibri" w:eastAsia="Times New Roman" w:hAnsi="Calibri" w:cs="Calibri"/>
                <w:sz w:val="18"/>
                <w:szCs w:val="18"/>
                <w:lang w:eastAsia="bg-BG"/>
              </w:rPr>
              <w:t xml:space="preserve"> </w:t>
            </w:r>
          </w:p>
        </w:tc>
        <w:tc>
          <w:tcPr>
            <w:tcW w:w="528" w:type="dxa"/>
            <w:tcBorders>
              <w:top w:val="nil"/>
              <w:left w:val="nil"/>
              <w:bottom w:val="nil"/>
              <w:right w:val="nil"/>
            </w:tcBorders>
            <w:shd w:val="clear" w:color="auto" w:fill="auto"/>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бр.</w:t>
            </w:r>
          </w:p>
        </w:tc>
        <w:tc>
          <w:tcPr>
            <w:tcW w:w="796"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3 157</w:t>
            </w:r>
          </w:p>
        </w:tc>
        <w:tc>
          <w:tcPr>
            <w:tcW w:w="780"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p>
        </w:tc>
        <w:tc>
          <w:tcPr>
            <w:tcW w:w="796"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3 359</w:t>
            </w:r>
          </w:p>
        </w:tc>
        <w:tc>
          <w:tcPr>
            <w:tcW w:w="844"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-202</w:t>
            </w:r>
          </w:p>
        </w:tc>
        <w:tc>
          <w:tcPr>
            <w:tcW w:w="844" w:type="dxa"/>
            <w:tcBorders>
              <w:top w:val="nil"/>
              <w:left w:val="nil"/>
              <w:bottom w:val="nil"/>
              <w:right w:val="single" w:sz="8" w:space="0" w:color="auto"/>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 </w:t>
            </w:r>
          </w:p>
        </w:tc>
      </w:tr>
      <w:tr w:rsidR="003709CE" w:rsidRPr="00B96F99" w:rsidTr="003709CE">
        <w:trPr>
          <w:trHeight w:val="255"/>
        </w:trPr>
        <w:tc>
          <w:tcPr>
            <w:tcW w:w="4848" w:type="dxa"/>
            <w:tcBorders>
              <w:top w:val="nil"/>
              <w:left w:val="single" w:sz="8" w:space="0" w:color="auto"/>
              <w:bottom w:val="nil"/>
              <w:right w:val="nil"/>
            </w:tcBorders>
            <w:shd w:val="clear" w:color="auto" w:fill="auto"/>
            <w:noWrap/>
            <w:vAlign w:val="bottom"/>
            <w:hideMark/>
          </w:tcPr>
          <w:p w:rsidR="003709CE" w:rsidRPr="00B96F99" w:rsidRDefault="003709CE" w:rsidP="003709CE">
            <w:pPr>
              <w:rPr>
                <w:rFonts w:ascii="Calibri" w:eastAsia="Times New Roman" w:hAnsi="Calibri" w:cs="Calibri"/>
                <w:i/>
                <w:iCs/>
                <w:sz w:val="18"/>
                <w:szCs w:val="18"/>
                <w:lang w:eastAsia="bg-BG"/>
              </w:rPr>
            </w:pPr>
            <w:r w:rsidRPr="00B96F99">
              <w:rPr>
                <w:rFonts w:ascii="Calibri" w:eastAsia="Times New Roman" w:hAnsi="Calibri" w:cs="Calibri"/>
                <w:i/>
                <w:iCs/>
                <w:sz w:val="18"/>
                <w:szCs w:val="18"/>
                <w:lang w:eastAsia="bg-BG"/>
              </w:rPr>
              <w:t xml:space="preserve">Средносписъчен брой м.ноември </w:t>
            </w:r>
          </w:p>
        </w:tc>
        <w:tc>
          <w:tcPr>
            <w:tcW w:w="528" w:type="dxa"/>
            <w:tcBorders>
              <w:top w:val="nil"/>
              <w:left w:val="nil"/>
              <w:bottom w:val="nil"/>
              <w:right w:val="nil"/>
            </w:tcBorders>
            <w:shd w:val="clear" w:color="auto" w:fill="auto"/>
            <w:noWrap/>
            <w:vAlign w:val="bottom"/>
            <w:hideMark/>
          </w:tcPr>
          <w:p w:rsidR="003709CE" w:rsidRPr="00B96F99" w:rsidRDefault="003709CE" w:rsidP="003709CE">
            <w:pPr>
              <w:jc w:val="center"/>
              <w:rPr>
                <w:rFonts w:ascii="Calibri" w:eastAsia="Times New Roman" w:hAnsi="Calibri" w:cs="Calibri"/>
                <w:i/>
                <w:iCs/>
                <w:sz w:val="18"/>
                <w:szCs w:val="18"/>
                <w:lang w:eastAsia="bg-BG"/>
              </w:rPr>
            </w:pPr>
            <w:r w:rsidRPr="00B96F99">
              <w:rPr>
                <w:rFonts w:ascii="Calibri" w:eastAsia="Times New Roman" w:hAnsi="Calibri" w:cs="Calibri"/>
                <w:i/>
                <w:iCs/>
                <w:sz w:val="18"/>
                <w:szCs w:val="18"/>
                <w:lang w:eastAsia="bg-BG"/>
              </w:rPr>
              <w:t>бр.</w:t>
            </w:r>
          </w:p>
        </w:tc>
        <w:tc>
          <w:tcPr>
            <w:tcW w:w="796"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3 177</w:t>
            </w:r>
          </w:p>
        </w:tc>
        <w:tc>
          <w:tcPr>
            <w:tcW w:w="780"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2 906</w:t>
            </w:r>
          </w:p>
        </w:tc>
        <w:tc>
          <w:tcPr>
            <w:tcW w:w="796"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3 327</w:t>
            </w:r>
          </w:p>
        </w:tc>
        <w:tc>
          <w:tcPr>
            <w:tcW w:w="844"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-150</w:t>
            </w:r>
          </w:p>
        </w:tc>
        <w:tc>
          <w:tcPr>
            <w:tcW w:w="844" w:type="dxa"/>
            <w:tcBorders>
              <w:top w:val="nil"/>
              <w:left w:val="nil"/>
              <w:bottom w:val="nil"/>
              <w:right w:val="single" w:sz="8" w:space="0" w:color="auto"/>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271</w:t>
            </w:r>
          </w:p>
        </w:tc>
      </w:tr>
      <w:tr w:rsidR="003709CE" w:rsidRPr="00B96F99" w:rsidTr="003709CE">
        <w:trPr>
          <w:trHeight w:val="255"/>
        </w:trPr>
        <w:tc>
          <w:tcPr>
            <w:tcW w:w="4848" w:type="dxa"/>
            <w:tcBorders>
              <w:top w:val="nil"/>
              <w:left w:val="single" w:sz="8" w:space="0" w:color="auto"/>
              <w:bottom w:val="nil"/>
              <w:right w:val="nil"/>
            </w:tcBorders>
            <w:shd w:val="clear" w:color="auto" w:fill="auto"/>
            <w:noWrap/>
            <w:vAlign w:val="bottom"/>
            <w:hideMark/>
          </w:tcPr>
          <w:p w:rsidR="003709CE" w:rsidRPr="00B96F99" w:rsidRDefault="003709CE" w:rsidP="003709CE">
            <w:pP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Средна работна заплата с обезщетения</w:t>
            </w:r>
          </w:p>
        </w:tc>
        <w:tc>
          <w:tcPr>
            <w:tcW w:w="528" w:type="dxa"/>
            <w:tcBorders>
              <w:top w:val="nil"/>
              <w:left w:val="nil"/>
              <w:bottom w:val="nil"/>
              <w:right w:val="nil"/>
            </w:tcBorders>
            <w:shd w:val="clear" w:color="auto" w:fill="auto"/>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лв.</w:t>
            </w:r>
          </w:p>
        </w:tc>
        <w:tc>
          <w:tcPr>
            <w:tcW w:w="796"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1 053</w:t>
            </w:r>
          </w:p>
        </w:tc>
        <w:tc>
          <w:tcPr>
            <w:tcW w:w="780"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995</w:t>
            </w:r>
          </w:p>
        </w:tc>
        <w:tc>
          <w:tcPr>
            <w:tcW w:w="796"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915</w:t>
            </w:r>
          </w:p>
        </w:tc>
        <w:tc>
          <w:tcPr>
            <w:tcW w:w="844"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138</w:t>
            </w:r>
          </w:p>
        </w:tc>
        <w:tc>
          <w:tcPr>
            <w:tcW w:w="844" w:type="dxa"/>
            <w:tcBorders>
              <w:top w:val="nil"/>
              <w:left w:val="nil"/>
              <w:bottom w:val="nil"/>
              <w:right w:val="single" w:sz="8" w:space="0" w:color="auto"/>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58</w:t>
            </w:r>
          </w:p>
        </w:tc>
      </w:tr>
      <w:tr w:rsidR="003709CE" w:rsidRPr="00B96F99" w:rsidTr="003709CE">
        <w:trPr>
          <w:trHeight w:val="255"/>
        </w:trPr>
        <w:tc>
          <w:tcPr>
            <w:tcW w:w="4848" w:type="dxa"/>
            <w:tcBorders>
              <w:top w:val="nil"/>
              <w:left w:val="single" w:sz="8" w:space="0" w:color="auto"/>
              <w:bottom w:val="nil"/>
              <w:right w:val="nil"/>
            </w:tcBorders>
            <w:shd w:val="clear" w:color="auto" w:fill="auto"/>
            <w:noWrap/>
            <w:vAlign w:val="bottom"/>
            <w:hideMark/>
          </w:tcPr>
          <w:p w:rsidR="003709CE" w:rsidRPr="00B96F99" w:rsidRDefault="003709CE" w:rsidP="003709CE">
            <w:pP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Средна работна заплата без обезщетения</w:t>
            </w:r>
          </w:p>
        </w:tc>
        <w:tc>
          <w:tcPr>
            <w:tcW w:w="528" w:type="dxa"/>
            <w:tcBorders>
              <w:top w:val="nil"/>
              <w:left w:val="nil"/>
              <w:bottom w:val="nil"/>
              <w:right w:val="nil"/>
            </w:tcBorders>
            <w:shd w:val="clear" w:color="auto" w:fill="auto"/>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лв.</w:t>
            </w:r>
          </w:p>
        </w:tc>
        <w:tc>
          <w:tcPr>
            <w:tcW w:w="796"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1 004</w:t>
            </w:r>
          </w:p>
        </w:tc>
        <w:tc>
          <w:tcPr>
            <w:tcW w:w="780"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964</w:t>
            </w:r>
          </w:p>
        </w:tc>
        <w:tc>
          <w:tcPr>
            <w:tcW w:w="796"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877</w:t>
            </w:r>
          </w:p>
        </w:tc>
        <w:tc>
          <w:tcPr>
            <w:tcW w:w="844"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127</w:t>
            </w:r>
          </w:p>
        </w:tc>
        <w:tc>
          <w:tcPr>
            <w:tcW w:w="844" w:type="dxa"/>
            <w:tcBorders>
              <w:top w:val="nil"/>
              <w:left w:val="nil"/>
              <w:bottom w:val="nil"/>
              <w:right w:val="single" w:sz="8" w:space="0" w:color="auto"/>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40</w:t>
            </w:r>
          </w:p>
        </w:tc>
      </w:tr>
      <w:tr w:rsidR="003709CE" w:rsidRPr="00B96F99" w:rsidTr="003709CE">
        <w:trPr>
          <w:trHeight w:val="255"/>
        </w:trPr>
        <w:tc>
          <w:tcPr>
            <w:tcW w:w="4848" w:type="dxa"/>
            <w:tcBorders>
              <w:top w:val="nil"/>
              <w:left w:val="single" w:sz="8" w:space="0" w:color="auto"/>
              <w:bottom w:val="nil"/>
              <w:right w:val="nil"/>
            </w:tcBorders>
            <w:shd w:val="clear" w:color="auto" w:fill="auto"/>
            <w:noWrap/>
            <w:vAlign w:val="bottom"/>
            <w:hideMark/>
          </w:tcPr>
          <w:p w:rsidR="003709CE" w:rsidRPr="00B96F99" w:rsidRDefault="003709CE" w:rsidP="003709CE">
            <w:pP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Средства за работна заплата</w:t>
            </w:r>
          </w:p>
        </w:tc>
        <w:tc>
          <w:tcPr>
            <w:tcW w:w="528" w:type="dxa"/>
            <w:tcBorders>
              <w:top w:val="nil"/>
              <w:left w:val="nil"/>
              <w:bottom w:val="nil"/>
              <w:right w:val="nil"/>
            </w:tcBorders>
            <w:shd w:val="clear" w:color="auto" w:fill="auto"/>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хил. лв.</w:t>
            </w:r>
          </w:p>
        </w:tc>
        <w:tc>
          <w:tcPr>
            <w:tcW w:w="796"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41 124</w:t>
            </w:r>
          </w:p>
        </w:tc>
        <w:tc>
          <w:tcPr>
            <w:tcW w:w="780"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36 909</w:t>
            </w:r>
          </w:p>
        </w:tc>
        <w:tc>
          <w:tcPr>
            <w:tcW w:w="796" w:type="dxa"/>
            <w:tcBorders>
              <w:top w:val="nil"/>
              <w:left w:val="nil"/>
              <w:bottom w:val="nil"/>
              <w:right w:val="nil"/>
            </w:tcBorders>
            <w:shd w:val="clear" w:color="auto" w:fill="auto"/>
            <w:noWrap/>
            <w:vAlign w:val="bottom"/>
            <w:hideMark/>
          </w:tcPr>
          <w:p w:rsidR="003709CE" w:rsidRPr="00F74B11" w:rsidRDefault="00F74B11" w:rsidP="003709CE">
            <w:pPr>
              <w:jc w:val="right"/>
              <w:rPr>
                <w:rFonts w:ascii="Calibri" w:eastAsia="Times New Roman" w:hAnsi="Calibri" w:cs="Calibri"/>
                <w:sz w:val="18"/>
                <w:szCs w:val="18"/>
                <w:lang w:eastAsia="bg-BG"/>
              </w:rPr>
            </w:pPr>
            <w:r w:rsidRPr="00F74B11">
              <w:rPr>
                <w:rFonts w:ascii="Calibri" w:eastAsia="Times New Roman" w:hAnsi="Calibri" w:cs="Calibri"/>
                <w:sz w:val="18"/>
                <w:szCs w:val="18"/>
                <w:lang w:eastAsia="bg-BG"/>
              </w:rPr>
              <w:t>36</w:t>
            </w:r>
            <w:r>
              <w:rPr>
                <w:rFonts w:ascii="Calibri" w:eastAsia="Times New Roman" w:hAnsi="Calibri" w:cs="Calibri"/>
                <w:sz w:val="18"/>
                <w:szCs w:val="18"/>
                <w:lang w:eastAsia="bg-BG"/>
              </w:rPr>
              <w:t xml:space="preserve"> </w:t>
            </w:r>
            <w:r w:rsidRPr="00F74B11">
              <w:rPr>
                <w:rFonts w:ascii="Calibri" w:eastAsia="Times New Roman" w:hAnsi="Calibri" w:cs="Calibri"/>
                <w:sz w:val="18"/>
                <w:szCs w:val="18"/>
                <w:lang w:eastAsia="bg-BG"/>
              </w:rPr>
              <w:t>828</w:t>
            </w:r>
          </w:p>
        </w:tc>
        <w:tc>
          <w:tcPr>
            <w:tcW w:w="844" w:type="dxa"/>
            <w:tcBorders>
              <w:top w:val="nil"/>
              <w:left w:val="nil"/>
              <w:bottom w:val="nil"/>
              <w:right w:val="nil"/>
            </w:tcBorders>
            <w:shd w:val="clear" w:color="auto" w:fill="auto"/>
            <w:noWrap/>
            <w:vAlign w:val="bottom"/>
            <w:hideMark/>
          </w:tcPr>
          <w:p w:rsidR="003709CE" w:rsidRPr="00F74B11" w:rsidRDefault="00F74B11" w:rsidP="003709CE">
            <w:pPr>
              <w:jc w:val="right"/>
              <w:rPr>
                <w:rFonts w:ascii="Calibri" w:eastAsia="Times New Roman" w:hAnsi="Calibri" w:cs="Calibri"/>
                <w:sz w:val="18"/>
                <w:szCs w:val="18"/>
                <w:lang w:eastAsia="bg-BG"/>
              </w:rPr>
            </w:pPr>
            <w:r w:rsidRPr="00F74B11">
              <w:rPr>
                <w:rFonts w:ascii="Calibri" w:eastAsia="Times New Roman" w:hAnsi="Calibri" w:cs="Calibri"/>
                <w:sz w:val="18"/>
                <w:szCs w:val="18"/>
                <w:lang w:eastAsia="bg-BG"/>
              </w:rPr>
              <w:t>4</w:t>
            </w:r>
            <w:r>
              <w:rPr>
                <w:rFonts w:ascii="Calibri" w:eastAsia="Times New Roman" w:hAnsi="Calibri" w:cs="Calibri"/>
                <w:sz w:val="18"/>
                <w:szCs w:val="18"/>
                <w:lang w:eastAsia="bg-BG"/>
              </w:rPr>
              <w:t xml:space="preserve"> </w:t>
            </w:r>
            <w:r w:rsidRPr="00F74B11">
              <w:rPr>
                <w:rFonts w:ascii="Calibri" w:eastAsia="Times New Roman" w:hAnsi="Calibri" w:cs="Calibri"/>
                <w:sz w:val="18"/>
                <w:szCs w:val="18"/>
                <w:lang w:eastAsia="bg-BG"/>
              </w:rPr>
              <w:t>296</w:t>
            </w:r>
          </w:p>
        </w:tc>
        <w:tc>
          <w:tcPr>
            <w:tcW w:w="844" w:type="dxa"/>
            <w:tcBorders>
              <w:top w:val="nil"/>
              <w:left w:val="nil"/>
              <w:bottom w:val="nil"/>
              <w:right w:val="single" w:sz="8" w:space="0" w:color="auto"/>
            </w:tcBorders>
            <w:shd w:val="clear" w:color="auto" w:fill="auto"/>
            <w:noWrap/>
            <w:vAlign w:val="bottom"/>
            <w:hideMark/>
          </w:tcPr>
          <w:p w:rsidR="003709CE" w:rsidRPr="00F74B11" w:rsidRDefault="003709CE" w:rsidP="003709CE">
            <w:pPr>
              <w:jc w:val="right"/>
              <w:rPr>
                <w:rFonts w:ascii="Calibri" w:eastAsia="Times New Roman" w:hAnsi="Calibri" w:cs="Calibri"/>
                <w:sz w:val="18"/>
                <w:szCs w:val="18"/>
                <w:lang w:eastAsia="bg-BG"/>
              </w:rPr>
            </w:pPr>
            <w:r w:rsidRPr="00F74B11">
              <w:rPr>
                <w:rFonts w:ascii="Calibri" w:eastAsia="Times New Roman" w:hAnsi="Calibri" w:cs="Calibri"/>
                <w:sz w:val="18"/>
                <w:szCs w:val="18"/>
                <w:lang w:eastAsia="bg-BG"/>
              </w:rPr>
              <w:t>4 215</w:t>
            </w:r>
          </w:p>
        </w:tc>
      </w:tr>
      <w:tr w:rsidR="003709CE" w:rsidRPr="00B96F99" w:rsidTr="003709CE">
        <w:trPr>
          <w:trHeight w:val="750"/>
        </w:trPr>
        <w:tc>
          <w:tcPr>
            <w:tcW w:w="4848" w:type="dxa"/>
            <w:tcBorders>
              <w:top w:val="nil"/>
              <w:left w:val="single" w:sz="8" w:space="0" w:color="auto"/>
              <w:bottom w:val="nil"/>
              <w:right w:val="nil"/>
            </w:tcBorders>
            <w:shd w:val="clear" w:color="auto" w:fill="auto"/>
            <w:noWrap/>
            <w:vAlign w:val="bottom"/>
            <w:hideMark/>
          </w:tcPr>
          <w:p w:rsidR="003709CE" w:rsidRPr="00B96F99" w:rsidRDefault="003709CE" w:rsidP="003709CE">
            <w:pPr>
              <w:jc w:val="both"/>
              <w:rPr>
                <w:rFonts w:ascii="Calibri" w:eastAsia="Times New Roman" w:hAnsi="Calibri" w:cs="Calibri"/>
                <w:i/>
                <w:iCs/>
                <w:sz w:val="18"/>
                <w:szCs w:val="18"/>
                <w:lang w:eastAsia="bg-BG"/>
              </w:rPr>
            </w:pPr>
            <w:r w:rsidRPr="00B96F99">
              <w:rPr>
                <w:rFonts w:ascii="Calibri" w:eastAsia="Times New Roman" w:hAnsi="Calibri" w:cs="Calibri"/>
                <w:i/>
                <w:iCs/>
                <w:sz w:val="18"/>
                <w:szCs w:val="18"/>
                <w:lang w:eastAsia="bg-BG"/>
              </w:rPr>
              <w:t xml:space="preserve">Изплатени обезщетения при прекратяване на трудовото правоотношение  </w:t>
            </w:r>
          </w:p>
        </w:tc>
        <w:tc>
          <w:tcPr>
            <w:tcW w:w="528" w:type="dxa"/>
            <w:tcBorders>
              <w:top w:val="nil"/>
              <w:left w:val="nil"/>
              <w:bottom w:val="nil"/>
              <w:right w:val="nil"/>
            </w:tcBorders>
            <w:shd w:val="clear" w:color="auto" w:fill="auto"/>
            <w:noWrap/>
            <w:vAlign w:val="bottom"/>
            <w:hideMark/>
          </w:tcPr>
          <w:p w:rsidR="003709CE" w:rsidRPr="00B96F99" w:rsidRDefault="003709CE" w:rsidP="003709CE">
            <w:pPr>
              <w:jc w:val="center"/>
              <w:rPr>
                <w:rFonts w:ascii="Calibri" w:eastAsia="Times New Roman" w:hAnsi="Calibri" w:cs="Calibri"/>
                <w:i/>
                <w:iCs/>
                <w:sz w:val="18"/>
                <w:szCs w:val="18"/>
                <w:lang w:eastAsia="bg-BG"/>
              </w:rPr>
            </w:pPr>
            <w:r w:rsidRPr="00B96F99">
              <w:rPr>
                <w:rFonts w:ascii="Calibri" w:eastAsia="Times New Roman" w:hAnsi="Calibri" w:cs="Calibri"/>
                <w:i/>
                <w:iCs/>
                <w:sz w:val="18"/>
                <w:szCs w:val="18"/>
                <w:lang w:eastAsia="bg-BG"/>
              </w:rPr>
              <w:t>хил. лв.</w:t>
            </w:r>
          </w:p>
        </w:tc>
        <w:tc>
          <w:tcPr>
            <w:tcW w:w="796"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1 971</w:t>
            </w:r>
          </w:p>
        </w:tc>
        <w:tc>
          <w:tcPr>
            <w:tcW w:w="780"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1 211</w:t>
            </w:r>
          </w:p>
        </w:tc>
        <w:tc>
          <w:tcPr>
            <w:tcW w:w="796"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1 526</w:t>
            </w:r>
          </w:p>
        </w:tc>
        <w:tc>
          <w:tcPr>
            <w:tcW w:w="844" w:type="dxa"/>
            <w:tcBorders>
              <w:top w:val="nil"/>
              <w:left w:val="nil"/>
              <w:bottom w:val="nil"/>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445</w:t>
            </w:r>
          </w:p>
        </w:tc>
        <w:tc>
          <w:tcPr>
            <w:tcW w:w="844" w:type="dxa"/>
            <w:tcBorders>
              <w:top w:val="nil"/>
              <w:left w:val="nil"/>
              <w:bottom w:val="nil"/>
              <w:right w:val="single" w:sz="8" w:space="0" w:color="auto"/>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760</w:t>
            </w:r>
          </w:p>
        </w:tc>
      </w:tr>
      <w:tr w:rsidR="003709CE" w:rsidRPr="00B96F99" w:rsidTr="003709CE">
        <w:trPr>
          <w:trHeight w:val="270"/>
        </w:trPr>
        <w:tc>
          <w:tcPr>
            <w:tcW w:w="4848" w:type="dxa"/>
            <w:tcBorders>
              <w:top w:val="nil"/>
              <w:left w:val="single" w:sz="8" w:space="0" w:color="auto"/>
              <w:bottom w:val="double" w:sz="6" w:space="0" w:color="auto"/>
              <w:right w:val="nil"/>
            </w:tcBorders>
            <w:shd w:val="clear" w:color="auto" w:fill="auto"/>
            <w:noWrap/>
            <w:vAlign w:val="bottom"/>
            <w:hideMark/>
          </w:tcPr>
          <w:p w:rsidR="003709CE" w:rsidRPr="00B96F99" w:rsidRDefault="003709CE" w:rsidP="003709CE">
            <w:pP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 xml:space="preserve">Разходи за социални осигуровки </w:t>
            </w:r>
          </w:p>
        </w:tc>
        <w:tc>
          <w:tcPr>
            <w:tcW w:w="528" w:type="dxa"/>
            <w:tcBorders>
              <w:top w:val="nil"/>
              <w:left w:val="nil"/>
              <w:bottom w:val="double" w:sz="6" w:space="0" w:color="auto"/>
              <w:right w:val="nil"/>
            </w:tcBorders>
            <w:shd w:val="clear" w:color="auto" w:fill="auto"/>
            <w:noWrap/>
            <w:vAlign w:val="bottom"/>
            <w:hideMark/>
          </w:tcPr>
          <w:p w:rsidR="003709CE" w:rsidRPr="00B96F99" w:rsidRDefault="003709CE" w:rsidP="003709CE">
            <w:pPr>
              <w:jc w:val="center"/>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хил. лв</w:t>
            </w:r>
          </w:p>
        </w:tc>
        <w:tc>
          <w:tcPr>
            <w:tcW w:w="796" w:type="dxa"/>
            <w:tcBorders>
              <w:top w:val="nil"/>
              <w:left w:val="nil"/>
              <w:bottom w:val="double" w:sz="6" w:space="0" w:color="auto"/>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12 691</w:t>
            </w:r>
          </w:p>
        </w:tc>
        <w:tc>
          <w:tcPr>
            <w:tcW w:w="780" w:type="dxa"/>
            <w:tcBorders>
              <w:top w:val="nil"/>
              <w:left w:val="nil"/>
              <w:bottom w:val="double" w:sz="6" w:space="0" w:color="auto"/>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11 135</w:t>
            </w:r>
          </w:p>
        </w:tc>
        <w:tc>
          <w:tcPr>
            <w:tcW w:w="796" w:type="dxa"/>
            <w:tcBorders>
              <w:top w:val="nil"/>
              <w:left w:val="nil"/>
              <w:bottom w:val="double" w:sz="6" w:space="0" w:color="auto"/>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11 698</w:t>
            </w:r>
          </w:p>
        </w:tc>
        <w:tc>
          <w:tcPr>
            <w:tcW w:w="844" w:type="dxa"/>
            <w:tcBorders>
              <w:top w:val="nil"/>
              <w:left w:val="nil"/>
              <w:bottom w:val="double" w:sz="6" w:space="0" w:color="auto"/>
              <w:right w:val="nil"/>
            </w:tcBorders>
            <w:shd w:val="clear" w:color="auto" w:fill="auto"/>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993</w:t>
            </w:r>
          </w:p>
        </w:tc>
        <w:tc>
          <w:tcPr>
            <w:tcW w:w="844" w:type="dxa"/>
            <w:tcBorders>
              <w:top w:val="nil"/>
              <w:left w:val="nil"/>
              <w:bottom w:val="double" w:sz="6" w:space="0" w:color="auto"/>
              <w:right w:val="single" w:sz="8" w:space="0" w:color="auto"/>
            </w:tcBorders>
            <w:shd w:val="clear" w:color="000000" w:fill="FFFFFF"/>
            <w:noWrap/>
            <w:vAlign w:val="bottom"/>
            <w:hideMark/>
          </w:tcPr>
          <w:p w:rsidR="003709CE" w:rsidRPr="00B96F99" w:rsidRDefault="003709CE" w:rsidP="003709CE">
            <w:pPr>
              <w:jc w:val="right"/>
              <w:rPr>
                <w:rFonts w:ascii="Calibri" w:eastAsia="Times New Roman" w:hAnsi="Calibri" w:cs="Calibri"/>
                <w:sz w:val="18"/>
                <w:szCs w:val="18"/>
                <w:lang w:eastAsia="bg-BG"/>
              </w:rPr>
            </w:pPr>
            <w:r w:rsidRPr="00B96F99">
              <w:rPr>
                <w:rFonts w:ascii="Calibri" w:eastAsia="Times New Roman" w:hAnsi="Calibri" w:cs="Calibri"/>
                <w:sz w:val="18"/>
                <w:szCs w:val="18"/>
                <w:lang w:eastAsia="bg-BG"/>
              </w:rPr>
              <w:t>1 556</w:t>
            </w:r>
          </w:p>
        </w:tc>
      </w:tr>
    </w:tbl>
    <w:p w:rsidR="003709CE" w:rsidRPr="00DE788B" w:rsidRDefault="003709CE" w:rsidP="003709CE">
      <w:pPr>
        <w:jc w:val="both"/>
      </w:pPr>
    </w:p>
    <w:p w:rsidR="003709CE" w:rsidRPr="0097517B" w:rsidRDefault="003709CE" w:rsidP="003709CE">
      <w:pPr>
        <w:jc w:val="both"/>
        <w:rPr>
          <w:i/>
        </w:rPr>
      </w:pPr>
      <w:r w:rsidRPr="0097517B">
        <w:t>От началото на годината до 3</w:t>
      </w:r>
      <w:r>
        <w:rPr>
          <w:lang w:val="en-US"/>
        </w:rPr>
        <w:t>1</w:t>
      </w:r>
      <w:r w:rsidRPr="0097517B">
        <w:t xml:space="preserve"> </w:t>
      </w:r>
      <w:r>
        <w:t>дек</w:t>
      </w:r>
      <w:r w:rsidRPr="0097517B">
        <w:t>ември 2017 г. са освободени 87</w:t>
      </w:r>
      <w:r>
        <w:t>0</w:t>
      </w:r>
      <w:r w:rsidRPr="0097517B">
        <w:t xml:space="preserve"> служители и са назначени 6</w:t>
      </w:r>
      <w:r>
        <w:t>94</w:t>
      </w:r>
      <w:r w:rsidRPr="0097517B">
        <w:t xml:space="preserve"> броя, като 358 броя охранители са назначени от м. януари 2017 г. Средно на един човек от освободения персонал се падат 2 2</w:t>
      </w:r>
      <w:r>
        <w:t>6</w:t>
      </w:r>
      <w:r>
        <w:rPr>
          <w:lang w:val="en-US"/>
        </w:rPr>
        <w:t>5</w:t>
      </w:r>
      <w:r w:rsidRPr="0097517B">
        <w:t>,</w:t>
      </w:r>
      <w:r>
        <w:t>4</w:t>
      </w:r>
      <w:r>
        <w:rPr>
          <w:lang w:val="en-US"/>
        </w:rPr>
        <w:t>2</w:t>
      </w:r>
      <w:r w:rsidRPr="0097517B">
        <w:t xml:space="preserve"> лева обезщетение. За 1</w:t>
      </w:r>
      <w:r>
        <w:t>2</w:t>
      </w:r>
      <w:r w:rsidRPr="0097517B">
        <w:t>-те месеца на 2017 г. са начислени обезщетения в размер на 1 </w:t>
      </w:r>
      <w:r>
        <w:rPr>
          <w:lang w:val="en-US"/>
        </w:rPr>
        <w:t>971</w:t>
      </w:r>
      <w:r w:rsidRPr="0097517B">
        <w:t xml:space="preserve"> хил. лева, в т.ч. </w:t>
      </w:r>
      <w:r w:rsidRPr="0097517B">
        <w:rPr>
          <w:i/>
        </w:rPr>
        <w:t xml:space="preserve">(чл. 220 от КТ, чл. 222 от КТ, чл. 331 от КТ, чл. 224 от КТ).  </w:t>
      </w:r>
    </w:p>
    <w:p w:rsidR="003709CE" w:rsidRPr="0097517B" w:rsidRDefault="003709CE" w:rsidP="003709CE">
      <w:pPr>
        <w:jc w:val="both"/>
      </w:pPr>
      <w:r w:rsidRPr="0097517B">
        <w:t xml:space="preserve">Отчетите по труда показват, че съставът на средствата за възнаграждения е както следва: </w:t>
      </w:r>
    </w:p>
    <w:p w:rsidR="003709CE" w:rsidRPr="0097517B" w:rsidRDefault="003709CE" w:rsidP="003709CE">
      <w:pPr>
        <w:numPr>
          <w:ilvl w:val="0"/>
          <w:numId w:val="15"/>
        </w:numPr>
        <w:ind w:left="714" w:hanging="357"/>
        <w:jc w:val="both"/>
      </w:pPr>
      <w:r w:rsidRPr="0097517B">
        <w:t>разходите за основна заплата представляват 5</w:t>
      </w:r>
      <w:r>
        <w:rPr>
          <w:lang w:val="en-US"/>
        </w:rPr>
        <w:t>7</w:t>
      </w:r>
      <w:r w:rsidRPr="0097517B">
        <w:t>% от брутната заплата и за нея са начислени 2</w:t>
      </w:r>
      <w:r>
        <w:rPr>
          <w:lang w:val="en-US"/>
        </w:rPr>
        <w:t>3</w:t>
      </w:r>
      <w:r w:rsidRPr="0097517B">
        <w:t xml:space="preserve"> </w:t>
      </w:r>
      <w:r>
        <w:rPr>
          <w:lang w:val="en-US"/>
        </w:rPr>
        <w:t>4</w:t>
      </w:r>
      <w:r w:rsidRPr="0097517B">
        <w:t>2</w:t>
      </w:r>
      <w:r>
        <w:rPr>
          <w:lang w:val="en-US"/>
        </w:rPr>
        <w:t>4</w:t>
      </w:r>
      <w:r w:rsidRPr="0097517B">
        <w:t xml:space="preserve">  хил. лева;</w:t>
      </w:r>
    </w:p>
    <w:p w:rsidR="003709CE" w:rsidRPr="0097517B" w:rsidRDefault="003709CE" w:rsidP="003709CE">
      <w:pPr>
        <w:numPr>
          <w:ilvl w:val="0"/>
          <w:numId w:val="15"/>
        </w:numPr>
        <w:ind w:left="714" w:hanging="357"/>
        <w:jc w:val="both"/>
      </w:pPr>
      <w:r w:rsidRPr="0097517B">
        <w:t>за продължителна работа са начислени 5 </w:t>
      </w:r>
      <w:r>
        <w:rPr>
          <w:lang w:val="en-US"/>
        </w:rPr>
        <w:t>973</w:t>
      </w:r>
      <w:r w:rsidRPr="0097517B">
        <w:t> хил. лева или това е 1</w:t>
      </w:r>
      <w:r>
        <w:rPr>
          <w:lang w:val="en-US"/>
        </w:rPr>
        <w:t>4</w:t>
      </w:r>
      <w:r w:rsidRPr="0097517B">
        <w:t>,</w:t>
      </w:r>
      <w:r>
        <w:rPr>
          <w:lang w:val="en-US"/>
        </w:rPr>
        <w:t>5</w:t>
      </w:r>
      <w:r w:rsidRPr="0097517B">
        <w:t>% от разходите за възнаграждения;</w:t>
      </w:r>
    </w:p>
    <w:p w:rsidR="003709CE" w:rsidRPr="0097517B" w:rsidRDefault="003709CE" w:rsidP="003709CE">
      <w:pPr>
        <w:numPr>
          <w:ilvl w:val="0"/>
          <w:numId w:val="15"/>
        </w:numPr>
        <w:ind w:left="714" w:hanging="357"/>
        <w:jc w:val="both"/>
      </w:pPr>
      <w:r w:rsidRPr="0097517B">
        <w:t xml:space="preserve">за нощен труд са начислени 1 </w:t>
      </w:r>
      <w:r>
        <w:rPr>
          <w:lang w:val="en-US"/>
        </w:rPr>
        <w:t>642</w:t>
      </w:r>
      <w:r w:rsidRPr="0097517B">
        <w:t xml:space="preserve">  хил. лева или 4%;</w:t>
      </w:r>
    </w:p>
    <w:p w:rsidR="003709CE" w:rsidRPr="0097517B" w:rsidRDefault="003709CE" w:rsidP="003709CE">
      <w:pPr>
        <w:numPr>
          <w:ilvl w:val="0"/>
          <w:numId w:val="15"/>
        </w:numPr>
        <w:ind w:left="714" w:hanging="357"/>
        <w:jc w:val="both"/>
      </w:pPr>
      <w:r w:rsidRPr="0097517B">
        <w:t>за домашен отпуск 3 </w:t>
      </w:r>
      <w:r>
        <w:rPr>
          <w:lang w:val="en-US"/>
        </w:rPr>
        <w:t>708</w:t>
      </w:r>
      <w:r w:rsidRPr="0097517B">
        <w:t> </w:t>
      </w:r>
      <w:r>
        <w:t>хил. лева, което представлява 9</w:t>
      </w:r>
      <w:r w:rsidRPr="0097517B">
        <w:t>% от разходите за работни заплати. Тези средства са увеличени спрямо същия период на предходната година с</w:t>
      </w:r>
      <w:r w:rsidRPr="0097517B">
        <w:br/>
      </w:r>
      <w:r>
        <w:rPr>
          <w:lang w:val="en-US"/>
        </w:rPr>
        <w:t>41</w:t>
      </w:r>
      <w:r w:rsidRPr="0097517B">
        <w:t xml:space="preserve"> хил. лева.</w:t>
      </w:r>
    </w:p>
    <w:p w:rsidR="00B9367B" w:rsidRPr="00353032" w:rsidRDefault="00B9367B" w:rsidP="00B9367B">
      <w:pPr>
        <w:jc w:val="both"/>
        <w:rPr>
          <w:highlight w:val="yellow"/>
        </w:rPr>
      </w:pPr>
    </w:p>
    <w:p w:rsidR="009C4DAD" w:rsidRPr="00336E9E" w:rsidRDefault="009C4DAD" w:rsidP="008D21DC">
      <w:pPr>
        <w:numPr>
          <w:ilvl w:val="1"/>
          <w:numId w:val="3"/>
        </w:numPr>
        <w:tabs>
          <w:tab w:val="clear" w:pos="1440"/>
          <w:tab w:val="num" w:pos="0"/>
        </w:tabs>
        <w:spacing w:after="120"/>
        <w:ind w:left="0" w:firstLine="567"/>
        <w:jc w:val="both"/>
      </w:pPr>
      <w:r w:rsidRPr="00336E9E">
        <w:rPr>
          <w:b/>
        </w:rPr>
        <w:t>Разходите за материали</w:t>
      </w:r>
      <w:r w:rsidRPr="00336E9E">
        <w:t xml:space="preserve"> в т.ч: материали, вода, горива, ел.енергия и топлоенергия, представляват 2</w:t>
      </w:r>
      <w:r w:rsidR="0098213A" w:rsidRPr="00336E9E">
        <w:t>4</w:t>
      </w:r>
      <w:r w:rsidRPr="00336E9E">
        <w:t>% от общите разходи за дейността за 2017 г</w:t>
      </w:r>
      <w:r w:rsidR="00291889" w:rsidRPr="00336E9E">
        <w:t>.</w:t>
      </w:r>
      <w:r w:rsidRPr="00336E9E">
        <w:t xml:space="preserve"> </w:t>
      </w:r>
      <w:r w:rsidR="0098213A" w:rsidRPr="00336E9E">
        <w:t xml:space="preserve">и </w:t>
      </w:r>
      <w:r w:rsidRPr="00336E9E">
        <w:t xml:space="preserve">са в размер на </w:t>
      </w:r>
      <w:r w:rsidR="0098213A" w:rsidRPr="00336E9E">
        <w:t>2</w:t>
      </w:r>
      <w:r w:rsidR="00336E9E" w:rsidRPr="00336E9E">
        <w:t>7</w:t>
      </w:r>
      <w:r w:rsidR="0098213A" w:rsidRPr="00336E9E">
        <w:t xml:space="preserve"> </w:t>
      </w:r>
      <w:r w:rsidR="00336E9E" w:rsidRPr="00336E9E">
        <w:t>561</w:t>
      </w:r>
      <w:r w:rsidRPr="00336E9E">
        <w:t xml:space="preserve"> хил. лева увеличени с </w:t>
      </w:r>
      <w:r w:rsidR="0098213A" w:rsidRPr="00336E9E">
        <w:t xml:space="preserve">1 </w:t>
      </w:r>
      <w:r w:rsidR="00336E9E" w:rsidRPr="00336E9E">
        <w:t>385</w:t>
      </w:r>
      <w:r w:rsidRPr="00336E9E">
        <w:t xml:space="preserve"> хил. лева спрямо </w:t>
      </w:r>
      <w:r w:rsidR="00336E9E" w:rsidRPr="00336E9E">
        <w:t xml:space="preserve">предходната </w:t>
      </w:r>
      <w:r w:rsidRPr="00336E9E">
        <w:t>2016 г.</w:t>
      </w:r>
    </w:p>
    <w:p w:rsidR="00F873E0" w:rsidRPr="00D54103" w:rsidRDefault="00F873E0" w:rsidP="00F873E0">
      <w:pPr>
        <w:spacing w:after="120"/>
        <w:ind w:firstLine="567"/>
        <w:jc w:val="both"/>
      </w:pPr>
      <w:r w:rsidRPr="00D54103">
        <w:t xml:space="preserve">2.1. </w:t>
      </w:r>
      <w:r w:rsidRPr="00D54103">
        <w:rPr>
          <w:b/>
        </w:rPr>
        <w:t>Горива</w:t>
      </w:r>
      <w:r w:rsidRPr="00D54103">
        <w:t xml:space="preserve"> – отчетени са </w:t>
      </w:r>
      <w:r w:rsidRPr="00D54103">
        <w:rPr>
          <w:lang w:val="en-US"/>
        </w:rPr>
        <w:t>6 510</w:t>
      </w:r>
      <w:r w:rsidRPr="00D54103">
        <w:t xml:space="preserve"> хил. лева, което представлява </w:t>
      </w:r>
      <w:r w:rsidRPr="00F91BD3">
        <w:rPr>
          <w:color w:val="000000"/>
        </w:rPr>
        <w:t>6,0%</w:t>
      </w:r>
      <w:r w:rsidRPr="00D54103">
        <w:t xml:space="preserve"> от разходите по икономически елементи за основна дейност. Спрямо същия период на 2016 г. разходите за горива са намалени с </w:t>
      </w:r>
      <w:r w:rsidRPr="00D54103">
        <w:rPr>
          <w:lang w:val="en-US"/>
        </w:rPr>
        <w:t>90</w:t>
      </w:r>
      <w:r w:rsidR="00AB4D6F">
        <w:rPr>
          <w:lang w:val="en-US"/>
        </w:rPr>
        <w:t>8</w:t>
      </w:r>
      <w:r w:rsidRPr="00D54103">
        <w:t xml:space="preserve"> хил. лева или 1</w:t>
      </w:r>
      <w:r w:rsidRPr="00D54103">
        <w:rPr>
          <w:lang w:val="en-US"/>
        </w:rPr>
        <w:t>2</w:t>
      </w:r>
      <w:r w:rsidRPr="00D54103">
        <w:t xml:space="preserve">%, основно от влязъл в експлоатация участък, който се обслужва от началото на тази година с електрическа тяга. </w:t>
      </w:r>
    </w:p>
    <w:p w:rsidR="00F873E0" w:rsidRPr="00D54103" w:rsidRDefault="00F873E0" w:rsidP="00F873E0">
      <w:pPr>
        <w:pStyle w:val="ListParagraph"/>
        <w:spacing w:after="120" w:line="240" w:lineRule="auto"/>
        <w:ind w:left="0"/>
        <w:jc w:val="both"/>
        <w:rPr>
          <w:rFonts w:ascii="Times New Roman" w:hAnsi="Times New Roman"/>
          <w:sz w:val="24"/>
          <w:szCs w:val="24"/>
        </w:rPr>
      </w:pPr>
      <w:r w:rsidRPr="00D54103">
        <w:rPr>
          <w:rFonts w:ascii="Times New Roman" w:hAnsi="Times New Roman"/>
          <w:sz w:val="24"/>
          <w:szCs w:val="24"/>
        </w:rPr>
        <w:t xml:space="preserve">Намалени са разходите за гориво за трафични нужди с </w:t>
      </w:r>
      <w:r w:rsidRPr="00D54103">
        <w:rPr>
          <w:rFonts w:ascii="Times New Roman" w:hAnsi="Times New Roman"/>
          <w:sz w:val="24"/>
          <w:szCs w:val="24"/>
          <w:lang w:val="en-US"/>
        </w:rPr>
        <w:t>1 014</w:t>
      </w:r>
      <w:r w:rsidRPr="00D54103">
        <w:rPr>
          <w:rFonts w:ascii="Times New Roman" w:hAnsi="Times New Roman"/>
          <w:sz w:val="24"/>
          <w:szCs w:val="24"/>
        </w:rPr>
        <w:t xml:space="preserve"> хил. лева или 15%, спрямо съпоставимия период на предходната година. Дължи се на намалението на бруто тонкилометровата работа с дизелова тяга с 4</w:t>
      </w:r>
      <w:r w:rsidRPr="00D54103">
        <w:rPr>
          <w:rFonts w:ascii="Times New Roman" w:hAnsi="Times New Roman"/>
          <w:sz w:val="24"/>
          <w:szCs w:val="24"/>
          <w:lang w:val="en-US"/>
        </w:rPr>
        <w:t>9</w:t>
      </w:r>
      <w:r w:rsidRPr="00D54103">
        <w:rPr>
          <w:rFonts w:ascii="Times New Roman" w:hAnsi="Times New Roman"/>
          <w:sz w:val="24"/>
          <w:szCs w:val="24"/>
        </w:rPr>
        <w:t>%.</w:t>
      </w:r>
    </w:p>
    <w:p w:rsidR="00F873E0" w:rsidRPr="00D54103" w:rsidRDefault="00F873E0" w:rsidP="00F873E0">
      <w:pPr>
        <w:spacing w:after="120"/>
        <w:jc w:val="both"/>
        <w:rPr>
          <w:lang w:val="en-US"/>
        </w:rPr>
      </w:pPr>
      <w:r w:rsidRPr="00D54103">
        <w:t xml:space="preserve">Наблюдава се увеличение на разходите за гориво от </w:t>
      </w:r>
      <w:r w:rsidRPr="00D54103">
        <w:rPr>
          <w:b/>
        </w:rPr>
        <w:t>локомотиви, давани под наем</w:t>
      </w:r>
      <w:r w:rsidRPr="00D54103">
        <w:t xml:space="preserve"> със </w:t>
      </w:r>
      <w:r w:rsidRPr="00D54103">
        <w:rPr>
          <w:lang w:val="en-US"/>
        </w:rPr>
        <w:t>115</w:t>
      </w:r>
      <w:r w:rsidRPr="00D54103">
        <w:t xml:space="preserve"> хил. лева или </w:t>
      </w:r>
      <w:r w:rsidRPr="00D54103">
        <w:rPr>
          <w:lang w:val="en-US"/>
        </w:rPr>
        <w:t>46</w:t>
      </w:r>
      <w:r w:rsidRPr="00D54103">
        <w:t xml:space="preserve">%, спрямо съответния период на 2016 г. Причина за увеличението, е предоставянето на локомотиви под наем на „ТБД – Товарни превози” ЕАД (ежедневно, от серии 06 и 55). През м. януари 2017 г., локомотив под наем от серия 07 е ползван и от НК „ЖИ” за освобождаване на междугарията Добрич север – Кардам и Самуил – Силистра от снежни преспи. </w:t>
      </w:r>
    </w:p>
    <w:p w:rsidR="00F873E0" w:rsidRPr="00D54103" w:rsidRDefault="00F873E0" w:rsidP="00F873E0">
      <w:pPr>
        <w:spacing w:after="120"/>
        <w:jc w:val="both"/>
        <w:rPr>
          <w:lang w:val="en-US"/>
        </w:rPr>
      </w:pPr>
      <w:r w:rsidRPr="00D54103">
        <w:t xml:space="preserve">Спрямо плана разходите за горива са намалени с 1 </w:t>
      </w:r>
      <w:r w:rsidRPr="00D54103">
        <w:rPr>
          <w:lang w:val="en-US"/>
        </w:rPr>
        <w:t>357</w:t>
      </w:r>
      <w:r w:rsidRPr="00D54103">
        <w:t xml:space="preserve"> хил. лева.</w:t>
      </w:r>
    </w:p>
    <w:tbl>
      <w:tblPr>
        <w:tblW w:w="5000" w:type="pct"/>
        <w:tblCellMar>
          <w:left w:w="70" w:type="dxa"/>
          <w:right w:w="70" w:type="dxa"/>
        </w:tblCellMar>
        <w:tblLook w:val="04A0" w:firstRow="1" w:lastRow="0" w:firstColumn="1" w:lastColumn="0" w:noHBand="0" w:noVBand="1"/>
      </w:tblPr>
      <w:tblGrid>
        <w:gridCol w:w="238"/>
        <w:gridCol w:w="2424"/>
        <w:gridCol w:w="1195"/>
        <w:gridCol w:w="1259"/>
        <w:gridCol w:w="1259"/>
        <w:gridCol w:w="1349"/>
        <w:gridCol w:w="1131"/>
        <w:gridCol w:w="1131"/>
      </w:tblGrid>
      <w:tr w:rsidR="00F873E0" w:rsidRPr="00656702" w:rsidTr="0044272C">
        <w:trPr>
          <w:trHeight w:val="240"/>
        </w:trPr>
        <w:tc>
          <w:tcPr>
            <w:tcW w:w="1344" w:type="pct"/>
            <w:gridSpan w:val="2"/>
            <w:vMerge w:val="restart"/>
            <w:tcBorders>
              <w:top w:val="single" w:sz="4" w:space="0" w:color="auto"/>
              <w:left w:val="single" w:sz="4" w:space="0" w:color="auto"/>
              <w:bottom w:val="single" w:sz="4" w:space="0" w:color="000000"/>
              <w:right w:val="single" w:sz="4" w:space="0" w:color="000000"/>
            </w:tcBorders>
            <w:shd w:val="clear" w:color="auto" w:fill="auto"/>
            <w:noWrap/>
            <w:vAlign w:val="center"/>
            <w:hideMark/>
          </w:tcPr>
          <w:p w:rsidR="00F873E0" w:rsidRPr="00656702" w:rsidRDefault="00F873E0" w:rsidP="0044272C">
            <w:pPr>
              <w:jc w:val="cente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П О К А З А Т Е Л И</w:t>
            </w:r>
          </w:p>
        </w:tc>
        <w:tc>
          <w:tcPr>
            <w:tcW w:w="604" w:type="pct"/>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F873E0" w:rsidRPr="00656702" w:rsidRDefault="00F873E0" w:rsidP="0044272C">
            <w:pPr>
              <w:jc w:val="cente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Мярка</w:t>
            </w:r>
          </w:p>
        </w:tc>
        <w:tc>
          <w:tcPr>
            <w:tcW w:w="636" w:type="pct"/>
            <w:tcBorders>
              <w:top w:val="single" w:sz="4" w:space="0" w:color="auto"/>
              <w:left w:val="nil"/>
              <w:bottom w:val="nil"/>
              <w:right w:val="single" w:sz="4" w:space="0" w:color="auto"/>
            </w:tcBorders>
            <w:shd w:val="clear" w:color="auto" w:fill="auto"/>
            <w:noWrap/>
            <w:vAlign w:val="bottom"/>
            <w:hideMark/>
          </w:tcPr>
          <w:p w:rsidR="00F873E0" w:rsidRPr="00656702" w:rsidRDefault="00F873E0" w:rsidP="0044272C">
            <w:pPr>
              <w:jc w:val="center"/>
              <w:rPr>
                <w:rFonts w:ascii="Calibri" w:eastAsia="Times New Roman" w:hAnsi="Calibri" w:cs="Calibri"/>
                <w:b/>
                <w:bCs/>
                <w:sz w:val="17"/>
                <w:szCs w:val="17"/>
                <w:lang w:eastAsia="bg-BG"/>
              </w:rPr>
            </w:pPr>
            <w:r w:rsidRPr="00656702">
              <w:rPr>
                <w:rFonts w:ascii="Calibri" w:eastAsia="Times New Roman" w:hAnsi="Calibri" w:cs="Calibri"/>
                <w:b/>
                <w:bCs/>
                <w:sz w:val="17"/>
                <w:szCs w:val="17"/>
                <w:lang w:eastAsia="bg-BG"/>
              </w:rPr>
              <w:t>Отчет</w:t>
            </w:r>
          </w:p>
        </w:tc>
        <w:tc>
          <w:tcPr>
            <w:tcW w:w="636" w:type="pct"/>
            <w:tcBorders>
              <w:top w:val="single" w:sz="4" w:space="0" w:color="auto"/>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b/>
                <w:bCs/>
                <w:sz w:val="17"/>
                <w:szCs w:val="17"/>
                <w:lang w:eastAsia="bg-BG"/>
              </w:rPr>
            </w:pPr>
            <w:r w:rsidRPr="00656702">
              <w:rPr>
                <w:rFonts w:ascii="Calibri" w:eastAsia="Times New Roman" w:hAnsi="Calibri" w:cs="Calibri"/>
                <w:b/>
                <w:bCs/>
                <w:sz w:val="17"/>
                <w:szCs w:val="17"/>
                <w:lang w:eastAsia="bg-BG"/>
              </w:rPr>
              <w:t>План</w:t>
            </w:r>
          </w:p>
        </w:tc>
        <w:tc>
          <w:tcPr>
            <w:tcW w:w="636" w:type="pct"/>
            <w:tcBorders>
              <w:top w:val="single" w:sz="4" w:space="0" w:color="auto"/>
              <w:left w:val="single" w:sz="4" w:space="0" w:color="auto"/>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b/>
                <w:bCs/>
                <w:sz w:val="17"/>
                <w:szCs w:val="17"/>
                <w:lang w:eastAsia="bg-BG"/>
              </w:rPr>
            </w:pPr>
            <w:r w:rsidRPr="00656702">
              <w:rPr>
                <w:rFonts w:ascii="Calibri" w:eastAsia="Times New Roman" w:hAnsi="Calibri" w:cs="Calibri"/>
                <w:b/>
                <w:bCs/>
                <w:sz w:val="17"/>
                <w:szCs w:val="17"/>
                <w:lang w:eastAsia="bg-BG"/>
              </w:rPr>
              <w:t>Отчет</w:t>
            </w:r>
          </w:p>
        </w:tc>
        <w:tc>
          <w:tcPr>
            <w:tcW w:w="1143" w:type="pct"/>
            <w:gridSpan w:val="2"/>
            <w:tcBorders>
              <w:top w:val="single" w:sz="4" w:space="0" w:color="auto"/>
              <w:left w:val="single" w:sz="4" w:space="0" w:color="auto"/>
              <w:bottom w:val="single" w:sz="4" w:space="0" w:color="auto"/>
              <w:right w:val="single" w:sz="4" w:space="0" w:color="000000"/>
            </w:tcBorders>
            <w:shd w:val="clear" w:color="auto" w:fill="auto"/>
            <w:noWrap/>
            <w:vAlign w:val="bottom"/>
            <w:hideMark/>
          </w:tcPr>
          <w:p w:rsidR="00F873E0" w:rsidRPr="00656702" w:rsidRDefault="00F873E0" w:rsidP="0044272C">
            <w:pPr>
              <w:jc w:val="center"/>
              <w:rPr>
                <w:rFonts w:ascii="Calibri" w:eastAsia="Times New Roman" w:hAnsi="Calibri" w:cs="Calibri"/>
                <w:b/>
                <w:bCs/>
                <w:sz w:val="17"/>
                <w:szCs w:val="17"/>
                <w:lang w:eastAsia="bg-BG"/>
              </w:rPr>
            </w:pPr>
            <w:r w:rsidRPr="00656702">
              <w:rPr>
                <w:rFonts w:ascii="Calibri" w:eastAsia="Times New Roman" w:hAnsi="Calibri" w:cs="Calibri"/>
                <w:b/>
                <w:bCs/>
                <w:sz w:val="17"/>
                <w:szCs w:val="17"/>
                <w:lang w:eastAsia="bg-BG"/>
              </w:rPr>
              <w:t>+ -</w:t>
            </w:r>
          </w:p>
        </w:tc>
      </w:tr>
      <w:tr w:rsidR="00F873E0" w:rsidRPr="00656702" w:rsidTr="0044272C">
        <w:trPr>
          <w:trHeight w:val="240"/>
        </w:trPr>
        <w:tc>
          <w:tcPr>
            <w:tcW w:w="1344" w:type="pct"/>
            <w:gridSpan w:val="2"/>
            <w:vMerge/>
            <w:tcBorders>
              <w:top w:val="single" w:sz="4" w:space="0" w:color="auto"/>
              <w:left w:val="single" w:sz="4" w:space="0" w:color="auto"/>
              <w:bottom w:val="single" w:sz="4" w:space="0" w:color="000000"/>
              <w:right w:val="single" w:sz="4" w:space="0" w:color="000000"/>
            </w:tcBorders>
            <w:vAlign w:val="center"/>
            <w:hideMark/>
          </w:tcPr>
          <w:p w:rsidR="00F873E0" w:rsidRPr="00656702" w:rsidRDefault="00F873E0" w:rsidP="0044272C">
            <w:pPr>
              <w:rPr>
                <w:rFonts w:ascii="Calibri" w:eastAsia="Times New Roman" w:hAnsi="Calibri" w:cs="Calibri"/>
                <w:b/>
                <w:bCs/>
                <w:sz w:val="18"/>
                <w:szCs w:val="18"/>
                <w:lang w:eastAsia="bg-BG"/>
              </w:rPr>
            </w:pPr>
          </w:p>
        </w:tc>
        <w:tc>
          <w:tcPr>
            <w:tcW w:w="604" w:type="pct"/>
            <w:vMerge/>
            <w:tcBorders>
              <w:top w:val="single" w:sz="4" w:space="0" w:color="auto"/>
              <w:left w:val="single" w:sz="4" w:space="0" w:color="auto"/>
              <w:bottom w:val="single" w:sz="4" w:space="0" w:color="000000"/>
              <w:right w:val="single" w:sz="4" w:space="0" w:color="auto"/>
            </w:tcBorders>
            <w:vAlign w:val="center"/>
            <w:hideMark/>
          </w:tcPr>
          <w:p w:rsidR="00F873E0" w:rsidRPr="00656702" w:rsidRDefault="00F873E0" w:rsidP="0044272C">
            <w:pPr>
              <w:rPr>
                <w:rFonts w:ascii="Calibri" w:eastAsia="Times New Roman" w:hAnsi="Calibri" w:cs="Calibri"/>
                <w:b/>
                <w:bCs/>
                <w:sz w:val="18"/>
                <w:szCs w:val="18"/>
                <w:lang w:eastAsia="bg-BG"/>
              </w:rPr>
            </w:pP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center"/>
              <w:rPr>
                <w:rFonts w:ascii="Calibri" w:eastAsia="Times New Roman" w:hAnsi="Calibri" w:cs="Calibri"/>
                <w:b/>
                <w:bCs/>
                <w:sz w:val="17"/>
                <w:szCs w:val="17"/>
                <w:lang w:eastAsia="bg-BG"/>
              </w:rPr>
            </w:pPr>
            <w:r w:rsidRPr="00656702">
              <w:rPr>
                <w:rFonts w:ascii="Calibri" w:eastAsia="Times New Roman" w:hAnsi="Calibri" w:cs="Calibri"/>
                <w:b/>
                <w:bCs/>
                <w:sz w:val="17"/>
                <w:szCs w:val="17"/>
                <w:lang w:eastAsia="bg-BG"/>
              </w:rPr>
              <w:t xml:space="preserve">12-те мес. </w:t>
            </w:r>
          </w:p>
        </w:tc>
        <w:tc>
          <w:tcPr>
            <w:tcW w:w="636"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b/>
                <w:bCs/>
                <w:sz w:val="17"/>
                <w:szCs w:val="17"/>
                <w:lang w:eastAsia="bg-BG"/>
              </w:rPr>
            </w:pPr>
            <w:r w:rsidRPr="00656702">
              <w:rPr>
                <w:rFonts w:ascii="Calibri" w:eastAsia="Times New Roman" w:hAnsi="Calibri" w:cs="Calibri"/>
                <w:b/>
                <w:bCs/>
                <w:sz w:val="17"/>
                <w:szCs w:val="17"/>
                <w:lang w:eastAsia="bg-BG"/>
              </w:rPr>
              <w:t xml:space="preserve">12-те мес. </w:t>
            </w:r>
          </w:p>
        </w:tc>
        <w:tc>
          <w:tcPr>
            <w:tcW w:w="636" w:type="pct"/>
            <w:tcBorders>
              <w:top w:val="nil"/>
              <w:left w:val="single" w:sz="4" w:space="0" w:color="auto"/>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b/>
                <w:bCs/>
                <w:sz w:val="17"/>
                <w:szCs w:val="17"/>
                <w:lang w:eastAsia="bg-BG"/>
              </w:rPr>
            </w:pPr>
            <w:r w:rsidRPr="00656702">
              <w:rPr>
                <w:rFonts w:ascii="Calibri" w:eastAsia="Times New Roman" w:hAnsi="Calibri" w:cs="Calibri"/>
                <w:b/>
                <w:bCs/>
                <w:sz w:val="17"/>
                <w:szCs w:val="17"/>
                <w:lang w:eastAsia="bg-BG"/>
              </w:rPr>
              <w:t xml:space="preserve">12-те мес. </w:t>
            </w:r>
          </w:p>
        </w:tc>
        <w:tc>
          <w:tcPr>
            <w:tcW w:w="572"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F873E0" w:rsidRPr="00656702" w:rsidRDefault="00F873E0" w:rsidP="0044272C">
            <w:pPr>
              <w:jc w:val="center"/>
              <w:rPr>
                <w:rFonts w:ascii="Calibri" w:eastAsia="Times New Roman" w:hAnsi="Calibri" w:cs="Calibri"/>
                <w:b/>
                <w:bCs/>
                <w:sz w:val="17"/>
                <w:szCs w:val="17"/>
                <w:lang w:eastAsia="bg-BG"/>
              </w:rPr>
            </w:pPr>
            <w:r w:rsidRPr="00656702">
              <w:rPr>
                <w:rFonts w:ascii="Calibri" w:eastAsia="Times New Roman" w:hAnsi="Calibri" w:cs="Calibri"/>
                <w:b/>
                <w:bCs/>
                <w:sz w:val="17"/>
                <w:szCs w:val="17"/>
                <w:lang w:eastAsia="bg-BG"/>
              </w:rPr>
              <w:t>2017/2016</w:t>
            </w:r>
          </w:p>
        </w:tc>
        <w:tc>
          <w:tcPr>
            <w:tcW w:w="572" w:type="pct"/>
            <w:vMerge w:val="restart"/>
            <w:tcBorders>
              <w:top w:val="nil"/>
              <w:left w:val="single" w:sz="4" w:space="0" w:color="auto"/>
              <w:bottom w:val="single" w:sz="4" w:space="0" w:color="000000"/>
              <w:right w:val="single" w:sz="4" w:space="0" w:color="auto"/>
            </w:tcBorders>
            <w:shd w:val="clear" w:color="auto" w:fill="auto"/>
            <w:noWrap/>
            <w:vAlign w:val="center"/>
            <w:hideMark/>
          </w:tcPr>
          <w:p w:rsidR="00F873E0" w:rsidRPr="00656702" w:rsidRDefault="00F873E0" w:rsidP="0044272C">
            <w:pPr>
              <w:jc w:val="center"/>
              <w:rPr>
                <w:rFonts w:ascii="Calibri" w:eastAsia="Times New Roman" w:hAnsi="Calibri" w:cs="Calibri"/>
                <w:b/>
                <w:bCs/>
                <w:sz w:val="17"/>
                <w:szCs w:val="17"/>
                <w:lang w:eastAsia="bg-BG"/>
              </w:rPr>
            </w:pPr>
            <w:r w:rsidRPr="00656702">
              <w:rPr>
                <w:rFonts w:ascii="Calibri" w:eastAsia="Times New Roman" w:hAnsi="Calibri" w:cs="Calibri"/>
                <w:b/>
                <w:bCs/>
                <w:sz w:val="17"/>
                <w:szCs w:val="17"/>
                <w:lang w:eastAsia="bg-BG"/>
              </w:rPr>
              <w:t>отчет/план</w:t>
            </w:r>
          </w:p>
        </w:tc>
      </w:tr>
      <w:tr w:rsidR="00F873E0" w:rsidRPr="00656702" w:rsidTr="0044272C">
        <w:trPr>
          <w:trHeight w:val="240"/>
        </w:trPr>
        <w:tc>
          <w:tcPr>
            <w:tcW w:w="1344" w:type="pct"/>
            <w:gridSpan w:val="2"/>
            <w:vMerge/>
            <w:tcBorders>
              <w:top w:val="single" w:sz="4" w:space="0" w:color="auto"/>
              <w:left w:val="single" w:sz="4" w:space="0" w:color="auto"/>
              <w:bottom w:val="single" w:sz="4" w:space="0" w:color="000000"/>
              <w:right w:val="single" w:sz="4" w:space="0" w:color="000000"/>
            </w:tcBorders>
            <w:vAlign w:val="center"/>
            <w:hideMark/>
          </w:tcPr>
          <w:p w:rsidR="00F873E0" w:rsidRPr="00656702" w:rsidRDefault="00F873E0" w:rsidP="0044272C">
            <w:pPr>
              <w:rPr>
                <w:rFonts w:ascii="Calibri" w:eastAsia="Times New Roman" w:hAnsi="Calibri" w:cs="Calibri"/>
                <w:b/>
                <w:bCs/>
                <w:sz w:val="18"/>
                <w:szCs w:val="18"/>
                <w:lang w:eastAsia="bg-BG"/>
              </w:rPr>
            </w:pPr>
          </w:p>
        </w:tc>
        <w:tc>
          <w:tcPr>
            <w:tcW w:w="604" w:type="pct"/>
            <w:vMerge/>
            <w:tcBorders>
              <w:top w:val="single" w:sz="4" w:space="0" w:color="auto"/>
              <w:left w:val="single" w:sz="4" w:space="0" w:color="auto"/>
              <w:bottom w:val="single" w:sz="4" w:space="0" w:color="000000"/>
              <w:right w:val="single" w:sz="4" w:space="0" w:color="auto"/>
            </w:tcBorders>
            <w:vAlign w:val="center"/>
            <w:hideMark/>
          </w:tcPr>
          <w:p w:rsidR="00F873E0" w:rsidRPr="00656702" w:rsidRDefault="00F873E0" w:rsidP="0044272C">
            <w:pPr>
              <w:rPr>
                <w:rFonts w:ascii="Calibri" w:eastAsia="Times New Roman" w:hAnsi="Calibri" w:cs="Calibri"/>
                <w:b/>
                <w:bCs/>
                <w:sz w:val="18"/>
                <w:szCs w:val="18"/>
                <w:lang w:eastAsia="bg-BG"/>
              </w:rPr>
            </w:pPr>
          </w:p>
        </w:tc>
        <w:tc>
          <w:tcPr>
            <w:tcW w:w="636" w:type="pct"/>
            <w:tcBorders>
              <w:top w:val="nil"/>
              <w:left w:val="nil"/>
              <w:bottom w:val="single" w:sz="4" w:space="0" w:color="auto"/>
              <w:right w:val="single" w:sz="4" w:space="0" w:color="auto"/>
            </w:tcBorders>
            <w:shd w:val="clear" w:color="auto" w:fill="auto"/>
            <w:noWrap/>
            <w:vAlign w:val="bottom"/>
            <w:hideMark/>
          </w:tcPr>
          <w:p w:rsidR="00F873E0" w:rsidRPr="00656702" w:rsidRDefault="00F873E0" w:rsidP="0044272C">
            <w:pPr>
              <w:jc w:val="center"/>
              <w:rPr>
                <w:rFonts w:ascii="Calibri" w:eastAsia="Times New Roman" w:hAnsi="Calibri" w:cs="Calibri"/>
                <w:b/>
                <w:bCs/>
                <w:sz w:val="17"/>
                <w:szCs w:val="17"/>
                <w:lang w:eastAsia="bg-BG"/>
              </w:rPr>
            </w:pPr>
            <w:r w:rsidRPr="00656702">
              <w:rPr>
                <w:rFonts w:ascii="Calibri" w:eastAsia="Times New Roman" w:hAnsi="Calibri" w:cs="Calibri"/>
                <w:b/>
                <w:bCs/>
                <w:sz w:val="17"/>
                <w:szCs w:val="17"/>
                <w:lang w:eastAsia="bg-BG"/>
              </w:rPr>
              <w:t>2017 г.</w:t>
            </w:r>
          </w:p>
        </w:tc>
        <w:tc>
          <w:tcPr>
            <w:tcW w:w="636" w:type="pct"/>
            <w:tcBorders>
              <w:top w:val="nil"/>
              <w:left w:val="nil"/>
              <w:bottom w:val="single" w:sz="4" w:space="0" w:color="auto"/>
              <w:right w:val="nil"/>
            </w:tcBorders>
            <w:shd w:val="clear" w:color="auto" w:fill="auto"/>
            <w:noWrap/>
            <w:vAlign w:val="bottom"/>
            <w:hideMark/>
          </w:tcPr>
          <w:p w:rsidR="00F873E0" w:rsidRPr="00656702" w:rsidRDefault="00F873E0" w:rsidP="0044272C">
            <w:pPr>
              <w:jc w:val="center"/>
              <w:rPr>
                <w:rFonts w:ascii="Calibri" w:eastAsia="Times New Roman" w:hAnsi="Calibri" w:cs="Calibri"/>
                <w:b/>
                <w:bCs/>
                <w:sz w:val="17"/>
                <w:szCs w:val="17"/>
                <w:lang w:eastAsia="bg-BG"/>
              </w:rPr>
            </w:pPr>
            <w:r w:rsidRPr="00656702">
              <w:rPr>
                <w:rFonts w:ascii="Calibri" w:eastAsia="Times New Roman" w:hAnsi="Calibri" w:cs="Calibri"/>
                <w:b/>
                <w:bCs/>
                <w:sz w:val="17"/>
                <w:szCs w:val="17"/>
                <w:lang w:eastAsia="bg-BG"/>
              </w:rPr>
              <w:t>2017 г.</w:t>
            </w:r>
          </w:p>
        </w:tc>
        <w:tc>
          <w:tcPr>
            <w:tcW w:w="636" w:type="pct"/>
            <w:tcBorders>
              <w:top w:val="nil"/>
              <w:left w:val="single" w:sz="4" w:space="0" w:color="auto"/>
              <w:bottom w:val="single" w:sz="4" w:space="0" w:color="auto"/>
              <w:right w:val="nil"/>
            </w:tcBorders>
            <w:shd w:val="clear" w:color="auto" w:fill="auto"/>
            <w:noWrap/>
            <w:vAlign w:val="bottom"/>
            <w:hideMark/>
          </w:tcPr>
          <w:p w:rsidR="00F873E0" w:rsidRPr="00656702" w:rsidRDefault="00F873E0" w:rsidP="0044272C">
            <w:pPr>
              <w:jc w:val="center"/>
              <w:rPr>
                <w:rFonts w:ascii="Calibri" w:eastAsia="Times New Roman" w:hAnsi="Calibri" w:cs="Calibri"/>
                <w:b/>
                <w:bCs/>
                <w:sz w:val="17"/>
                <w:szCs w:val="17"/>
                <w:lang w:eastAsia="bg-BG"/>
              </w:rPr>
            </w:pPr>
            <w:r w:rsidRPr="00656702">
              <w:rPr>
                <w:rFonts w:ascii="Calibri" w:eastAsia="Times New Roman" w:hAnsi="Calibri" w:cs="Calibri"/>
                <w:b/>
                <w:bCs/>
                <w:sz w:val="17"/>
                <w:szCs w:val="17"/>
                <w:lang w:eastAsia="bg-BG"/>
              </w:rPr>
              <w:t>2016 г.</w:t>
            </w:r>
          </w:p>
        </w:tc>
        <w:tc>
          <w:tcPr>
            <w:tcW w:w="572" w:type="pct"/>
            <w:vMerge/>
            <w:tcBorders>
              <w:top w:val="nil"/>
              <w:left w:val="single" w:sz="4" w:space="0" w:color="auto"/>
              <w:bottom w:val="single" w:sz="4" w:space="0" w:color="000000"/>
              <w:right w:val="single" w:sz="4" w:space="0" w:color="auto"/>
            </w:tcBorders>
            <w:vAlign w:val="center"/>
            <w:hideMark/>
          </w:tcPr>
          <w:p w:rsidR="00F873E0" w:rsidRPr="00656702" w:rsidRDefault="00F873E0" w:rsidP="0044272C">
            <w:pPr>
              <w:rPr>
                <w:rFonts w:ascii="Calibri" w:eastAsia="Times New Roman" w:hAnsi="Calibri" w:cs="Calibri"/>
                <w:b/>
                <w:bCs/>
                <w:sz w:val="17"/>
                <w:szCs w:val="17"/>
                <w:lang w:eastAsia="bg-BG"/>
              </w:rPr>
            </w:pPr>
          </w:p>
        </w:tc>
        <w:tc>
          <w:tcPr>
            <w:tcW w:w="572" w:type="pct"/>
            <w:vMerge/>
            <w:tcBorders>
              <w:top w:val="nil"/>
              <w:left w:val="single" w:sz="4" w:space="0" w:color="auto"/>
              <w:bottom w:val="single" w:sz="4" w:space="0" w:color="000000"/>
              <w:right w:val="single" w:sz="4" w:space="0" w:color="auto"/>
            </w:tcBorders>
            <w:vAlign w:val="center"/>
            <w:hideMark/>
          </w:tcPr>
          <w:p w:rsidR="00F873E0" w:rsidRPr="00656702" w:rsidRDefault="00F873E0" w:rsidP="0044272C">
            <w:pPr>
              <w:rPr>
                <w:rFonts w:ascii="Calibri" w:eastAsia="Times New Roman" w:hAnsi="Calibri" w:cs="Calibri"/>
                <w:b/>
                <w:bCs/>
                <w:sz w:val="17"/>
                <w:szCs w:val="17"/>
                <w:lang w:eastAsia="bg-BG"/>
              </w:rPr>
            </w:pP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1</w:t>
            </w:r>
          </w:p>
        </w:tc>
        <w:tc>
          <w:tcPr>
            <w:tcW w:w="1219" w:type="pct"/>
            <w:tcBorders>
              <w:top w:val="nil"/>
              <w:left w:val="nil"/>
              <w:bottom w:val="nil"/>
              <w:right w:val="single" w:sz="4" w:space="0" w:color="auto"/>
            </w:tcBorders>
            <w:shd w:val="clear" w:color="auto" w:fill="auto"/>
            <w:noWrap/>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Обем работа</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sz w:val="16"/>
                <w:szCs w:val="16"/>
                <w:lang w:eastAsia="bg-BG"/>
              </w:rPr>
            </w:pP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w:t>
            </w:r>
          </w:p>
        </w:tc>
        <w:tc>
          <w:tcPr>
            <w:tcW w:w="636" w:type="pct"/>
            <w:tcBorders>
              <w:top w:val="nil"/>
              <w:left w:val="nil"/>
              <w:bottom w:val="nil"/>
              <w:right w:val="nil"/>
            </w:tcBorders>
            <w:shd w:val="clear" w:color="auto" w:fill="auto"/>
            <w:noWrap/>
            <w:hideMark/>
          </w:tcPr>
          <w:p w:rsidR="00F873E0" w:rsidRPr="00656702" w:rsidRDefault="00F873E0" w:rsidP="0044272C">
            <w:pPr>
              <w:rPr>
                <w:rFonts w:ascii="Calibri" w:eastAsia="Times New Roman" w:hAnsi="Calibri" w:cs="Calibri"/>
                <w:sz w:val="18"/>
                <w:szCs w:val="18"/>
                <w:lang w:eastAsia="bg-BG"/>
              </w:rPr>
            </w:pPr>
          </w:p>
        </w:tc>
        <w:tc>
          <w:tcPr>
            <w:tcW w:w="636" w:type="pct"/>
            <w:tcBorders>
              <w:top w:val="nil"/>
              <w:left w:val="single" w:sz="4" w:space="0" w:color="auto"/>
              <w:bottom w:val="nil"/>
              <w:right w:val="nil"/>
            </w:tcBorders>
            <w:shd w:val="clear" w:color="auto" w:fill="auto"/>
            <w:noWrap/>
            <w:hideMark/>
          </w:tcPr>
          <w:p w:rsidR="00F873E0" w:rsidRPr="00656702" w:rsidRDefault="00F873E0" w:rsidP="0044272C">
            <w:pPr>
              <w:rPr>
                <w:rFonts w:ascii="Calibri" w:eastAsia="Times New Roman" w:hAnsi="Calibri" w:cs="Calibri"/>
                <w:color w:val="E3E3E3"/>
                <w:sz w:val="18"/>
                <w:szCs w:val="18"/>
                <w:lang w:eastAsia="bg-BG"/>
              </w:rPr>
            </w:pPr>
            <w:r w:rsidRPr="00656702">
              <w:rPr>
                <w:rFonts w:ascii="Calibri" w:eastAsia="Times New Roman" w:hAnsi="Calibri" w:cs="Calibri"/>
                <w:color w:val="E3E3E3"/>
                <w:sz w:val="18"/>
                <w:szCs w:val="18"/>
                <w:lang w:eastAsia="bg-BG"/>
              </w:rPr>
              <w:t> </w:t>
            </w:r>
          </w:p>
        </w:tc>
        <w:tc>
          <w:tcPr>
            <w:tcW w:w="572" w:type="pct"/>
            <w:tcBorders>
              <w:top w:val="nil"/>
              <w:left w:val="single" w:sz="4" w:space="0" w:color="auto"/>
              <w:bottom w:val="nil"/>
              <w:right w:val="single" w:sz="4" w:space="0" w:color="auto"/>
            </w:tcBorders>
            <w:shd w:val="clear" w:color="auto" w:fill="auto"/>
            <w:noWrap/>
            <w:hideMark/>
          </w:tcPr>
          <w:p w:rsidR="00F873E0" w:rsidRPr="00656702" w:rsidRDefault="00F873E0" w:rsidP="0044272C">
            <w:pPr>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w:t>
            </w:r>
          </w:p>
        </w:tc>
        <w:tc>
          <w:tcPr>
            <w:tcW w:w="572" w:type="pct"/>
            <w:tcBorders>
              <w:top w:val="nil"/>
              <w:left w:val="nil"/>
              <w:bottom w:val="nil"/>
              <w:right w:val="single" w:sz="4" w:space="0" w:color="auto"/>
            </w:tcBorders>
            <w:shd w:val="clear" w:color="auto" w:fill="auto"/>
            <w:noWrap/>
            <w:hideMark/>
          </w:tcPr>
          <w:p w:rsidR="00F873E0" w:rsidRPr="00656702" w:rsidRDefault="00F873E0" w:rsidP="0044272C">
            <w:pPr>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w:t>
            </w: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w:t>
            </w:r>
          </w:p>
        </w:tc>
        <w:tc>
          <w:tcPr>
            <w:tcW w:w="1219" w:type="pct"/>
            <w:tcBorders>
              <w:top w:val="nil"/>
              <w:left w:val="nil"/>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а/ дизелова тяга</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sz w:val="16"/>
                <w:szCs w:val="16"/>
                <w:lang w:eastAsia="bg-BG"/>
              </w:rPr>
            </w:pPr>
            <w:r w:rsidRPr="00656702">
              <w:rPr>
                <w:rFonts w:ascii="Calibri" w:eastAsia="Times New Roman" w:hAnsi="Calibri" w:cs="Calibri"/>
                <w:sz w:val="16"/>
                <w:szCs w:val="16"/>
                <w:lang w:eastAsia="bg-BG"/>
              </w:rPr>
              <w:t>хил.брткм</w:t>
            </w: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196 923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390 983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383 503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(186 580)</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(194 060)</w:t>
            </w: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w:t>
            </w:r>
          </w:p>
        </w:tc>
        <w:tc>
          <w:tcPr>
            <w:tcW w:w="1219" w:type="pct"/>
            <w:tcBorders>
              <w:top w:val="nil"/>
              <w:left w:val="nil"/>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б/ дизелова маневра</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sz w:val="16"/>
                <w:szCs w:val="16"/>
                <w:lang w:eastAsia="bg-BG"/>
              </w:rPr>
            </w:pPr>
            <w:r w:rsidRPr="00656702">
              <w:rPr>
                <w:rFonts w:ascii="Calibri" w:eastAsia="Times New Roman" w:hAnsi="Calibri" w:cs="Calibri"/>
                <w:sz w:val="16"/>
                <w:szCs w:val="16"/>
                <w:lang w:eastAsia="bg-BG"/>
              </w:rPr>
              <w:t>ман.ч</w:t>
            </w: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196 923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390 983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383 503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(186 580)</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(194 060)</w:t>
            </w: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2</w:t>
            </w:r>
          </w:p>
        </w:tc>
        <w:tc>
          <w:tcPr>
            <w:tcW w:w="1219" w:type="pct"/>
            <w:tcBorders>
              <w:top w:val="nil"/>
              <w:left w:val="nil"/>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Разходна норма</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sz w:val="16"/>
                <w:szCs w:val="16"/>
                <w:lang w:eastAsia="bg-BG"/>
              </w:rPr>
            </w:pP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w:t>
            </w:r>
          </w:p>
        </w:tc>
        <w:tc>
          <w:tcPr>
            <w:tcW w:w="636" w:type="pct"/>
            <w:tcBorders>
              <w:top w:val="nil"/>
              <w:left w:val="nil"/>
              <w:bottom w:val="nil"/>
              <w:right w:val="nil"/>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p>
        </w:tc>
        <w:tc>
          <w:tcPr>
            <w:tcW w:w="636" w:type="pct"/>
            <w:tcBorders>
              <w:top w:val="nil"/>
              <w:left w:val="single" w:sz="4" w:space="0" w:color="auto"/>
              <w:bottom w:val="nil"/>
              <w:right w:val="nil"/>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w:t>
            </w:r>
          </w:p>
        </w:tc>
        <w:tc>
          <w:tcPr>
            <w:tcW w:w="572"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w:t>
            </w: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w:t>
            </w:r>
          </w:p>
        </w:tc>
        <w:tc>
          <w:tcPr>
            <w:tcW w:w="1219" w:type="pct"/>
            <w:tcBorders>
              <w:top w:val="nil"/>
              <w:left w:val="nil"/>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а/ дизелова тяга</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sz w:val="16"/>
                <w:szCs w:val="16"/>
                <w:lang w:eastAsia="bg-BG"/>
              </w:rPr>
            </w:pPr>
            <w:r w:rsidRPr="00656702">
              <w:rPr>
                <w:rFonts w:ascii="Calibri" w:eastAsia="Times New Roman" w:hAnsi="Calibri" w:cs="Calibri"/>
                <w:sz w:val="16"/>
                <w:szCs w:val="16"/>
                <w:lang w:eastAsia="bg-BG"/>
              </w:rPr>
              <w:t>литър/х брткм</w:t>
            </w: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10,55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8,79</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8,65</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1,90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1,76 </w:t>
            </w: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w:t>
            </w:r>
          </w:p>
        </w:tc>
        <w:tc>
          <w:tcPr>
            <w:tcW w:w="1219" w:type="pct"/>
            <w:tcBorders>
              <w:top w:val="nil"/>
              <w:left w:val="nil"/>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б/ дизелова маневра</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sz w:val="16"/>
                <w:szCs w:val="16"/>
                <w:lang w:eastAsia="bg-BG"/>
              </w:rPr>
            </w:pPr>
            <w:r w:rsidRPr="00656702">
              <w:rPr>
                <w:rFonts w:ascii="Calibri" w:eastAsia="Times New Roman" w:hAnsi="Calibri" w:cs="Calibri"/>
                <w:sz w:val="16"/>
                <w:szCs w:val="16"/>
                <w:lang w:eastAsia="bg-BG"/>
              </w:rPr>
              <w:t>литър/ман.ч</w:t>
            </w: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15,49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15,71</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15,29</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0,20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(0,22)</w:t>
            </w: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3</w:t>
            </w:r>
          </w:p>
        </w:tc>
        <w:tc>
          <w:tcPr>
            <w:tcW w:w="1219" w:type="pct"/>
            <w:tcBorders>
              <w:top w:val="nil"/>
              <w:left w:val="nil"/>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Количество гориво</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b/>
                <w:bCs/>
                <w:sz w:val="16"/>
                <w:szCs w:val="16"/>
                <w:lang w:eastAsia="bg-BG"/>
              </w:rPr>
            </w:pPr>
            <w:r w:rsidRPr="00656702">
              <w:rPr>
                <w:rFonts w:ascii="Calibri" w:eastAsia="Times New Roman" w:hAnsi="Calibri" w:cs="Calibri"/>
                <w:b/>
                <w:bCs/>
                <w:sz w:val="16"/>
                <w:szCs w:val="16"/>
                <w:lang w:eastAsia="bg-BG"/>
              </w:rPr>
              <w:t>литри</w:t>
            </w: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3 857 390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5 048 757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4 932 822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(1 075 432)</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(1 191 367)</w:t>
            </w: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w:t>
            </w:r>
          </w:p>
        </w:tc>
        <w:tc>
          <w:tcPr>
            <w:tcW w:w="1219" w:type="pct"/>
            <w:tcBorders>
              <w:top w:val="nil"/>
              <w:left w:val="nil"/>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а/ дизелова тяга</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sz w:val="16"/>
                <w:szCs w:val="16"/>
                <w:lang w:eastAsia="bg-BG"/>
              </w:rPr>
            </w:pPr>
            <w:r w:rsidRPr="00656702">
              <w:rPr>
                <w:rFonts w:ascii="Calibri" w:eastAsia="Times New Roman" w:hAnsi="Calibri" w:cs="Calibri"/>
                <w:sz w:val="16"/>
                <w:szCs w:val="16"/>
                <w:lang w:eastAsia="bg-BG"/>
              </w:rPr>
              <w:t>литри</w:t>
            </w: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15,49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3 435 221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3 316 741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(3 316 726)</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(3 435 206)</w:t>
            </w: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w:t>
            </w:r>
          </w:p>
        </w:tc>
        <w:tc>
          <w:tcPr>
            <w:tcW w:w="1219" w:type="pct"/>
            <w:tcBorders>
              <w:top w:val="nil"/>
              <w:left w:val="nil"/>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б/ дизелова маневра</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sz w:val="16"/>
                <w:szCs w:val="16"/>
                <w:lang w:eastAsia="bg-BG"/>
              </w:rPr>
            </w:pPr>
            <w:r w:rsidRPr="00656702">
              <w:rPr>
                <w:rFonts w:ascii="Calibri" w:eastAsia="Times New Roman" w:hAnsi="Calibri" w:cs="Calibri"/>
                <w:sz w:val="16"/>
                <w:szCs w:val="16"/>
                <w:lang w:eastAsia="bg-BG"/>
              </w:rPr>
              <w:t>литри</w:t>
            </w: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1 529 805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1 504 604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1 470 053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59 752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25 201 </w:t>
            </w: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w:t>
            </w:r>
          </w:p>
        </w:tc>
        <w:tc>
          <w:tcPr>
            <w:tcW w:w="1219" w:type="pct"/>
            <w:tcBorders>
              <w:top w:val="nil"/>
              <w:left w:val="nil"/>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в/ локомотиви под наем </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sz w:val="16"/>
                <w:szCs w:val="16"/>
                <w:lang w:eastAsia="bg-BG"/>
              </w:rPr>
            </w:pPr>
            <w:r w:rsidRPr="00656702">
              <w:rPr>
                <w:rFonts w:ascii="Calibri" w:eastAsia="Times New Roman" w:hAnsi="Calibri" w:cs="Calibri"/>
                <w:sz w:val="16"/>
                <w:szCs w:val="16"/>
                <w:lang w:eastAsia="bg-BG"/>
              </w:rPr>
              <w:t>литри</w:t>
            </w: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249 484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108 932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146 028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103 456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140 552 </w:t>
            </w: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4</w:t>
            </w:r>
          </w:p>
        </w:tc>
        <w:tc>
          <w:tcPr>
            <w:tcW w:w="1219" w:type="pct"/>
            <w:tcBorders>
              <w:top w:val="nil"/>
              <w:left w:val="nil"/>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Цена на горивото</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b/>
                <w:bCs/>
                <w:sz w:val="16"/>
                <w:szCs w:val="16"/>
                <w:lang w:eastAsia="bg-BG"/>
              </w:rPr>
            </w:pPr>
            <w:r w:rsidRPr="00656702">
              <w:rPr>
                <w:rFonts w:ascii="Calibri" w:eastAsia="Times New Roman" w:hAnsi="Calibri" w:cs="Calibri"/>
                <w:b/>
                <w:bCs/>
                <w:sz w:val="16"/>
                <w:szCs w:val="16"/>
                <w:lang w:eastAsia="bg-BG"/>
              </w:rPr>
              <w:t>лева</w:t>
            </w: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1,45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1,42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1,34 </w:t>
            </w:r>
          </w:p>
        </w:tc>
        <w:tc>
          <w:tcPr>
            <w:tcW w:w="572" w:type="pct"/>
            <w:tcBorders>
              <w:top w:val="nil"/>
              <w:left w:val="nil"/>
              <w:bottom w:val="nil"/>
              <w:right w:val="nil"/>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0,11 </w:t>
            </w:r>
          </w:p>
        </w:tc>
        <w:tc>
          <w:tcPr>
            <w:tcW w:w="572"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0,03 </w:t>
            </w: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w:t>
            </w:r>
          </w:p>
        </w:tc>
        <w:tc>
          <w:tcPr>
            <w:tcW w:w="1219" w:type="pct"/>
            <w:tcBorders>
              <w:top w:val="nil"/>
              <w:left w:val="nil"/>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а/ дизелова тяга</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sz w:val="16"/>
                <w:szCs w:val="16"/>
                <w:lang w:eastAsia="bg-BG"/>
              </w:rPr>
            </w:pPr>
            <w:r w:rsidRPr="00656702">
              <w:rPr>
                <w:rFonts w:ascii="Calibri" w:eastAsia="Times New Roman" w:hAnsi="Calibri" w:cs="Calibri"/>
                <w:sz w:val="16"/>
                <w:szCs w:val="16"/>
                <w:lang w:eastAsia="bg-BG"/>
              </w:rPr>
              <w:t>лева</w:t>
            </w: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1,45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1,40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1,33 </w:t>
            </w:r>
          </w:p>
        </w:tc>
        <w:tc>
          <w:tcPr>
            <w:tcW w:w="572" w:type="pct"/>
            <w:tcBorders>
              <w:top w:val="nil"/>
              <w:left w:val="nil"/>
              <w:bottom w:val="nil"/>
              <w:right w:val="nil"/>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0,12 </w:t>
            </w:r>
          </w:p>
        </w:tc>
        <w:tc>
          <w:tcPr>
            <w:tcW w:w="572"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0,05 </w:t>
            </w: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w:t>
            </w:r>
          </w:p>
        </w:tc>
        <w:tc>
          <w:tcPr>
            <w:tcW w:w="1219" w:type="pct"/>
            <w:tcBorders>
              <w:top w:val="nil"/>
              <w:left w:val="nil"/>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б/ дизелова маневра</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sz w:val="16"/>
                <w:szCs w:val="16"/>
                <w:lang w:eastAsia="bg-BG"/>
              </w:rPr>
            </w:pPr>
            <w:r w:rsidRPr="00656702">
              <w:rPr>
                <w:rFonts w:ascii="Calibri" w:eastAsia="Times New Roman" w:hAnsi="Calibri" w:cs="Calibri"/>
                <w:sz w:val="16"/>
                <w:szCs w:val="16"/>
                <w:lang w:eastAsia="bg-BG"/>
              </w:rPr>
              <w:t>лева</w:t>
            </w: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1,45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1,40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1,33 </w:t>
            </w:r>
          </w:p>
        </w:tc>
        <w:tc>
          <w:tcPr>
            <w:tcW w:w="572" w:type="pct"/>
            <w:tcBorders>
              <w:top w:val="nil"/>
              <w:left w:val="nil"/>
              <w:bottom w:val="nil"/>
              <w:right w:val="nil"/>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0,12 </w:t>
            </w:r>
          </w:p>
        </w:tc>
        <w:tc>
          <w:tcPr>
            <w:tcW w:w="572"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0,05 </w:t>
            </w: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5</w:t>
            </w:r>
          </w:p>
        </w:tc>
        <w:tc>
          <w:tcPr>
            <w:tcW w:w="1219" w:type="pct"/>
            <w:tcBorders>
              <w:top w:val="nil"/>
              <w:left w:val="nil"/>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Разходи за гориво</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b/>
                <w:bCs/>
                <w:sz w:val="16"/>
                <w:szCs w:val="16"/>
                <w:lang w:eastAsia="bg-BG"/>
              </w:rPr>
            </w:pPr>
            <w:r w:rsidRPr="00656702">
              <w:rPr>
                <w:rFonts w:ascii="Calibri" w:eastAsia="Times New Roman" w:hAnsi="Calibri" w:cs="Calibri"/>
                <w:b/>
                <w:bCs/>
                <w:sz w:val="16"/>
                <w:szCs w:val="16"/>
                <w:lang w:eastAsia="bg-BG"/>
              </w:rPr>
              <w:t>лева</w:t>
            </w: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5 599 509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7 161 442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6 613 643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(1 014 134)</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(1 561 932)</w:t>
            </w: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w:t>
            </w:r>
          </w:p>
        </w:tc>
        <w:tc>
          <w:tcPr>
            <w:tcW w:w="1219" w:type="pct"/>
            <w:tcBorders>
              <w:top w:val="nil"/>
              <w:left w:val="nil"/>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а/ дизелова тяга</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sz w:val="16"/>
                <w:szCs w:val="16"/>
                <w:lang w:eastAsia="bg-BG"/>
              </w:rPr>
            </w:pPr>
            <w:r w:rsidRPr="00656702">
              <w:rPr>
                <w:rFonts w:ascii="Calibri" w:eastAsia="Times New Roman" w:hAnsi="Calibri" w:cs="Calibri"/>
                <w:sz w:val="16"/>
                <w:szCs w:val="16"/>
                <w:lang w:eastAsia="bg-BG"/>
              </w:rPr>
              <w:t>лева</w:t>
            </w: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3 020 800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4 791 978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4 408 498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(1 387 699)</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(1 771 178)</w:t>
            </w: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w:t>
            </w:r>
          </w:p>
        </w:tc>
        <w:tc>
          <w:tcPr>
            <w:tcW w:w="1219" w:type="pct"/>
            <w:tcBorders>
              <w:top w:val="nil"/>
              <w:left w:val="nil"/>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б/ дизелова маневра</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sz w:val="16"/>
                <w:szCs w:val="16"/>
                <w:lang w:eastAsia="bg-BG"/>
              </w:rPr>
            </w:pPr>
            <w:r w:rsidRPr="00656702">
              <w:rPr>
                <w:rFonts w:ascii="Calibri" w:eastAsia="Times New Roman" w:hAnsi="Calibri" w:cs="Calibri"/>
                <w:sz w:val="16"/>
                <w:szCs w:val="16"/>
                <w:lang w:eastAsia="bg-BG"/>
              </w:rPr>
              <w:t>лева</w:t>
            </w: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2 211 411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2 098 964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1 953 726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257 684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112 447 </w:t>
            </w:r>
          </w:p>
        </w:tc>
      </w:tr>
      <w:tr w:rsidR="00F873E0" w:rsidRPr="00656702" w:rsidTr="0044272C">
        <w:trPr>
          <w:trHeight w:val="240"/>
        </w:trPr>
        <w:tc>
          <w:tcPr>
            <w:tcW w:w="125" w:type="pct"/>
            <w:tcBorders>
              <w:top w:val="nil"/>
              <w:left w:val="single" w:sz="4" w:space="0" w:color="auto"/>
              <w:bottom w:val="nil"/>
              <w:right w:val="nil"/>
            </w:tcBorders>
            <w:shd w:val="clear" w:color="auto" w:fill="auto"/>
            <w:noWrap/>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w:t>
            </w:r>
          </w:p>
        </w:tc>
        <w:tc>
          <w:tcPr>
            <w:tcW w:w="1219" w:type="pct"/>
            <w:tcBorders>
              <w:top w:val="nil"/>
              <w:left w:val="nil"/>
              <w:bottom w:val="nil"/>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в/ локомотиви  под наем</w:t>
            </w:r>
          </w:p>
        </w:tc>
        <w:tc>
          <w:tcPr>
            <w:tcW w:w="604" w:type="pct"/>
            <w:tcBorders>
              <w:top w:val="nil"/>
              <w:left w:val="nil"/>
              <w:bottom w:val="nil"/>
              <w:right w:val="nil"/>
            </w:tcBorders>
            <w:shd w:val="clear" w:color="auto" w:fill="auto"/>
            <w:noWrap/>
            <w:vAlign w:val="bottom"/>
            <w:hideMark/>
          </w:tcPr>
          <w:p w:rsidR="00F873E0" w:rsidRPr="00656702" w:rsidRDefault="00F873E0" w:rsidP="0044272C">
            <w:pPr>
              <w:jc w:val="center"/>
              <w:rPr>
                <w:rFonts w:ascii="Calibri" w:eastAsia="Times New Roman" w:hAnsi="Calibri" w:cs="Calibri"/>
                <w:sz w:val="16"/>
                <w:szCs w:val="16"/>
                <w:lang w:eastAsia="bg-BG"/>
              </w:rPr>
            </w:pPr>
            <w:r w:rsidRPr="00656702">
              <w:rPr>
                <w:rFonts w:ascii="Calibri" w:eastAsia="Times New Roman" w:hAnsi="Calibri" w:cs="Calibri"/>
                <w:sz w:val="16"/>
                <w:szCs w:val="16"/>
                <w:lang w:eastAsia="bg-BG"/>
              </w:rPr>
              <w:t>лева</w:t>
            </w: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367 299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270 500 </w:t>
            </w:r>
          </w:p>
        </w:tc>
        <w:tc>
          <w:tcPr>
            <w:tcW w:w="636"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251 419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115 880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96 799 </w:t>
            </w:r>
          </w:p>
        </w:tc>
      </w:tr>
      <w:tr w:rsidR="00F873E0" w:rsidRPr="00656702" w:rsidTr="0044272C">
        <w:trPr>
          <w:trHeight w:val="240"/>
        </w:trPr>
        <w:tc>
          <w:tcPr>
            <w:tcW w:w="125" w:type="pct"/>
            <w:tcBorders>
              <w:top w:val="nil"/>
              <w:left w:val="single" w:sz="4" w:space="0" w:color="auto"/>
              <w:bottom w:val="single" w:sz="4" w:space="0" w:color="auto"/>
              <w:right w:val="nil"/>
            </w:tcBorders>
            <w:shd w:val="clear" w:color="auto" w:fill="auto"/>
            <w:noWrap/>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6</w:t>
            </w:r>
          </w:p>
        </w:tc>
        <w:tc>
          <w:tcPr>
            <w:tcW w:w="1219" w:type="pct"/>
            <w:tcBorders>
              <w:top w:val="nil"/>
              <w:left w:val="nil"/>
              <w:bottom w:val="single" w:sz="4" w:space="0" w:color="auto"/>
              <w:right w:val="single" w:sz="4" w:space="0" w:color="auto"/>
            </w:tcBorders>
            <w:shd w:val="clear" w:color="auto" w:fill="auto"/>
            <w:noWrap/>
            <w:vAlign w:val="bottom"/>
            <w:hideMark/>
          </w:tcPr>
          <w:p w:rsidR="00F873E0" w:rsidRPr="00656702" w:rsidRDefault="00F873E0" w:rsidP="0044272C">
            <w:pP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Други разходи за гориво</w:t>
            </w:r>
          </w:p>
        </w:tc>
        <w:tc>
          <w:tcPr>
            <w:tcW w:w="604" w:type="pct"/>
            <w:tcBorders>
              <w:top w:val="nil"/>
              <w:left w:val="nil"/>
              <w:bottom w:val="single" w:sz="4" w:space="0" w:color="auto"/>
              <w:right w:val="nil"/>
            </w:tcBorders>
            <w:shd w:val="clear" w:color="auto" w:fill="auto"/>
            <w:noWrap/>
            <w:vAlign w:val="bottom"/>
            <w:hideMark/>
          </w:tcPr>
          <w:p w:rsidR="00F873E0" w:rsidRPr="00656702" w:rsidRDefault="00F873E0" w:rsidP="0044272C">
            <w:pPr>
              <w:jc w:val="center"/>
              <w:rPr>
                <w:rFonts w:ascii="Calibri" w:eastAsia="Times New Roman" w:hAnsi="Calibri" w:cs="Calibri"/>
                <w:b/>
                <w:bCs/>
                <w:sz w:val="16"/>
                <w:szCs w:val="16"/>
                <w:lang w:eastAsia="bg-BG"/>
              </w:rPr>
            </w:pPr>
            <w:r w:rsidRPr="00656702">
              <w:rPr>
                <w:rFonts w:ascii="Calibri" w:eastAsia="Times New Roman" w:hAnsi="Calibri" w:cs="Calibri"/>
                <w:b/>
                <w:bCs/>
                <w:sz w:val="16"/>
                <w:szCs w:val="16"/>
                <w:lang w:eastAsia="bg-BG"/>
              </w:rPr>
              <w:t>лева</w:t>
            </w:r>
          </w:p>
        </w:tc>
        <w:tc>
          <w:tcPr>
            <w:tcW w:w="636" w:type="pct"/>
            <w:tcBorders>
              <w:top w:val="nil"/>
              <w:left w:val="single" w:sz="4" w:space="0" w:color="auto"/>
              <w:bottom w:val="single" w:sz="4" w:space="0" w:color="auto"/>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910 042 </w:t>
            </w:r>
          </w:p>
        </w:tc>
        <w:tc>
          <w:tcPr>
            <w:tcW w:w="636" w:type="pct"/>
            <w:tcBorders>
              <w:top w:val="nil"/>
              <w:left w:val="nil"/>
              <w:bottom w:val="single" w:sz="4" w:space="0" w:color="auto"/>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705 000 </w:t>
            </w:r>
          </w:p>
        </w:tc>
        <w:tc>
          <w:tcPr>
            <w:tcW w:w="636" w:type="pct"/>
            <w:tcBorders>
              <w:top w:val="nil"/>
              <w:left w:val="nil"/>
              <w:bottom w:val="single" w:sz="4" w:space="0" w:color="auto"/>
              <w:right w:val="single" w:sz="4" w:space="0" w:color="auto"/>
            </w:tcBorders>
            <w:shd w:val="clear" w:color="auto" w:fill="auto"/>
            <w:noWrap/>
            <w:vAlign w:val="bottom"/>
            <w:hideMark/>
          </w:tcPr>
          <w:p w:rsidR="00F873E0" w:rsidRPr="00AB4D6F" w:rsidRDefault="00AB4D6F" w:rsidP="00AB4D6F">
            <w:pPr>
              <w:jc w:val="right"/>
              <w:rPr>
                <w:rFonts w:ascii="Calibri" w:hAnsi="Calibri" w:cs="Calibri"/>
                <w:sz w:val="18"/>
                <w:szCs w:val="18"/>
                <w:lang w:val="en-US"/>
              </w:rPr>
            </w:pPr>
            <w:r>
              <w:rPr>
                <w:rFonts w:ascii="Calibri" w:hAnsi="Calibri" w:cs="Calibri"/>
                <w:sz w:val="18"/>
                <w:szCs w:val="18"/>
              </w:rPr>
              <w:t xml:space="preserve">               804 076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AB4D6F">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105 </w:t>
            </w:r>
            <w:r w:rsidR="00AB4D6F">
              <w:rPr>
                <w:rFonts w:ascii="Calibri" w:eastAsia="Times New Roman" w:hAnsi="Calibri" w:cs="Calibri"/>
                <w:sz w:val="18"/>
                <w:szCs w:val="18"/>
                <w:lang w:val="en-US" w:eastAsia="bg-BG"/>
              </w:rPr>
              <w:t>966</w:t>
            </w:r>
            <w:r w:rsidRPr="00656702">
              <w:rPr>
                <w:rFonts w:ascii="Calibri" w:eastAsia="Times New Roman" w:hAnsi="Calibri" w:cs="Calibri"/>
                <w:sz w:val="18"/>
                <w:szCs w:val="18"/>
                <w:lang w:eastAsia="bg-BG"/>
              </w:rPr>
              <w:t xml:space="preserve"> </w:t>
            </w:r>
          </w:p>
        </w:tc>
        <w:tc>
          <w:tcPr>
            <w:tcW w:w="572" w:type="pct"/>
            <w:tcBorders>
              <w:top w:val="nil"/>
              <w:left w:val="nil"/>
              <w:bottom w:val="nil"/>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sz w:val="18"/>
                <w:szCs w:val="18"/>
                <w:lang w:eastAsia="bg-BG"/>
              </w:rPr>
            </w:pPr>
            <w:r w:rsidRPr="00656702">
              <w:rPr>
                <w:rFonts w:ascii="Calibri" w:eastAsia="Times New Roman" w:hAnsi="Calibri" w:cs="Calibri"/>
                <w:sz w:val="18"/>
                <w:szCs w:val="18"/>
                <w:lang w:eastAsia="bg-BG"/>
              </w:rPr>
              <w:t xml:space="preserve">       205 042 </w:t>
            </w:r>
          </w:p>
        </w:tc>
      </w:tr>
      <w:tr w:rsidR="00F873E0" w:rsidRPr="00656702" w:rsidTr="0044272C">
        <w:trPr>
          <w:trHeight w:val="255"/>
        </w:trPr>
        <w:tc>
          <w:tcPr>
            <w:tcW w:w="1344" w:type="pct"/>
            <w:gridSpan w:val="2"/>
            <w:tcBorders>
              <w:top w:val="nil"/>
              <w:left w:val="single" w:sz="4" w:space="0" w:color="auto"/>
              <w:bottom w:val="double" w:sz="6" w:space="0" w:color="auto"/>
              <w:right w:val="single" w:sz="4" w:space="0" w:color="000000"/>
            </w:tcBorders>
            <w:shd w:val="clear" w:color="auto" w:fill="auto"/>
            <w:noWrap/>
            <w:vAlign w:val="bottom"/>
            <w:hideMark/>
          </w:tcPr>
          <w:p w:rsidR="00F873E0" w:rsidRPr="00656702" w:rsidRDefault="00F873E0" w:rsidP="0044272C">
            <w:pPr>
              <w:jc w:val="center"/>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ОБЩО РАЗХОДИ</w:t>
            </w:r>
          </w:p>
        </w:tc>
        <w:tc>
          <w:tcPr>
            <w:tcW w:w="604" w:type="pct"/>
            <w:tcBorders>
              <w:top w:val="nil"/>
              <w:left w:val="nil"/>
              <w:bottom w:val="double" w:sz="6" w:space="0" w:color="auto"/>
              <w:right w:val="nil"/>
            </w:tcBorders>
            <w:shd w:val="clear" w:color="000000" w:fill="FFFFFF"/>
            <w:noWrap/>
            <w:vAlign w:val="bottom"/>
            <w:hideMark/>
          </w:tcPr>
          <w:p w:rsidR="00F873E0" w:rsidRPr="00656702" w:rsidRDefault="00F873E0" w:rsidP="0044272C">
            <w:pPr>
              <w:jc w:val="center"/>
              <w:rPr>
                <w:rFonts w:ascii="Calibri" w:eastAsia="Times New Roman" w:hAnsi="Calibri" w:cs="Calibri"/>
                <w:b/>
                <w:bCs/>
                <w:sz w:val="16"/>
                <w:szCs w:val="16"/>
                <w:lang w:eastAsia="bg-BG"/>
              </w:rPr>
            </w:pPr>
            <w:r w:rsidRPr="00656702">
              <w:rPr>
                <w:rFonts w:ascii="Calibri" w:eastAsia="Times New Roman" w:hAnsi="Calibri" w:cs="Calibri"/>
                <w:b/>
                <w:bCs/>
                <w:sz w:val="16"/>
                <w:szCs w:val="16"/>
                <w:lang w:eastAsia="bg-BG"/>
              </w:rPr>
              <w:t>лева</w:t>
            </w:r>
          </w:p>
        </w:tc>
        <w:tc>
          <w:tcPr>
            <w:tcW w:w="636" w:type="pct"/>
            <w:tcBorders>
              <w:top w:val="nil"/>
              <w:left w:val="single" w:sz="4" w:space="0" w:color="auto"/>
              <w:bottom w:val="double" w:sz="6" w:space="0" w:color="auto"/>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6 509 551 </w:t>
            </w:r>
          </w:p>
        </w:tc>
        <w:tc>
          <w:tcPr>
            <w:tcW w:w="636" w:type="pct"/>
            <w:tcBorders>
              <w:top w:val="nil"/>
              <w:left w:val="nil"/>
              <w:bottom w:val="double" w:sz="6" w:space="0" w:color="auto"/>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7 866 442 </w:t>
            </w:r>
          </w:p>
        </w:tc>
        <w:tc>
          <w:tcPr>
            <w:tcW w:w="636" w:type="pct"/>
            <w:tcBorders>
              <w:top w:val="nil"/>
              <w:left w:val="nil"/>
              <w:bottom w:val="double" w:sz="6" w:space="0" w:color="auto"/>
              <w:right w:val="single" w:sz="4" w:space="0" w:color="auto"/>
            </w:tcBorders>
            <w:shd w:val="clear" w:color="auto" w:fill="auto"/>
            <w:noWrap/>
            <w:vAlign w:val="bottom"/>
            <w:hideMark/>
          </w:tcPr>
          <w:p w:rsidR="00AB4D6F"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w:t>
            </w:r>
          </w:p>
          <w:p w:rsidR="00F873E0" w:rsidRPr="00AB4D6F" w:rsidRDefault="00AB4D6F" w:rsidP="00AB4D6F">
            <w:pPr>
              <w:jc w:val="right"/>
              <w:rPr>
                <w:rFonts w:ascii="Calibri" w:hAnsi="Calibri" w:cs="Calibri"/>
                <w:b/>
                <w:bCs/>
                <w:sz w:val="18"/>
                <w:szCs w:val="18"/>
                <w:lang w:val="en-US"/>
              </w:rPr>
            </w:pPr>
            <w:r>
              <w:rPr>
                <w:rFonts w:ascii="Calibri" w:hAnsi="Calibri" w:cs="Calibri"/>
                <w:b/>
                <w:bCs/>
                <w:sz w:val="18"/>
                <w:szCs w:val="18"/>
              </w:rPr>
              <w:t xml:space="preserve">            7 417 719 </w:t>
            </w:r>
          </w:p>
        </w:tc>
        <w:tc>
          <w:tcPr>
            <w:tcW w:w="572" w:type="pct"/>
            <w:tcBorders>
              <w:top w:val="single" w:sz="4" w:space="0" w:color="auto"/>
              <w:left w:val="nil"/>
              <w:bottom w:val="double" w:sz="6" w:space="0" w:color="auto"/>
              <w:right w:val="single" w:sz="4" w:space="0" w:color="auto"/>
            </w:tcBorders>
            <w:shd w:val="clear" w:color="auto" w:fill="auto"/>
            <w:noWrap/>
            <w:vAlign w:val="bottom"/>
            <w:hideMark/>
          </w:tcPr>
          <w:p w:rsidR="00F873E0" w:rsidRPr="00656702" w:rsidRDefault="00F873E0" w:rsidP="00AB4D6F">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(908 </w:t>
            </w:r>
            <w:r w:rsidR="00AB4D6F">
              <w:rPr>
                <w:rFonts w:ascii="Calibri" w:eastAsia="Times New Roman" w:hAnsi="Calibri" w:cs="Calibri"/>
                <w:b/>
                <w:bCs/>
                <w:sz w:val="18"/>
                <w:szCs w:val="18"/>
                <w:lang w:val="en-US" w:eastAsia="bg-BG"/>
              </w:rPr>
              <w:t>168</w:t>
            </w:r>
            <w:r w:rsidRPr="00656702">
              <w:rPr>
                <w:rFonts w:ascii="Calibri" w:eastAsia="Times New Roman" w:hAnsi="Calibri" w:cs="Calibri"/>
                <w:b/>
                <w:bCs/>
                <w:sz w:val="18"/>
                <w:szCs w:val="18"/>
                <w:lang w:eastAsia="bg-BG"/>
              </w:rPr>
              <w:t>)</w:t>
            </w:r>
          </w:p>
        </w:tc>
        <w:tc>
          <w:tcPr>
            <w:tcW w:w="572" w:type="pct"/>
            <w:tcBorders>
              <w:top w:val="single" w:sz="4" w:space="0" w:color="auto"/>
              <w:left w:val="nil"/>
              <w:bottom w:val="double" w:sz="6" w:space="0" w:color="auto"/>
              <w:right w:val="single" w:sz="4" w:space="0" w:color="auto"/>
            </w:tcBorders>
            <w:shd w:val="clear" w:color="auto" w:fill="auto"/>
            <w:noWrap/>
            <w:vAlign w:val="bottom"/>
            <w:hideMark/>
          </w:tcPr>
          <w:p w:rsidR="00F873E0" w:rsidRPr="00656702" w:rsidRDefault="00F873E0" w:rsidP="0044272C">
            <w:pPr>
              <w:jc w:val="right"/>
              <w:rPr>
                <w:rFonts w:ascii="Calibri" w:eastAsia="Times New Roman" w:hAnsi="Calibri" w:cs="Calibri"/>
                <w:b/>
                <w:bCs/>
                <w:sz w:val="18"/>
                <w:szCs w:val="18"/>
                <w:lang w:eastAsia="bg-BG"/>
              </w:rPr>
            </w:pPr>
            <w:r w:rsidRPr="00656702">
              <w:rPr>
                <w:rFonts w:ascii="Calibri" w:eastAsia="Times New Roman" w:hAnsi="Calibri" w:cs="Calibri"/>
                <w:b/>
                <w:bCs/>
                <w:sz w:val="18"/>
                <w:szCs w:val="18"/>
                <w:lang w:eastAsia="bg-BG"/>
              </w:rPr>
              <w:t xml:space="preserve">   (1 356 890)</w:t>
            </w:r>
          </w:p>
        </w:tc>
      </w:tr>
    </w:tbl>
    <w:p w:rsidR="00F873E0" w:rsidRPr="00D54103" w:rsidRDefault="00F873E0" w:rsidP="00F873E0">
      <w:pPr>
        <w:spacing w:after="120"/>
        <w:jc w:val="both"/>
        <w:rPr>
          <w:lang w:val="en-US"/>
        </w:rPr>
      </w:pPr>
    </w:p>
    <w:p w:rsidR="00F873E0" w:rsidRPr="00D54103" w:rsidRDefault="00F873E0" w:rsidP="00F873E0">
      <w:pPr>
        <w:spacing w:after="60"/>
        <w:rPr>
          <w:bCs/>
        </w:rPr>
      </w:pPr>
      <w:r w:rsidRPr="00D54103">
        <w:rPr>
          <w:bCs/>
        </w:rPr>
        <w:t xml:space="preserve">Видно от таблицата по отчет за горивото е: </w:t>
      </w:r>
    </w:p>
    <w:p w:rsidR="00F873E0" w:rsidRPr="00D54103" w:rsidRDefault="00F873E0" w:rsidP="00F873E0">
      <w:pPr>
        <w:numPr>
          <w:ilvl w:val="0"/>
          <w:numId w:val="7"/>
        </w:numPr>
        <w:jc w:val="both"/>
      </w:pPr>
      <w:r w:rsidRPr="00D54103">
        <w:t>намаление на превозите с дизелова тяга с 4</w:t>
      </w:r>
      <w:r w:rsidRPr="00D54103">
        <w:rPr>
          <w:lang w:val="en-US"/>
        </w:rPr>
        <w:t>9</w:t>
      </w:r>
      <w:r w:rsidRPr="00D54103">
        <w:t xml:space="preserve">% спрямо предходната година. В резултат на намаления обем работа са изразходвани </w:t>
      </w:r>
      <w:r w:rsidRPr="00D54103">
        <w:rPr>
          <w:lang w:val="en-US"/>
        </w:rPr>
        <w:t>1 968 417</w:t>
      </w:r>
      <w:r w:rsidRPr="00D54103">
        <w:t xml:space="preserve"> литра дизелово гориво по-малко и са намалени разходите с 2</w:t>
      </w:r>
      <w:r w:rsidRPr="00D54103">
        <w:rPr>
          <w:lang w:val="en-US"/>
        </w:rPr>
        <w:t xml:space="preserve"> 854</w:t>
      </w:r>
      <w:r w:rsidRPr="00D54103">
        <w:t xml:space="preserve"> хил. лева;</w:t>
      </w:r>
    </w:p>
    <w:p w:rsidR="00F873E0" w:rsidRPr="00D54103" w:rsidRDefault="00F873E0" w:rsidP="00F873E0">
      <w:pPr>
        <w:numPr>
          <w:ilvl w:val="0"/>
          <w:numId w:val="7"/>
        </w:numPr>
        <w:jc w:val="both"/>
      </w:pPr>
      <w:r w:rsidRPr="00D54103">
        <w:t>количеството изразходвано гориво зависи пряко и от състоянието на акумулаторните батерии на дизеловите локомотиви. Ако те са слаби, локомотивите не се гасят, когато са в престой и работят на място, без да извършват работа. Разходът на гориво за престой на локомотивите от различните серии варира от 11,90 литра на час за серия 55 до 27,63 литра на час за серия 06.</w:t>
      </w:r>
    </w:p>
    <w:p w:rsidR="00F873E0" w:rsidRPr="00D54103" w:rsidRDefault="00F873E0" w:rsidP="00F873E0">
      <w:pPr>
        <w:numPr>
          <w:ilvl w:val="0"/>
          <w:numId w:val="7"/>
        </w:numPr>
        <w:spacing w:line="276" w:lineRule="auto"/>
        <w:jc w:val="both"/>
      </w:pPr>
      <w:r w:rsidRPr="00D54103">
        <w:lastRenderedPageBreak/>
        <w:t xml:space="preserve">увеличение на разходната норма за дизелова тяга от </w:t>
      </w:r>
      <w:r w:rsidRPr="00D54103">
        <w:rPr>
          <w:lang w:val="en-US"/>
        </w:rPr>
        <w:t>8</w:t>
      </w:r>
      <w:r w:rsidRPr="00D54103">
        <w:t>,</w:t>
      </w:r>
      <w:r w:rsidRPr="00D54103">
        <w:rPr>
          <w:lang w:val="en-US"/>
        </w:rPr>
        <w:t>65</w:t>
      </w:r>
      <w:r w:rsidRPr="00D54103">
        <w:t xml:space="preserve"> на 10,</w:t>
      </w:r>
      <w:r w:rsidRPr="00D54103">
        <w:rPr>
          <w:lang w:val="en-US"/>
        </w:rPr>
        <w:t xml:space="preserve">55 </w:t>
      </w:r>
      <w:r w:rsidRPr="00D54103">
        <w:t xml:space="preserve">литра/х. бруто тонкм или </w:t>
      </w:r>
      <w:r w:rsidRPr="00D54103">
        <w:rPr>
          <w:lang w:val="en-US"/>
        </w:rPr>
        <w:t>22</w:t>
      </w:r>
      <w:r w:rsidRPr="00D54103">
        <w:t xml:space="preserve">%, в резултат на което е изразходвано повече </w:t>
      </w:r>
      <w:r w:rsidRPr="00D54103">
        <w:rPr>
          <w:lang w:val="en-US"/>
        </w:rPr>
        <w:t>374 154</w:t>
      </w:r>
      <w:r w:rsidRPr="00D54103">
        <w:t xml:space="preserve"> литра дизелово гориво. В следствие на увеличената разходна норма, разходите за дизелова тяга са увеличени с </w:t>
      </w:r>
      <w:r w:rsidRPr="00D54103">
        <w:rPr>
          <w:lang w:val="en-US"/>
        </w:rPr>
        <w:t>543</w:t>
      </w:r>
      <w:r w:rsidRPr="00D54103">
        <w:t xml:space="preserve"> хил. лева. </w:t>
      </w:r>
      <w:r w:rsidRPr="00D54103">
        <w:rPr>
          <w:b/>
        </w:rPr>
        <w:t>Увеличена е разходната норма за дизелова маневра</w:t>
      </w:r>
      <w:r w:rsidRPr="00D54103">
        <w:t xml:space="preserve"> от 15,</w:t>
      </w:r>
      <w:r w:rsidRPr="00D54103">
        <w:rPr>
          <w:lang w:val="en-US"/>
        </w:rPr>
        <w:t>29</w:t>
      </w:r>
      <w:r w:rsidRPr="00D54103">
        <w:t xml:space="preserve"> литра на маневро час на 15,4</w:t>
      </w:r>
      <w:r w:rsidRPr="00D54103">
        <w:rPr>
          <w:lang w:val="en-US"/>
        </w:rPr>
        <w:t>9</w:t>
      </w:r>
      <w:r w:rsidRPr="00D54103">
        <w:t>литра на маневро час или увеличението е 1</w:t>
      </w:r>
      <w:r w:rsidRPr="00D54103">
        <w:rPr>
          <w:lang w:val="en-US"/>
        </w:rPr>
        <w:t>,3</w:t>
      </w:r>
      <w:r w:rsidRPr="00D54103">
        <w:t xml:space="preserve"> %. В резултат на това за маневра са изразходвани </w:t>
      </w:r>
      <w:r w:rsidRPr="00D54103">
        <w:rPr>
          <w:lang w:val="en-US"/>
        </w:rPr>
        <w:t>19 746</w:t>
      </w:r>
      <w:r w:rsidRPr="00D54103">
        <w:t xml:space="preserve"> литра дизелово гориво повече от съответния период на 2016 г. и е реализирана преразход от </w:t>
      </w:r>
      <w:r w:rsidRPr="00D54103">
        <w:rPr>
          <w:lang w:val="en-US"/>
        </w:rPr>
        <w:t>29</w:t>
      </w:r>
      <w:r w:rsidRPr="00D54103">
        <w:t xml:space="preserve"> хил лева; Разходът на маневра зависи от интензивността й, какви локомотиви са подадени за маневрена работа, която по принцип се извършва от серия 55 и 52. В зависимост от техническото състояние на тяговия подвижен състав се подават и по –мощни магистрални локомотиви за маневра –серия 06, 07 вместо 55 или 52.</w:t>
      </w:r>
    </w:p>
    <w:p w:rsidR="00F873E0" w:rsidRPr="00D54103" w:rsidRDefault="00F873E0" w:rsidP="00F873E0">
      <w:pPr>
        <w:numPr>
          <w:ilvl w:val="0"/>
          <w:numId w:val="7"/>
        </w:numPr>
        <w:ind w:left="714" w:hanging="357"/>
        <w:jc w:val="both"/>
        <w:rPr>
          <w:bCs/>
        </w:rPr>
      </w:pPr>
      <w:r w:rsidRPr="00D54103">
        <w:rPr>
          <w:bCs/>
        </w:rPr>
        <w:t xml:space="preserve">от увеличението на средната цена на дизеловото гориво с </w:t>
      </w:r>
      <w:r w:rsidRPr="00D54103">
        <w:rPr>
          <w:bCs/>
          <w:lang w:val="en-US"/>
        </w:rPr>
        <w:t>9</w:t>
      </w:r>
      <w:r w:rsidRPr="00D54103">
        <w:rPr>
          <w:bCs/>
        </w:rPr>
        <w:t>%, общият разход е увеличен с 4</w:t>
      </w:r>
      <w:r w:rsidRPr="00D54103">
        <w:rPr>
          <w:bCs/>
          <w:lang w:val="en-US"/>
        </w:rPr>
        <w:t xml:space="preserve">33 </w:t>
      </w:r>
      <w:r w:rsidRPr="00D54103">
        <w:rPr>
          <w:bCs/>
        </w:rPr>
        <w:t>хил. лева;</w:t>
      </w:r>
    </w:p>
    <w:p w:rsidR="00F873E0" w:rsidRPr="00D54103" w:rsidRDefault="00F873E0" w:rsidP="00F873E0">
      <w:pPr>
        <w:numPr>
          <w:ilvl w:val="0"/>
          <w:numId w:val="7"/>
        </w:numPr>
        <w:spacing w:after="60"/>
        <w:ind w:left="714" w:hanging="357"/>
        <w:jc w:val="both"/>
      </w:pPr>
      <w:r w:rsidRPr="00D54103">
        <w:t xml:space="preserve">Увеличават се </w:t>
      </w:r>
      <w:r w:rsidRPr="00D54103">
        <w:rPr>
          <w:b/>
        </w:rPr>
        <w:t>„други разходи</w:t>
      </w:r>
      <w:r w:rsidRPr="00D54103">
        <w:t>” за гориво (поддържане на локомотивите в топло състояние през зимния сезон, за автомобили, разход при ремонт на локомотиви, маневра депо и други) със 1</w:t>
      </w:r>
      <w:r w:rsidRPr="00D54103">
        <w:rPr>
          <w:lang w:val="en-US"/>
        </w:rPr>
        <w:t>06</w:t>
      </w:r>
      <w:r w:rsidRPr="00D54103">
        <w:t xml:space="preserve"> хил. лева или </w:t>
      </w:r>
      <w:r w:rsidRPr="00D54103">
        <w:rPr>
          <w:lang w:val="en-US"/>
        </w:rPr>
        <w:t>13</w:t>
      </w:r>
      <w:r w:rsidRPr="00D54103">
        <w:t>%, спрямо съответния период на 2016 г. Основно увеличението е от поддържане на локомотивите в „горещ престой” през зимните месеци, което е със 1</w:t>
      </w:r>
      <w:r w:rsidRPr="00D54103">
        <w:rPr>
          <w:lang w:val="en-US"/>
        </w:rPr>
        <w:t>56</w:t>
      </w:r>
      <w:r w:rsidRPr="00D54103">
        <w:t xml:space="preserve"> хил. лева повече спрямо предходната година.</w:t>
      </w:r>
      <w:r w:rsidRPr="00D54103">
        <w:rPr>
          <w:bCs/>
        </w:rPr>
        <w:t xml:space="preserve"> </w:t>
      </w:r>
    </w:p>
    <w:p w:rsidR="00F873E0" w:rsidRDefault="00F873E0" w:rsidP="00F873E0">
      <w:pPr>
        <w:spacing w:after="120"/>
        <w:ind w:firstLine="567"/>
        <w:jc w:val="both"/>
        <w:rPr>
          <w:b/>
          <w:lang w:val="en-US"/>
        </w:rPr>
      </w:pPr>
    </w:p>
    <w:p w:rsidR="00F873E0" w:rsidRDefault="00F873E0" w:rsidP="00F873E0">
      <w:pPr>
        <w:spacing w:after="120"/>
        <w:ind w:firstLine="567"/>
        <w:jc w:val="both"/>
        <w:rPr>
          <w:lang w:val="en-US"/>
        </w:rPr>
      </w:pPr>
      <w:r w:rsidRPr="00D54103">
        <w:rPr>
          <w:b/>
        </w:rPr>
        <w:t>2.2. Енергия</w:t>
      </w:r>
      <w:r w:rsidRPr="00D54103">
        <w:t xml:space="preserve"> – разходите за енергия са </w:t>
      </w:r>
      <w:r w:rsidRPr="00D54103">
        <w:rPr>
          <w:lang w:val="en-US"/>
        </w:rPr>
        <w:t>17 930</w:t>
      </w:r>
      <w:r w:rsidRPr="00D54103">
        <w:t xml:space="preserve"> хил. лева, което </w:t>
      </w:r>
      <w:r w:rsidRPr="00F873E0">
        <w:rPr>
          <w:color w:val="000000"/>
        </w:rPr>
        <w:t>представлява 1</w:t>
      </w:r>
      <w:r w:rsidRPr="00F873E0">
        <w:rPr>
          <w:color w:val="000000" w:themeColor="text1"/>
          <w:lang w:val="en-US"/>
        </w:rPr>
        <w:t>5</w:t>
      </w:r>
      <w:r w:rsidRPr="00D54103">
        <w:t xml:space="preserve">% от разходите по икономически елементи. Спрямо предходната година са увеличени с 2 </w:t>
      </w:r>
      <w:r w:rsidRPr="00D54103">
        <w:rPr>
          <w:lang w:val="en-US"/>
        </w:rPr>
        <w:t>3</w:t>
      </w:r>
      <w:r w:rsidRPr="00D54103">
        <w:t>3</w:t>
      </w:r>
      <w:r w:rsidR="00F91BD3">
        <w:rPr>
          <w:lang w:val="en-US"/>
        </w:rPr>
        <w:t>2</w:t>
      </w:r>
      <w:r w:rsidRPr="00D54103">
        <w:t xml:space="preserve"> хил. лева.</w:t>
      </w:r>
    </w:p>
    <w:tbl>
      <w:tblPr>
        <w:tblW w:w="5000" w:type="pct"/>
        <w:tblCellMar>
          <w:left w:w="70" w:type="dxa"/>
          <w:right w:w="70" w:type="dxa"/>
        </w:tblCellMar>
        <w:tblLook w:val="04A0" w:firstRow="1" w:lastRow="0" w:firstColumn="1" w:lastColumn="0" w:noHBand="0" w:noVBand="1"/>
      </w:tblPr>
      <w:tblGrid>
        <w:gridCol w:w="229"/>
        <w:gridCol w:w="2457"/>
        <w:gridCol w:w="1176"/>
        <w:gridCol w:w="1270"/>
        <w:gridCol w:w="1214"/>
        <w:gridCol w:w="1176"/>
        <w:gridCol w:w="1222"/>
        <w:gridCol w:w="1242"/>
      </w:tblGrid>
      <w:tr w:rsidR="00F873E0" w:rsidRPr="00942B88" w:rsidTr="00FF4487">
        <w:trPr>
          <w:trHeight w:val="255"/>
        </w:trPr>
        <w:tc>
          <w:tcPr>
            <w:tcW w:w="1343" w:type="pct"/>
            <w:gridSpan w:val="2"/>
            <w:vMerge w:val="restart"/>
            <w:tcBorders>
              <w:top w:val="single" w:sz="4" w:space="0" w:color="auto"/>
              <w:left w:val="single" w:sz="4" w:space="0" w:color="auto"/>
              <w:bottom w:val="double" w:sz="6" w:space="0" w:color="000000"/>
              <w:right w:val="single" w:sz="4" w:space="0" w:color="000000"/>
            </w:tcBorders>
            <w:shd w:val="clear" w:color="auto" w:fill="auto"/>
            <w:noWrap/>
            <w:vAlign w:val="center"/>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П О К А З А Т Е Л И</w:t>
            </w:r>
          </w:p>
        </w:tc>
        <w:tc>
          <w:tcPr>
            <w:tcW w:w="589" w:type="pct"/>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Мярка</w:t>
            </w:r>
          </w:p>
        </w:tc>
        <w:tc>
          <w:tcPr>
            <w:tcW w:w="636" w:type="pct"/>
            <w:tcBorders>
              <w:top w:val="single" w:sz="4" w:space="0" w:color="auto"/>
              <w:left w:val="single" w:sz="4" w:space="0" w:color="auto"/>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Отчет</w:t>
            </w:r>
          </w:p>
        </w:tc>
        <w:tc>
          <w:tcPr>
            <w:tcW w:w="608" w:type="pct"/>
            <w:tcBorders>
              <w:top w:val="single" w:sz="4" w:space="0" w:color="auto"/>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План</w:t>
            </w:r>
          </w:p>
        </w:tc>
        <w:tc>
          <w:tcPr>
            <w:tcW w:w="589" w:type="pct"/>
            <w:tcBorders>
              <w:top w:val="single" w:sz="4" w:space="0" w:color="auto"/>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Отчет</w:t>
            </w:r>
          </w:p>
        </w:tc>
        <w:tc>
          <w:tcPr>
            <w:tcW w:w="1235" w:type="pct"/>
            <w:gridSpan w:val="2"/>
            <w:tcBorders>
              <w:top w:val="single" w:sz="4" w:space="0" w:color="auto"/>
              <w:left w:val="nil"/>
              <w:bottom w:val="single" w:sz="4" w:space="0" w:color="auto"/>
              <w:right w:val="single" w:sz="4" w:space="0" w:color="000000"/>
            </w:tcBorders>
            <w:shd w:val="clear" w:color="auto" w:fill="auto"/>
            <w:noWrap/>
            <w:vAlign w:val="bottom"/>
            <w:hideMark/>
          </w:tcPr>
          <w:p w:rsidR="00F873E0" w:rsidRPr="00942B88" w:rsidRDefault="00F873E0" w:rsidP="0044272C">
            <w:pPr>
              <w:jc w:val="cente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r>
      <w:tr w:rsidR="00F873E0" w:rsidRPr="00942B88" w:rsidTr="00FF4487">
        <w:trPr>
          <w:trHeight w:val="255"/>
        </w:trPr>
        <w:tc>
          <w:tcPr>
            <w:tcW w:w="1343" w:type="pct"/>
            <w:gridSpan w:val="2"/>
            <w:vMerge/>
            <w:tcBorders>
              <w:top w:val="single" w:sz="4" w:space="0" w:color="auto"/>
              <w:left w:val="single" w:sz="4" w:space="0" w:color="auto"/>
              <w:bottom w:val="double" w:sz="6" w:space="0" w:color="000000"/>
              <w:right w:val="single" w:sz="4" w:space="0" w:color="000000"/>
            </w:tcBorders>
            <w:vAlign w:val="center"/>
            <w:hideMark/>
          </w:tcPr>
          <w:p w:rsidR="00F873E0" w:rsidRPr="00942B88" w:rsidRDefault="00F873E0" w:rsidP="0044272C">
            <w:pPr>
              <w:rPr>
                <w:rFonts w:ascii="Calibri" w:eastAsia="Times New Roman" w:hAnsi="Calibri" w:cs="Calibri"/>
                <w:b/>
                <w:bCs/>
                <w:sz w:val="16"/>
                <w:szCs w:val="16"/>
                <w:lang w:eastAsia="bg-BG"/>
              </w:rPr>
            </w:pPr>
          </w:p>
        </w:tc>
        <w:tc>
          <w:tcPr>
            <w:tcW w:w="589" w:type="pct"/>
            <w:vMerge/>
            <w:tcBorders>
              <w:top w:val="double" w:sz="6" w:space="0" w:color="000000"/>
              <w:left w:val="single" w:sz="4" w:space="0" w:color="auto"/>
              <w:bottom w:val="double" w:sz="6" w:space="0" w:color="000000"/>
              <w:right w:val="nil"/>
            </w:tcBorders>
            <w:vAlign w:val="center"/>
            <w:hideMark/>
          </w:tcPr>
          <w:p w:rsidR="00F873E0" w:rsidRPr="00942B88" w:rsidRDefault="00F873E0" w:rsidP="0044272C">
            <w:pPr>
              <w:rPr>
                <w:rFonts w:ascii="Calibri" w:eastAsia="Times New Roman" w:hAnsi="Calibri" w:cs="Calibri"/>
                <w:b/>
                <w:bCs/>
                <w:sz w:val="16"/>
                <w:szCs w:val="16"/>
                <w:lang w:eastAsia="bg-BG"/>
              </w:rPr>
            </w:pPr>
          </w:p>
        </w:tc>
        <w:tc>
          <w:tcPr>
            <w:tcW w:w="636" w:type="pct"/>
            <w:tcBorders>
              <w:top w:val="nil"/>
              <w:left w:val="single" w:sz="4" w:space="0" w:color="auto"/>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12-те мес.</w:t>
            </w:r>
          </w:p>
        </w:tc>
        <w:tc>
          <w:tcPr>
            <w:tcW w:w="608" w:type="pct"/>
            <w:tcBorders>
              <w:top w:val="nil"/>
              <w:left w:val="nil"/>
              <w:bottom w:val="nil"/>
              <w:right w:val="nil"/>
            </w:tcBorders>
            <w:shd w:val="clear" w:color="auto" w:fill="auto"/>
            <w:noWrap/>
            <w:vAlign w:val="bottom"/>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12-те мес.</w:t>
            </w:r>
          </w:p>
        </w:tc>
        <w:tc>
          <w:tcPr>
            <w:tcW w:w="589" w:type="pct"/>
            <w:tcBorders>
              <w:top w:val="nil"/>
              <w:left w:val="single" w:sz="4" w:space="0" w:color="auto"/>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12-те мес.</w:t>
            </w:r>
          </w:p>
        </w:tc>
        <w:tc>
          <w:tcPr>
            <w:tcW w:w="612" w:type="pct"/>
            <w:vMerge w:val="restart"/>
            <w:tcBorders>
              <w:top w:val="nil"/>
              <w:left w:val="nil"/>
              <w:bottom w:val="double" w:sz="6" w:space="0" w:color="000000"/>
              <w:right w:val="single" w:sz="4" w:space="0" w:color="auto"/>
            </w:tcBorders>
            <w:shd w:val="clear" w:color="auto" w:fill="auto"/>
            <w:noWrap/>
            <w:vAlign w:val="center"/>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2017/2016</w:t>
            </w:r>
          </w:p>
        </w:tc>
        <w:tc>
          <w:tcPr>
            <w:tcW w:w="623" w:type="pct"/>
            <w:vMerge w:val="restart"/>
            <w:tcBorders>
              <w:top w:val="nil"/>
              <w:left w:val="single" w:sz="4" w:space="0" w:color="auto"/>
              <w:bottom w:val="double" w:sz="6" w:space="0" w:color="000000"/>
              <w:right w:val="single" w:sz="4" w:space="0" w:color="auto"/>
            </w:tcBorders>
            <w:shd w:val="clear" w:color="auto" w:fill="auto"/>
            <w:noWrap/>
            <w:vAlign w:val="center"/>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отчет/план</w:t>
            </w:r>
          </w:p>
        </w:tc>
      </w:tr>
      <w:tr w:rsidR="00F873E0" w:rsidRPr="00942B88" w:rsidTr="00FF4487">
        <w:trPr>
          <w:trHeight w:val="270"/>
        </w:trPr>
        <w:tc>
          <w:tcPr>
            <w:tcW w:w="1343" w:type="pct"/>
            <w:gridSpan w:val="2"/>
            <w:vMerge/>
            <w:tcBorders>
              <w:top w:val="single" w:sz="4" w:space="0" w:color="auto"/>
              <w:left w:val="single" w:sz="4" w:space="0" w:color="auto"/>
              <w:bottom w:val="double" w:sz="6" w:space="0" w:color="000000"/>
              <w:right w:val="single" w:sz="4" w:space="0" w:color="000000"/>
            </w:tcBorders>
            <w:vAlign w:val="center"/>
            <w:hideMark/>
          </w:tcPr>
          <w:p w:rsidR="00F873E0" w:rsidRPr="00942B88" w:rsidRDefault="00F873E0" w:rsidP="0044272C">
            <w:pPr>
              <w:rPr>
                <w:rFonts w:ascii="Calibri" w:eastAsia="Times New Roman" w:hAnsi="Calibri" w:cs="Calibri"/>
                <w:b/>
                <w:bCs/>
                <w:sz w:val="16"/>
                <w:szCs w:val="16"/>
                <w:lang w:eastAsia="bg-BG"/>
              </w:rPr>
            </w:pPr>
          </w:p>
        </w:tc>
        <w:tc>
          <w:tcPr>
            <w:tcW w:w="589" w:type="pct"/>
            <w:vMerge/>
            <w:tcBorders>
              <w:top w:val="double" w:sz="6" w:space="0" w:color="000000"/>
              <w:left w:val="single" w:sz="4" w:space="0" w:color="auto"/>
              <w:bottom w:val="double" w:sz="6" w:space="0" w:color="000000"/>
              <w:right w:val="single" w:sz="4" w:space="0" w:color="auto"/>
            </w:tcBorders>
            <w:vAlign w:val="center"/>
            <w:hideMark/>
          </w:tcPr>
          <w:p w:rsidR="00F873E0" w:rsidRPr="00942B88" w:rsidRDefault="00F873E0" w:rsidP="0044272C">
            <w:pPr>
              <w:rPr>
                <w:rFonts w:ascii="Calibri" w:eastAsia="Times New Roman" w:hAnsi="Calibri" w:cs="Calibri"/>
                <w:b/>
                <w:bCs/>
                <w:sz w:val="16"/>
                <w:szCs w:val="16"/>
                <w:lang w:eastAsia="bg-BG"/>
              </w:rPr>
            </w:pPr>
          </w:p>
        </w:tc>
        <w:tc>
          <w:tcPr>
            <w:tcW w:w="636" w:type="pct"/>
            <w:tcBorders>
              <w:top w:val="nil"/>
              <w:left w:val="single" w:sz="4" w:space="0" w:color="auto"/>
              <w:bottom w:val="double" w:sz="6" w:space="0" w:color="auto"/>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2017 г.</w:t>
            </w:r>
          </w:p>
        </w:tc>
        <w:tc>
          <w:tcPr>
            <w:tcW w:w="608" w:type="pct"/>
            <w:tcBorders>
              <w:top w:val="nil"/>
              <w:left w:val="nil"/>
              <w:bottom w:val="double" w:sz="6" w:space="0" w:color="auto"/>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2017 г.</w:t>
            </w:r>
          </w:p>
        </w:tc>
        <w:tc>
          <w:tcPr>
            <w:tcW w:w="589" w:type="pct"/>
            <w:tcBorders>
              <w:top w:val="nil"/>
              <w:left w:val="nil"/>
              <w:bottom w:val="double" w:sz="6" w:space="0" w:color="auto"/>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2016 г.</w:t>
            </w:r>
          </w:p>
        </w:tc>
        <w:tc>
          <w:tcPr>
            <w:tcW w:w="612" w:type="pct"/>
            <w:vMerge/>
            <w:tcBorders>
              <w:top w:val="nil"/>
              <w:left w:val="nil"/>
              <w:bottom w:val="double" w:sz="6" w:space="0" w:color="000000"/>
              <w:right w:val="single" w:sz="4" w:space="0" w:color="auto"/>
            </w:tcBorders>
            <w:vAlign w:val="center"/>
            <w:hideMark/>
          </w:tcPr>
          <w:p w:rsidR="00F873E0" w:rsidRPr="00942B88" w:rsidRDefault="00F873E0" w:rsidP="0044272C">
            <w:pPr>
              <w:rPr>
                <w:rFonts w:ascii="Calibri" w:eastAsia="Times New Roman" w:hAnsi="Calibri" w:cs="Calibri"/>
                <w:b/>
                <w:bCs/>
                <w:sz w:val="16"/>
                <w:szCs w:val="16"/>
                <w:lang w:eastAsia="bg-BG"/>
              </w:rPr>
            </w:pPr>
          </w:p>
        </w:tc>
        <w:tc>
          <w:tcPr>
            <w:tcW w:w="623" w:type="pct"/>
            <w:vMerge/>
            <w:tcBorders>
              <w:top w:val="nil"/>
              <w:left w:val="single" w:sz="4" w:space="0" w:color="auto"/>
              <w:bottom w:val="double" w:sz="6" w:space="0" w:color="000000"/>
              <w:right w:val="single" w:sz="4" w:space="0" w:color="auto"/>
            </w:tcBorders>
            <w:vAlign w:val="center"/>
            <w:hideMark/>
          </w:tcPr>
          <w:p w:rsidR="00F873E0" w:rsidRPr="00942B88" w:rsidRDefault="00F873E0" w:rsidP="0044272C">
            <w:pPr>
              <w:rPr>
                <w:rFonts w:ascii="Calibri" w:eastAsia="Times New Roman" w:hAnsi="Calibri" w:cs="Calibri"/>
                <w:b/>
                <w:bCs/>
                <w:sz w:val="16"/>
                <w:szCs w:val="16"/>
                <w:lang w:eastAsia="bg-BG"/>
              </w:rPr>
            </w:pPr>
          </w:p>
        </w:tc>
      </w:tr>
      <w:tr w:rsidR="00F873E0" w:rsidRPr="00942B88" w:rsidTr="00FF4487">
        <w:trPr>
          <w:trHeight w:val="270"/>
        </w:trPr>
        <w:tc>
          <w:tcPr>
            <w:tcW w:w="114" w:type="pct"/>
            <w:tcBorders>
              <w:top w:val="nil"/>
              <w:left w:val="single" w:sz="4" w:space="0" w:color="auto"/>
              <w:bottom w:val="nil"/>
              <w:right w:val="nil"/>
            </w:tcBorders>
            <w:shd w:val="clear" w:color="auto" w:fill="auto"/>
            <w:noWrap/>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1</w:t>
            </w:r>
          </w:p>
        </w:tc>
        <w:tc>
          <w:tcPr>
            <w:tcW w:w="1230" w:type="pct"/>
            <w:tcBorders>
              <w:top w:val="nil"/>
              <w:left w:val="nil"/>
              <w:bottom w:val="nil"/>
              <w:right w:val="single" w:sz="4" w:space="0" w:color="auto"/>
            </w:tcBorders>
            <w:shd w:val="clear" w:color="auto" w:fill="auto"/>
            <w:noWrap/>
            <w:vAlign w:val="bottom"/>
            <w:hideMark/>
          </w:tcPr>
          <w:p w:rsidR="00F873E0" w:rsidRPr="00942B88" w:rsidRDefault="00F873E0" w:rsidP="0044272C">
            <w:pP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Обем работа</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612" w:type="pct"/>
            <w:tcBorders>
              <w:top w:val="nil"/>
              <w:left w:val="nil"/>
              <w:bottom w:val="nil"/>
              <w:right w:val="single" w:sz="4" w:space="0" w:color="auto"/>
            </w:tcBorders>
            <w:shd w:val="clear" w:color="auto" w:fill="auto"/>
            <w:noWrap/>
            <w:hideMark/>
          </w:tcPr>
          <w:p w:rsidR="00F873E0" w:rsidRPr="00942B88" w:rsidRDefault="00F873E0" w:rsidP="0044272C">
            <w:pP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623" w:type="pct"/>
            <w:tcBorders>
              <w:top w:val="nil"/>
              <w:left w:val="nil"/>
              <w:bottom w:val="nil"/>
              <w:right w:val="single" w:sz="4" w:space="0" w:color="auto"/>
            </w:tcBorders>
            <w:shd w:val="clear" w:color="auto" w:fill="auto"/>
            <w:noWrap/>
            <w:hideMark/>
          </w:tcPr>
          <w:p w:rsidR="00F873E0" w:rsidRPr="00942B88" w:rsidRDefault="00F873E0" w:rsidP="0044272C">
            <w:pP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r>
      <w:tr w:rsidR="00F873E0" w:rsidRPr="00942B88" w:rsidTr="00FF4487">
        <w:trPr>
          <w:trHeight w:val="255"/>
        </w:trPr>
        <w:tc>
          <w:tcPr>
            <w:tcW w:w="114" w:type="pct"/>
            <w:tcBorders>
              <w:top w:val="nil"/>
              <w:left w:val="single" w:sz="4" w:space="0" w:color="auto"/>
              <w:bottom w:val="nil"/>
              <w:right w:val="nil"/>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1230" w:type="pct"/>
            <w:tcBorders>
              <w:top w:val="nil"/>
              <w:left w:val="nil"/>
              <w:bottom w:val="nil"/>
              <w:right w:val="single" w:sz="4" w:space="0" w:color="auto"/>
            </w:tcBorders>
            <w:shd w:val="clear" w:color="auto" w:fill="auto"/>
            <w:noWrap/>
            <w:vAlign w:val="bottom"/>
            <w:hideMark/>
          </w:tcPr>
          <w:p w:rsidR="00F873E0" w:rsidRPr="00942B88" w:rsidRDefault="00F873E0" w:rsidP="0044272C">
            <w:pP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а) електрическа тяга</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млн бр.ткм</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3 166,785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2 825,713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2 747,705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419,080 </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341,072 </w:t>
            </w:r>
          </w:p>
        </w:tc>
      </w:tr>
      <w:tr w:rsidR="00F873E0" w:rsidRPr="00942B88" w:rsidTr="00FF4487">
        <w:trPr>
          <w:trHeight w:val="255"/>
        </w:trPr>
        <w:tc>
          <w:tcPr>
            <w:tcW w:w="114" w:type="pct"/>
            <w:tcBorders>
              <w:top w:val="nil"/>
              <w:left w:val="single" w:sz="4" w:space="0" w:color="auto"/>
              <w:bottom w:val="nil"/>
              <w:right w:val="nil"/>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1230" w:type="pct"/>
            <w:tcBorders>
              <w:top w:val="nil"/>
              <w:left w:val="nil"/>
              <w:bottom w:val="nil"/>
              <w:right w:val="single" w:sz="4" w:space="0" w:color="auto"/>
            </w:tcBorders>
            <w:shd w:val="clear" w:color="auto" w:fill="auto"/>
            <w:noWrap/>
            <w:vAlign w:val="bottom"/>
            <w:hideMark/>
          </w:tcPr>
          <w:p w:rsidR="00F873E0" w:rsidRPr="00942B88" w:rsidRDefault="00F873E0" w:rsidP="0044272C">
            <w:pP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б) ел. маневра</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х ман.ч</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5,856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21,829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19,632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(13,776)</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(15,973)</w:t>
            </w:r>
          </w:p>
        </w:tc>
      </w:tr>
      <w:tr w:rsidR="00F873E0" w:rsidRPr="00942B88" w:rsidTr="00FF4487">
        <w:trPr>
          <w:trHeight w:val="255"/>
        </w:trPr>
        <w:tc>
          <w:tcPr>
            <w:tcW w:w="114" w:type="pct"/>
            <w:tcBorders>
              <w:top w:val="nil"/>
              <w:left w:val="single" w:sz="4" w:space="0" w:color="auto"/>
              <w:bottom w:val="nil"/>
              <w:right w:val="nil"/>
            </w:tcBorders>
            <w:shd w:val="clear" w:color="auto" w:fill="auto"/>
            <w:noWrap/>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2</w:t>
            </w:r>
          </w:p>
        </w:tc>
        <w:tc>
          <w:tcPr>
            <w:tcW w:w="1230" w:type="pct"/>
            <w:tcBorders>
              <w:top w:val="nil"/>
              <w:left w:val="nil"/>
              <w:bottom w:val="nil"/>
              <w:right w:val="single" w:sz="4" w:space="0" w:color="auto"/>
            </w:tcBorders>
            <w:shd w:val="clear" w:color="auto" w:fill="auto"/>
            <w:noWrap/>
            <w:hideMark/>
          </w:tcPr>
          <w:p w:rsidR="00F873E0" w:rsidRPr="00942B88" w:rsidRDefault="00F873E0" w:rsidP="0044272C">
            <w:pP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Разходна норма</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r>
      <w:tr w:rsidR="00F873E0" w:rsidRPr="00942B88" w:rsidTr="00FF4487">
        <w:trPr>
          <w:trHeight w:val="255"/>
        </w:trPr>
        <w:tc>
          <w:tcPr>
            <w:tcW w:w="114" w:type="pct"/>
            <w:tcBorders>
              <w:top w:val="nil"/>
              <w:left w:val="single" w:sz="4" w:space="0" w:color="auto"/>
              <w:bottom w:val="nil"/>
              <w:right w:val="nil"/>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1230" w:type="pct"/>
            <w:tcBorders>
              <w:top w:val="nil"/>
              <w:left w:val="nil"/>
              <w:bottom w:val="nil"/>
              <w:right w:val="single" w:sz="4" w:space="0" w:color="auto"/>
            </w:tcBorders>
            <w:shd w:val="clear" w:color="auto" w:fill="auto"/>
            <w:noWrap/>
            <w:vAlign w:val="bottom"/>
            <w:hideMark/>
          </w:tcPr>
          <w:p w:rsidR="00F873E0" w:rsidRPr="00942B88" w:rsidRDefault="00F873E0" w:rsidP="0044272C">
            <w:pP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а) електрическа тяга</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мвтч/м брткм</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17,43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16,57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17,67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(0,24)</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0,86 </w:t>
            </w:r>
          </w:p>
        </w:tc>
      </w:tr>
      <w:tr w:rsidR="00F873E0" w:rsidRPr="00942B88" w:rsidTr="00FF4487">
        <w:trPr>
          <w:trHeight w:val="255"/>
        </w:trPr>
        <w:tc>
          <w:tcPr>
            <w:tcW w:w="114" w:type="pct"/>
            <w:tcBorders>
              <w:top w:val="nil"/>
              <w:left w:val="single" w:sz="4" w:space="0" w:color="auto"/>
              <w:bottom w:val="nil"/>
              <w:right w:val="nil"/>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1230" w:type="pct"/>
            <w:tcBorders>
              <w:top w:val="nil"/>
              <w:left w:val="nil"/>
              <w:bottom w:val="nil"/>
              <w:right w:val="single" w:sz="4" w:space="0" w:color="auto"/>
            </w:tcBorders>
            <w:shd w:val="clear" w:color="auto" w:fill="auto"/>
            <w:noWrap/>
            <w:vAlign w:val="bottom"/>
            <w:hideMark/>
          </w:tcPr>
          <w:p w:rsidR="00F873E0" w:rsidRPr="00942B88" w:rsidRDefault="00F873E0" w:rsidP="0044272C">
            <w:pP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б) ел. маневра</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мвтч/х ман.ч</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26,97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29,43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36,38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(9,41)</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(2,46)</w:t>
            </w:r>
          </w:p>
        </w:tc>
      </w:tr>
      <w:tr w:rsidR="00F873E0" w:rsidRPr="00942B88" w:rsidTr="00FF4487">
        <w:trPr>
          <w:trHeight w:val="255"/>
        </w:trPr>
        <w:tc>
          <w:tcPr>
            <w:tcW w:w="114" w:type="pct"/>
            <w:tcBorders>
              <w:top w:val="nil"/>
              <w:left w:val="single" w:sz="4" w:space="0" w:color="auto"/>
              <w:bottom w:val="nil"/>
              <w:right w:val="nil"/>
            </w:tcBorders>
            <w:shd w:val="clear" w:color="auto" w:fill="auto"/>
            <w:noWrap/>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3</w:t>
            </w:r>
          </w:p>
        </w:tc>
        <w:tc>
          <w:tcPr>
            <w:tcW w:w="1230" w:type="pct"/>
            <w:tcBorders>
              <w:top w:val="nil"/>
              <w:left w:val="nil"/>
              <w:bottom w:val="nil"/>
              <w:right w:val="single" w:sz="4" w:space="0" w:color="auto"/>
            </w:tcBorders>
            <w:shd w:val="clear" w:color="auto" w:fill="auto"/>
            <w:noWrap/>
            <w:vAlign w:val="bottom"/>
            <w:hideMark/>
          </w:tcPr>
          <w:p w:rsidR="00F873E0" w:rsidRPr="00942B88" w:rsidRDefault="00F873E0" w:rsidP="0044272C">
            <w:pP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Количество ел. енергия</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мвтч</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55 354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47 473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49 268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6 086 </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7 881 </w:t>
            </w:r>
          </w:p>
        </w:tc>
      </w:tr>
      <w:tr w:rsidR="00F873E0" w:rsidRPr="00942B88" w:rsidTr="00FF4487">
        <w:trPr>
          <w:trHeight w:val="255"/>
        </w:trPr>
        <w:tc>
          <w:tcPr>
            <w:tcW w:w="114" w:type="pct"/>
            <w:tcBorders>
              <w:top w:val="nil"/>
              <w:left w:val="single" w:sz="4" w:space="0" w:color="auto"/>
              <w:bottom w:val="nil"/>
              <w:right w:val="nil"/>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1230" w:type="pct"/>
            <w:tcBorders>
              <w:top w:val="nil"/>
              <w:left w:val="nil"/>
              <w:bottom w:val="nil"/>
              <w:right w:val="single" w:sz="4" w:space="0" w:color="auto"/>
            </w:tcBorders>
            <w:shd w:val="clear" w:color="auto" w:fill="auto"/>
            <w:noWrap/>
            <w:vAlign w:val="bottom"/>
            <w:hideMark/>
          </w:tcPr>
          <w:p w:rsidR="00F873E0" w:rsidRPr="00942B88" w:rsidRDefault="00F873E0" w:rsidP="0044272C">
            <w:pP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а) електрическа тяга</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мвтч</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55 196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46 831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48 553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6 642 </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8 365 </w:t>
            </w:r>
          </w:p>
        </w:tc>
      </w:tr>
      <w:tr w:rsidR="00F873E0" w:rsidRPr="00942B88" w:rsidTr="00FF4487">
        <w:trPr>
          <w:trHeight w:val="255"/>
        </w:trPr>
        <w:tc>
          <w:tcPr>
            <w:tcW w:w="114" w:type="pct"/>
            <w:tcBorders>
              <w:top w:val="nil"/>
              <w:left w:val="single" w:sz="4" w:space="0" w:color="auto"/>
              <w:bottom w:val="nil"/>
              <w:right w:val="nil"/>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1230" w:type="pct"/>
            <w:tcBorders>
              <w:top w:val="nil"/>
              <w:left w:val="nil"/>
              <w:bottom w:val="nil"/>
              <w:right w:val="single" w:sz="4" w:space="0" w:color="auto"/>
            </w:tcBorders>
            <w:shd w:val="clear" w:color="auto" w:fill="auto"/>
            <w:noWrap/>
            <w:vAlign w:val="bottom"/>
            <w:hideMark/>
          </w:tcPr>
          <w:p w:rsidR="00F873E0" w:rsidRPr="00942B88" w:rsidRDefault="00F873E0" w:rsidP="0044272C">
            <w:pP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б) ел. маневра</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мвтч</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158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643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714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(556)</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(485)</w:t>
            </w:r>
          </w:p>
        </w:tc>
      </w:tr>
      <w:tr w:rsidR="00F873E0" w:rsidRPr="00942B88" w:rsidTr="00FF4487">
        <w:trPr>
          <w:trHeight w:val="255"/>
        </w:trPr>
        <w:tc>
          <w:tcPr>
            <w:tcW w:w="114" w:type="pct"/>
            <w:tcBorders>
              <w:top w:val="nil"/>
              <w:left w:val="single" w:sz="4" w:space="0" w:color="auto"/>
              <w:bottom w:val="nil"/>
              <w:right w:val="nil"/>
            </w:tcBorders>
            <w:shd w:val="clear" w:color="auto" w:fill="auto"/>
            <w:noWrap/>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4</w:t>
            </w:r>
          </w:p>
        </w:tc>
        <w:tc>
          <w:tcPr>
            <w:tcW w:w="1230" w:type="pct"/>
            <w:tcBorders>
              <w:top w:val="nil"/>
              <w:left w:val="nil"/>
              <w:bottom w:val="nil"/>
              <w:right w:val="single" w:sz="4" w:space="0" w:color="auto"/>
            </w:tcBorders>
            <w:shd w:val="clear" w:color="auto" w:fill="auto"/>
            <w:noWrap/>
            <w:vAlign w:val="bottom"/>
            <w:hideMark/>
          </w:tcPr>
          <w:p w:rsidR="00F873E0" w:rsidRPr="00942B88" w:rsidRDefault="00F873E0" w:rsidP="0044272C">
            <w:pP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Цена на ел. енергия</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лв/мвтч</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153,88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142,47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143,00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10,88 </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11,41 </w:t>
            </w:r>
          </w:p>
        </w:tc>
      </w:tr>
      <w:tr w:rsidR="00F873E0" w:rsidRPr="00942B88" w:rsidTr="00FF4487">
        <w:trPr>
          <w:trHeight w:val="255"/>
        </w:trPr>
        <w:tc>
          <w:tcPr>
            <w:tcW w:w="114" w:type="pct"/>
            <w:tcBorders>
              <w:top w:val="nil"/>
              <w:left w:val="single" w:sz="4" w:space="0" w:color="auto"/>
              <w:bottom w:val="nil"/>
              <w:right w:val="nil"/>
            </w:tcBorders>
            <w:shd w:val="clear" w:color="auto" w:fill="auto"/>
            <w:noWrap/>
            <w:hideMark/>
          </w:tcPr>
          <w:p w:rsidR="00F873E0" w:rsidRPr="00942B88" w:rsidRDefault="00F873E0" w:rsidP="0044272C">
            <w:pP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w:t>
            </w:r>
          </w:p>
        </w:tc>
        <w:tc>
          <w:tcPr>
            <w:tcW w:w="1230" w:type="pct"/>
            <w:tcBorders>
              <w:top w:val="nil"/>
              <w:left w:val="nil"/>
              <w:bottom w:val="nil"/>
              <w:right w:val="single" w:sz="4" w:space="0" w:color="auto"/>
            </w:tcBorders>
            <w:shd w:val="clear" w:color="auto" w:fill="auto"/>
            <w:noWrap/>
            <w:vAlign w:val="bottom"/>
            <w:hideMark/>
          </w:tcPr>
          <w:p w:rsidR="00F873E0" w:rsidRPr="00942B88" w:rsidRDefault="00F873E0" w:rsidP="0044272C">
            <w:pP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цена ЕРП</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лв/мвтч</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146,73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146,73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146,73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0,00 </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0,01 </w:t>
            </w:r>
          </w:p>
        </w:tc>
      </w:tr>
      <w:tr w:rsidR="00F873E0" w:rsidRPr="00942B88" w:rsidTr="00FF4487">
        <w:trPr>
          <w:trHeight w:val="255"/>
        </w:trPr>
        <w:tc>
          <w:tcPr>
            <w:tcW w:w="114" w:type="pct"/>
            <w:tcBorders>
              <w:top w:val="nil"/>
              <w:left w:val="single" w:sz="4" w:space="0" w:color="auto"/>
              <w:bottom w:val="nil"/>
              <w:right w:val="nil"/>
            </w:tcBorders>
            <w:shd w:val="clear" w:color="auto" w:fill="auto"/>
            <w:noWrap/>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5</w:t>
            </w:r>
          </w:p>
        </w:tc>
        <w:tc>
          <w:tcPr>
            <w:tcW w:w="1230" w:type="pct"/>
            <w:tcBorders>
              <w:top w:val="nil"/>
              <w:left w:val="nil"/>
              <w:bottom w:val="nil"/>
              <w:right w:val="single" w:sz="4" w:space="0" w:color="auto"/>
            </w:tcBorders>
            <w:shd w:val="clear" w:color="auto" w:fill="auto"/>
            <w:noWrap/>
            <w:vAlign w:val="bottom"/>
            <w:hideMark/>
          </w:tcPr>
          <w:p w:rsidR="00F873E0" w:rsidRPr="00942B88" w:rsidRDefault="00F873E0" w:rsidP="0044272C">
            <w:pP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Разходи за ел. енергия</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лева</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16 639 850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13 729 086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14 274 381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2 365 469 </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2 910 764 </w:t>
            </w:r>
          </w:p>
        </w:tc>
      </w:tr>
      <w:tr w:rsidR="00F873E0" w:rsidRPr="00942B88" w:rsidTr="00FF4487">
        <w:trPr>
          <w:trHeight w:val="255"/>
        </w:trPr>
        <w:tc>
          <w:tcPr>
            <w:tcW w:w="114" w:type="pct"/>
            <w:tcBorders>
              <w:top w:val="nil"/>
              <w:left w:val="single" w:sz="4" w:space="0" w:color="auto"/>
              <w:bottom w:val="nil"/>
              <w:right w:val="nil"/>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1230" w:type="pct"/>
            <w:tcBorders>
              <w:top w:val="nil"/>
              <w:left w:val="nil"/>
              <w:bottom w:val="nil"/>
              <w:right w:val="single" w:sz="4" w:space="0" w:color="auto"/>
            </w:tcBorders>
            <w:shd w:val="clear" w:color="auto" w:fill="auto"/>
            <w:noWrap/>
            <w:vAlign w:val="bottom"/>
            <w:hideMark/>
          </w:tcPr>
          <w:p w:rsidR="00F873E0" w:rsidRPr="00942B88" w:rsidRDefault="00F873E0" w:rsidP="0044272C">
            <w:pP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а) електрическа тяга</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лева</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8 454 837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6 675 379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6 960 288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1 494 549 </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1 779 457 </w:t>
            </w:r>
          </w:p>
        </w:tc>
      </w:tr>
      <w:tr w:rsidR="00F873E0" w:rsidRPr="00942B88" w:rsidTr="00FF4487">
        <w:trPr>
          <w:trHeight w:val="255"/>
        </w:trPr>
        <w:tc>
          <w:tcPr>
            <w:tcW w:w="114" w:type="pct"/>
            <w:tcBorders>
              <w:top w:val="nil"/>
              <w:left w:val="single" w:sz="4" w:space="0" w:color="auto"/>
              <w:bottom w:val="nil"/>
              <w:right w:val="nil"/>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1230" w:type="pct"/>
            <w:tcBorders>
              <w:top w:val="nil"/>
              <w:left w:val="nil"/>
              <w:bottom w:val="nil"/>
              <w:right w:val="single" w:sz="4" w:space="0" w:color="auto"/>
            </w:tcBorders>
            <w:shd w:val="clear" w:color="auto" w:fill="auto"/>
            <w:noWrap/>
            <w:vAlign w:val="bottom"/>
            <w:hideMark/>
          </w:tcPr>
          <w:p w:rsidR="00F873E0" w:rsidRPr="00942B88" w:rsidRDefault="00F873E0" w:rsidP="0044272C">
            <w:pPr>
              <w:ind w:firstLineChars="100" w:firstLine="160"/>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ЕРП</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лева</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8 098 845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6 871 401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7 124 232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974 614 </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1 227 444 </w:t>
            </w:r>
          </w:p>
        </w:tc>
      </w:tr>
      <w:tr w:rsidR="00F873E0" w:rsidRPr="00942B88" w:rsidTr="00FF4487">
        <w:trPr>
          <w:trHeight w:val="255"/>
        </w:trPr>
        <w:tc>
          <w:tcPr>
            <w:tcW w:w="114" w:type="pct"/>
            <w:tcBorders>
              <w:top w:val="nil"/>
              <w:left w:val="single" w:sz="4" w:space="0" w:color="auto"/>
              <w:bottom w:val="nil"/>
              <w:right w:val="nil"/>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1230" w:type="pct"/>
            <w:tcBorders>
              <w:top w:val="nil"/>
              <w:left w:val="nil"/>
              <w:bottom w:val="nil"/>
              <w:right w:val="single" w:sz="4" w:space="0" w:color="auto"/>
            </w:tcBorders>
            <w:shd w:val="clear" w:color="auto" w:fill="auto"/>
            <w:noWrap/>
            <w:vAlign w:val="bottom"/>
            <w:hideMark/>
          </w:tcPr>
          <w:p w:rsidR="00F873E0" w:rsidRPr="00942B88" w:rsidRDefault="00F873E0" w:rsidP="0044272C">
            <w:pP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б) ел. маневра</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лева</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62 925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88 212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85 062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(22 137)</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(25 287)</w:t>
            </w:r>
          </w:p>
        </w:tc>
      </w:tr>
      <w:tr w:rsidR="00F873E0" w:rsidRPr="00942B88" w:rsidTr="00FF4487">
        <w:trPr>
          <w:trHeight w:val="255"/>
        </w:trPr>
        <w:tc>
          <w:tcPr>
            <w:tcW w:w="114" w:type="pct"/>
            <w:tcBorders>
              <w:top w:val="nil"/>
              <w:left w:val="single" w:sz="4" w:space="0" w:color="auto"/>
              <w:bottom w:val="nil"/>
              <w:right w:val="nil"/>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1230" w:type="pct"/>
            <w:tcBorders>
              <w:top w:val="nil"/>
              <w:left w:val="nil"/>
              <w:bottom w:val="nil"/>
              <w:right w:val="single" w:sz="4" w:space="0" w:color="auto"/>
            </w:tcBorders>
            <w:shd w:val="clear" w:color="auto" w:fill="auto"/>
            <w:noWrap/>
            <w:vAlign w:val="bottom"/>
            <w:hideMark/>
          </w:tcPr>
          <w:p w:rsidR="00F873E0" w:rsidRPr="00942B88" w:rsidRDefault="00F873E0" w:rsidP="0044272C">
            <w:pPr>
              <w:ind w:firstLineChars="100" w:firstLine="160"/>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ЕРП</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лева</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23 242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94 094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104 799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(81 557)</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(70 852)</w:t>
            </w:r>
          </w:p>
        </w:tc>
      </w:tr>
      <w:tr w:rsidR="00F873E0" w:rsidRPr="00942B88" w:rsidTr="00FF4487">
        <w:trPr>
          <w:trHeight w:val="270"/>
        </w:trPr>
        <w:tc>
          <w:tcPr>
            <w:tcW w:w="114" w:type="pct"/>
            <w:tcBorders>
              <w:top w:val="nil"/>
              <w:left w:val="single" w:sz="4" w:space="0" w:color="auto"/>
              <w:bottom w:val="nil"/>
              <w:right w:val="nil"/>
            </w:tcBorders>
            <w:shd w:val="clear" w:color="auto" w:fill="auto"/>
            <w:noWrap/>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6</w:t>
            </w:r>
          </w:p>
        </w:tc>
        <w:tc>
          <w:tcPr>
            <w:tcW w:w="1230" w:type="pct"/>
            <w:tcBorders>
              <w:top w:val="nil"/>
              <w:left w:val="nil"/>
              <w:bottom w:val="nil"/>
              <w:right w:val="single" w:sz="4" w:space="0" w:color="auto"/>
            </w:tcBorders>
            <w:shd w:val="clear" w:color="auto" w:fill="auto"/>
            <w:noWrap/>
            <w:vAlign w:val="bottom"/>
            <w:hideMark/>
          </w:tcPr>
          <w:p w:rsidR="00F873E0" w:rsidRPr="00942B88" w:rsidRDefault="00F873E0" w:rsidP="0044272C">
            <w:pP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Други разходи за ел. енергия</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лева</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1 325 920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1 310 838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xml:space="preserve">       1 357 953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F91BD3">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(3</w:t>
            </w:r>
            <w:r w:rsidR="00F91BD3">
              <w:rPr>
                <w:rFonts w:ascii="Calibri" w:eastAsia="Times New Roman" w:hAnsi="Calibri" w:cs="Calibri"/>
                <w:b/>
                <w:bCs/>
                <w:sz w:val="16"/>
                <w:szCs w:val="16"/>
                <w:lang w:val="en-US" w:eastAsia="bg-BG"/>
              </w:rPr>
              <w:t>1</w:t>
            </w:r>
            <w:r w:rsidRPr="00942B88">
              <w:rPr>
                <w:rFonts w:ascii="Calibri" w:eastAsia="Times New Roman" w:hAnsi="Calibri" w:cs="Calibri"/>
                <w:b/>
                <w:bCs/>
                <w:sz w:val="16"/>
                <w:szCs w:val="16"/>
                <w:lang w:eastAsia="bg-BG"/>
              </w:rPr>
              <w:t xml:space="preserve"> </w:t>
            </w:r>
            <w:r w:rsidR="00F91BD3">
              <w:rPr>
                <w:rFonts w:ascii="Calibri" w:eastAsia="Times New Roman" w:hAnsi="Calibri" w:cs="Calibri"/>
                <w:b/>
                <w:bCs/>
                <w:sz w:val="16"/>
                <w:szCs w:val="16"/>
                <w:lang w:val="en-US" w:eastAsia="bg-BG"/>
              </w:rPr>
              <w:t>434</w:t>
            </w:r>
            <w:r w:rsidRPr="00942B88">
              <w:rPr>
                <w:rFonts w:ascii="Calibri" w:eastAsia="Times New Roman" w:hAnsi="Calibri" w:cs="Calibri"/>
                <w:b/>
                <w:bCs/>
                <w:sz w:val="16"/>
                <w:szCs w:val="16"/>
                <w:lang w:eastAsia="bg-BG"/>
              </w:rPr>
              <w:t>)</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15 081 </w:t>
            </w:r>
          </w:p>
        </w:tc>
      </w:tr>
      <w:tr w:rsidR="00F873E0" w:rsidRPr="00942B88" w:rsidTr="00FF4487">
        <w:trPr>
          <w:trHeight w:val="285"/>
        </w:trPr>
        <w:tc>
          <w:tcPr>
            <w:tcW w:w="114" w:type="pct"/>
            <w:tcBorders>
              <w:top w:val="double" w:sz="6" w:space="0" w:color="auto"/>
              <w:left w:val="single" w:sz="4" w:space="0" w:color="auto"/>
              <w:bottom w:val="double" w:sz="6" w:space="0" w:color="auto"/>
              <w:right w:val="nil"/>
            </w:tcBorders>
            <w:shd w:val="clear" w:color="auto" w:fill="auto"/>
            <w:noWrap/>
            <w:hideMark/>
          </w:tcPr>
          <w:p w:rsidR="00F873E0" w:rsidRPr="00942B88" w:rsidRDefault="00F873E0" w:rsidP="0044272C">
            <w:pP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1230" w:type="pct"/>
            <w:tcBorders>
              <w:top w:val="double" w:sz="6" w:space="0" w:color="auto"/>
              <w:left w:val="nil"/>
              <w:bottom w:val="double" w:sz="6" w:space="0" w:color="auto"/>
              <w:right w:val="single" w:sz="4" w:space="0" w:color="auto"/>
            </w:tcBorders>
            <w:shd w:val="clear" w:color="auto" w:fill="auto"/>
            <w:noWrap/>
            <w:vAlign w:val="bottom"/>
            <w:hideMark/>
          </w:tcPr>
          <w:p w:rsidR="00F873E0" w:rsidRPr="00942B88" w:rsidRDefault="00F873E0" w:rsidP="0044272C">
            <w:pPr>
              <w:jc w:val="both"/>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Общо разходи за енергия</w:t>
            </w:r>
          </w:p>
        </w:tc>
        <w:tc>
          <w:tcPr>
            <w:tcW w:w="589" w:type="pct"/>
            <w:tcBorders>
              <w:top w:val="double" w:sz="6" w:space="0" w:color="auto"/>
              <w:left w:val="nil"/>
              <w:bottom w:val="double" w:sz="6" w:space="0" w:color="auto"/>
              <w:right w:val="nil"/>
            </w:tcBorders>
            <w:shd w:val="clear" w:color="auto" w:fill="auto"/>
            <w:noWrap/>
            <w:vAlign w:val="bottom"/>
            <w:hideMark/>
          </w:tcPr>
          <w:p w:rsidR="00F873E0" w:rsidRPr="00942B88" w:rsidRDefault="00F873E0" w:rsidP="0044272C">
            <w:pPr>
              <w:jc w:val="center"/>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лева</w:t>
            </w:r>
          </w:p>
        </w:tc>
        <w:tc>
          <w:tcPr>
            <w:tcW w:w="636" w:type="pct"/>
            <w:tcBorders>
              <w:top w:val="double" w:sz="6" w:space="0" w:color="auto"/>
              <w:left w:val="nil"/>
              <w:bottom w:val="double" w:sz="6" w:space="0" w:color="auto"/>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17 965 769 </w:t>
            </w:r>
          </w:p>
        </w:tc>
        <w:tc>
          <w:tcPr>
            <w:tcW w:w="608" w:type="pct"/>
            <w:tcBorders>
              <w:top w:val="double" w:sz="6" w:space="0" w:color="auto"/>
              <w:left w:val="nil"/>
              <w:bottom w:val="double" w:sz="6" w:space="0" w:color="auto"/>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15 039 925 </w:t>
            </w:r>
          </w:p>
        </w:tc>
        <w:tc>
          <w:tcPr>
            <w:tcW w:w="589" w:type="pct"/>
            <w:tcBorders>
              <w:top w:val="double" w:sz="6" w:space="0" w:color="auto"/>
              <w:left w:val="nil"/>
              <w:bottom w:val="double" w:sz="6" w:space="0" w:color="auto"/>
              <w:right w:val="single" w:sz="4" w:space="0" w:color="auto"/>
            </w:tcBorders>
            <w:shd w:val="clear" w:color="auto" w:fill="auto"/>
            <w:noWrap/>
            <w:vAlign w:val="bottom"/>
            <w:hideMark/>
          </w:tcPr>
          <w:p w:rsidR="00F873E0" w:rsidRPr="00942B88" w:rsidRDefault="00F873E0" w:rsidP="00F91BD3">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15</w:t>
            </w:r>
            <w:r w:rsidR="00F91BD3">
              <w:rPr>
                <w:rFonts w:ascii="Calibri" w:eastAsia="Times New Roman" w:hAnsi="Calibri" w:cs="Calibri"/>
                <w:b/>
                <w:bCs/>
                <w:sz w:val="16"/>
                <w:szCs w:val="16"/>
                <w:lang w:eastAsia="bg-BG"/>
              </w:rPr>
              <w:t> </w:t>
            </w:r>
            <w:r w:rsidRPr="00942B88">
              <w:rPr>
                <w:rFonts w:ascii="Calibri" w:eastAsia="Times New Roman" w:hAnsi="Calibri" w:cs="Calibri"/>
                <w:b/>
                <w:bCs/>
                <w:sz w:val="16"/>
                <w:szCs w:val="16"/>
                <w:lang w:eastAsia="bg-BG"/>
              </w:rPr>
              <w:t>63</w:t>
            </w:r>
            <w:r w:rsidR="00F91BD3">
              <w:rPr>
                <w:rFonts w:ascii="Calibri" w:eastAsia="Times New Roman" w:hAnsi="Calibri" w:cs="Calibri"/>
                <w:b/>
                <w:bCs/>
                <w:sz w:val="16"/>
                <w:szCs w:val="16"/>
                <w:lang w:val="en-US" w:eastAsia="bg-BG"/>
              </w:rPr>
              <w:t>1 7</w:t>
            </w:r>
            <w:r w:rsidRPr="00942B88">
              <w:rPr>
                <w:rFonts w:ascii="Calibri" w:eastAsia="Times New Roman" w:hAnsi="Calibri" w:cs="Calibri"/>
                <w:b/>
                <w:bCs/>
                <w:sz w:val="16"/>
                <w:szCs w:val="16"/>
                <w:lang w:eastAsia="bg-BG"/>
              </w:rPr>
              <w:t xml:space="preserve">34 </w:t>
            </w:r>
          </w:p>
        </w:tc>
        <w:tc>
          <w:tcPr>
            <w:tcW w:w="612" w:type="pct"/>
            <w:tcBorders>
              <w:top w:val="double" w:sz="6" w:space="0" w:color="auto"/>
              <w:left w:val="nil"/>
              <w:bottom w:val="double" w:sz="6" w:space="0" w:color="auto"/>
              <w:right w:val="single" w:sz="4" w:space="0" w:color="auto"/>
            </w:tcBorders>
            <w:shd w:val="clear" w:color="auto" w:fill="auto"/>
            <w:noWrap/>
            <w:vAlign w:val="bottom"/>
            <w:hideMark/>
          </w:tcPr>
          <w:p w:rsidR="00F873E0" w:rsidRPr="00942B88" w:rsidRDefault="00F873E0" w:rsidP="00F91BD3">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2</w:t>
            </w:r>
            <w:r w:rsidR="00F91BD3">
              <w:rPr>
                <w:rFonts w:ascii="Calibri" w:eastAsia="Times New Roman" w:hAnsi="Calibri" w:cs="Calibri"/>
                <w:b/>
                <w:bCs/>
                <w:sz w:val="16"/>
                <w:szCs w:val="16"/>
                <w:lang w:eastAsia="bg-BG"/>
              </w:rPr>
              <w:t> </w:t>
            </w:r>
            <w:r w:rsidRPr="00942B88">
              <w:rPr>
                <w:rFonts w:ascii="Calibri" w:eastAsia="Times New Roman" w:hAnsi="Calibri" w:cs="Calibri"/>
                <w:b/>
                <w:bCs/>
                <w:sz w:val="16"/>
                <w:szCs w:val="16"/>
                <w:lang w:eastAsia="bg-BG"/>
              </w:rPr>
              <w:t>33</w:t>
            </w:r>
            <w:r w:rsidR="00F91BD3">
              <w:rPr>
                <w:rFonts w:ascii="Calibri" w:eastAsia="Times New Roman" w:hAnsi="Calibri" w:cs="Calibri"/>
                <w:b/>
                <w:bCs/>
                <w:sz w:val="16"/>
                <w:szCs w:val="16"/>
                <w:lang w:val="en-US" w:eastAsia="bg-BG"/>
              </w:rPr>
              <w:t>4 035</w:t>
            </w:r>
            <w:r w:rsidRPr="00942B88">
              <w:rPr>
                <w:rFonts w:ascii="Calibri" w:eastAsia="Times New Roman" w:hAnsi="Calibri" w:cs="Calibri"/>
                <w:b/>
                <w:bCs/>
                <w:sz w:val="16"/>
                <w:szCs w:val="16"/>
                <w:lang w:eastAsia="bg-BG"/>
              </w:rPr>
              <w:t xml:space="preserve"> </w:t>
            </w:r>
          </w:p>
        </w:tc>
        <w:tc>
          <w:tcPr>
            <w:tcW w:w="623" w:type="pct"/>
            <w:tcBorders>
              <w:top w:val="double" w:sz="6" w:space="0" w:color="auto"/>
              <w:left w:val="nil"/>
              <w:bottom w:val="double" w:sz="6" w:space="0" w:color="auto"/>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2 925 845 </w:t>
            </w:r>
          </w:p>
        </w:tc>
      </w:tr>
      <w:tr w:rsidR="00F873E0" w:rsidRPr="00942B88" w:rsidTr="00FF4487">
        <w:trPr>
          <w:trHeight w:val="270"/>
        </w:trPr>
        <w:tc>
          <w:tcPr>
            <w:tcW w:w="114" w:type="pct"/>
            <w:tcBorders>
              <w:top w:val="nil"/>
              <w:left w:val="single" w:sz="4" w:space="0" w:color="auto"/>
              <w:bottom w:val="nil"/>
              <w:right w:val="nil"/>
            </w:tcBorders>
            <w:shd w:val="clear" w:color="auto" w:fill="auto"/>
            <w:noWrap/>
            <w:hideMark/>
          </w:tcPr>
          <w:p w:rsidR="00F873E0" w:rsidRPr="00942B88" w:rsidRDefault="00F873E0" w:rsidP="0044272C">
            <w:pP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1230" w:type="pct"/>
            <w:tcBorders>
              <w:top w:val="nil"/>
              <w:left w:val="nil"/>
              <w:bottom w:val="nil"/>
              <w:right w:val="nil"/>
            </w:tcBorders>
            <w:shd w:val="clear" w:color="auto" w:fill="auto"/>
            <w:noWrap/>
            <w:hideMark/>
          </w:tcPr>
          <w:p w:rsidR="00F873E0" w:rsidRPr="00942B88" w:rsidRDefault="00F873E0" w:rsidP="0044272C">
            <w:pPr>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в т.ч.  - Ел. енергия</w:t>
            </w:r>
          </w:p>
        </w:tc>
        <w:tc>
          <w:tcPr>
            <w:tcW w:w="589" w:type="pct"/>
            <w:tcBorders>
              <w:top w:val="nil"/>
              <w:left w:val="single" w:sz="4" w:space="0" w:color="auto"/>
              <w:bottom w:val="nil"/>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лева</w:t>
            </w:r>
          </w:p>
        </w:tc>
        <w:tc>
          <w:tcPr>
            <w:tcW w:w="636"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 xml:space="preserve">      17 929 816 </w:t>
            </w:r>
          </w:p>
        </w:tc>
        <w:tc>
          <w:tcPr>
            <w:tcW w:w="608"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 xml:space="preserve">     15 000 290 </w:t>
            </w:r>
          </w:p>
        </w:tc>
        <w:tc>
          <w:tcPr>
            <w:tcW w:w="589" w:type="pct"/>
            <w:tcBorders>
              <w:top w:val="nil"/>
              <w:left w:val="nil"/>
              <w:bottom w:val="nil"/>
              <w:right w:val="single" w:sz="4" w:space="0" w:color="auto"/>
            </w:tcBorders>
            <w:shd w:val="clear" w:color="auto" w:fill="auto"/>
            <w:noWrap/>
            <w:vAlign w:val="bottom"/>
            <w:hideMark/>
          </w:tcPr>
          <w:p w:rsidR="00F873E0" w:rsidRPr="00942B88" w:rsidRDefault="00F873E0" w:rsidP="00F91BD3">
            <w:pPr>
              <w:jc w:val="right"/>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 xml:space="preserve">    15</w:t>
            </w:r>
            <w:r w:rsidR="00F91BD3">
              <w:rPr>
                <w:rFonts w:ascii="Calibri" w:eastAsia="Times New Roman" w:hAnsi="Calibri" w:cs="Calibri"/>
                <w:i/>
                <w:iCs/>
                <w:sz w:val="16"/>
                <w:szCs w:val="16"/>
                <w:lang w:eastAsia="bg-BG"/>
              </w:rPr>
              <w:t> </w:t>
            </w:r>
            <w:r w:rsidRPr="00942B88">
              <w:rPr>
                <w:rFonts w:ascii="Calibri" w:eastAsia="Times New Roman" w:hAnsi="Calibri" w:cs="Calibri"/>
                <w:i/>
                <w:iCs/>
                <w:sz w:val="16"/>
                <w:szCs w:val="16"/>
                <w:lang w:eastAsia="bg-BG"/>
              </w:rPr>
              <w:t>59</w:t>
            </w:r>
            <w:r w:rsidR="00F91BD3">
              <w:rPr>
                <w:rFonts w:ascii="Calibri" w:eastAsia="Times New Roman" w:hAnsi="Calibri" w:cs="Calibri"/>
                <w:i/>
                <w:iCs/>
                <w:sz w:val="16"/>
                <w:szCs w:val="16"/>
                <w:lang w:val="en-US" w:eastAsia="bg-BG"/>
              </w:rPr>
              <w:t>7 946</w:t>
            </w:r>
            <w:r w:rsidRPr="00942B88">
              <w:rPr>
                <w:rFonts w:ascii="Calibri" w:eastAsia="Times New Roman" w:hAnsi="Calibri" w:cs="Calibri"/>
                <w:i/>
                <w:iCs/>
                <w:sz w:val="16"/>
                <w:szCs w:val="16"/>
                <w:lang w:eastAsia="bg-BG"/>
              </w:rPr>
              <w:t xml:space="preserve"> </w:t>
            </w:r>
          </w:p>
        </w:tc>
        <w:tc>
          <w:tcPr>
            <w:tcW w:w="612" w:type="pct"/>
            <w:tcBorders>
              <w:top w:val="nil"/>
              <w:left w:val="nil"/>
              <w:bottom w:val="nil"/>
              <w:right w:val="single" w:sz="4" w:space="0" w:color="auto"/>
            </w:tcBorders>
            <w:shd w:val="clear" w:color="auto" w:fill="auto"/>
            <w:noWrap/>
            <w:vAlign w:val="bottom"/>
            <w:hideMark/>
          </w:tcPr>
          <w:p w:rsidR="00F873E0" w:rsidRPr="00942B88" w:rsidRDefault="00F873E0" w:rsidP="00F91BD3">
            <w:pPr>
              <w:jc w:val="right"/>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 xml:space="preserve">       2 331 </w:t>
            </w:r>
            <w:r w:rsidR="00F91BD3">
              <w:rPr>
                <w:rFonts w:ascii="Calibri" w:eastAsia="Times New Roman" w:hAnsi="Calibri" w:cs="Calibri"/>
                <w:i/>
                <w:iCs/>
                <w:sz w:val="16"/>
                <w:szCs w:val="16"/>
                <w:lang w:val="en-US" w:eastAsia="bg-BG"/>
              </w:rPr>
              <w:t>8</w:t>
            </w:r>
            <w:r w:rsidRPr="00942B88">
              <w:rPr>
                <w:rFonts w:ascii="Calibri" w:eastAsia="Times New Roman" w:hAnsi="Calibri" w:cs="Calibri"/>
                <w:i/>
                <w:iCs/>
                <w:sz w:val="16"/>
                <w:szCs w:val="16"/>
                <w:lang w:eastAsia="bg-BG"/>
              </w:rPr>
              <w:t xml:space="preserve">70 </w:t>
            </w:r>
          </w:p>
        </w:tc>
        <w:tc>
          <w:tcPr>
            <w:tcW w:w="623" w:type="pct"/>
            <w:tcBorders>
              <w:top w:val="nil"/>
              <w:left w:val="nil"/>
              <w:bottom w:val="nil"/>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 xml:space="preserve">        2 929 526 </w:t>
            </w:r>
          </w:p>
        </w:tc>
      </w:tr>
      <w:tr w:rsidR="00F873E0" w:rsidRPr="00942B88" w:rsidTr="00FF4487">
        <w:trPr>
          <w:trHeight w:val="270"/>
        </w:trPr>
        <w:tc>
          <w:tcPr>
            <w:tcW w:w="114" w:type="pct"/>
            <w:tcBorders>
              <w:top w:val="nil"/>
              <w:left w:val="single" w:sz="4" w:space="0" w:color="auto"/>
              <w:bottom w:val="double" w:sz="6" w:space="0" w:color="auto"/>
              <w:right w:val="nil"/>
            </w:tcBorders>
            <w:shd w:val="clear" w:color="auto" w:fill="auto"/>
            <w:noWrap/>
            <w:hideMark/>
          </w:tcPr>
          <w:p w:rsidR="00F873E0" w:rsidRPr="00942B88" w:rsidRDefault="00F873E0" w:rsidP="0044272C">
            <w:pPr>
              <w:rPr>
                <w:rFonts w:ascii="Calibri" w:eastAsia="Times New Roman" w:hAnsi="Calibri" w:cs="Calibri"/>
                <w:sz w:val="16"/>
                <w:szCs w:val="16"/>
                <w:lang w:eastAsia="bg-BG"/>
              </w:rPr>
            </w:pPr>
            <w:r w:rsidRPr="00942B88">
              <w:rPr>
                <w:rFonts w:ascii="Calibri" w:eastAsia="Times New Roman" w:hAnsi="Calibri" w:cs="Calibri"/>
                <w:sz w:val="16"/>
                <w:szCs w:val="16"/>
                <w:lang w:eastAsia="bg-BG"/>
              </w:rPr>
              <w:t> </w:t>
            </w:r>
          </w:p>
        </w:tc>
        <w:tc>
          <w:tcPr>
            <w:tcW w:w="1230" w:type="pct"/>
            <w:tcBorders>
              <w:top w:val="nil"/>
              <w:left w:val="nil"/>
              <w:bottom w:val="double" w:sz="6" w:space="0" w:color="auto"/>
              <w:right w:val="nil"/>
            </w:tcBorders>
            <w:shd w:val="clear" w:color="auto" w:fill="auto"/>
            <w:noWrap/>
            <w:vAlign w:val="bottom"/>
            <w:hideMark/>
          </w:tcPr>
          <w:p w:rsidR="00F873E0" w:rsidRPr="00942B88" w:rsidRDefault="00F873E0" w:rsidP="0044272C">
            <w:pPr>
              <w:ind w:firstLineChars="300" w:firstLine="480"/>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 Топлоенергия</w:t>
            </w:r>
          </w:p>
        </w:tc>
        <w:tc>
          <w:tcPr>
            <w:tcW w:w="589" w:type="pct"/>
            <w:tcBorders>
              <w:top w:val="nil"/>
              <w:left w:val="single" w:sz="4" w:space="0" w:color="auto"/>
              <w:bottom w:val="double" w:sz="6" w:space="0" w:color="auto"/>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лева</w:t>
            </w:r>
          </w:p>
        </w:tc>
        <w:tc>
          <w:tcPr>
            <w:tcW w:w="636" w:type="pct"/>
            <w:tcBorders>
              <w:top w:val="nil"/>
              <w:left w:val="nil"/>
              <w:bottom w:val="double" w:sz="6" w:space="0" w:color="auto"/>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 xml:space="preserve">              35 953 </w:t>
            </w:r>
          </w:p>
        </w:tc>
        <w:tc>
          <w:tcPr>
            <w:tcW w:w="608" w:type="pct"/>
            <w:tcBorders>
              <w:top w:val="nil"/>
              <w:left w:val="nil"/>
              <w:bottom w:val="double" w:sz="6" w:space="0" w:color="auto"/>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 xml:space="preserve">             39 635 </w:t>
            </w:r>
          </w:p>
        </w:tc>
        <w:tc>
          <w:tcPr>
            <w:tcW w:w="589" w:type="pct"/>
            <w:tcBorders>
              <w:top w:val="nil"/>
              <w:left w:val="nil"/>
              <w:bottom w:val="double" w:sz="6" w:space="0" w:color="auto"/>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 xml:space="preserve">            33 788 </w:t>
            </w:r>
          </w:p>
        </w:tc>
        <w:tc>
          <w:tcPr>
            <w:tcW w:w="612" w:type="pct"/>
            <w:tcBorders>
              <w:top w:val="nil"/>
              <w:left w:val="nil"/>
              <w:bottom w:val="double" w:sz="6" w:space="0" w:color="auto"/>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 xml:space="preserve">               2 166 </w:t>
            </w:r>
          </w:p>
        </w:tc>
        <w:tc>
          <w:tcPr>
            <w:tcW w:w="623" w:type="pct"/>
            <w:tcBorders>
              <w:top w:val="nil"/>
              <w:left w:val="nil"/>
              <w:bottom w:val="double" w:sz="6" w:space="0" w:color="auto"/>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i/>
                <w:iCs/>
                <w:sz w:val="16"/>
                <w:szCs w:val="16"/>
                <w:lang w:eastAsia="bg-BG"/>
              </w:rPr>
            </w:pPr>
            <w:r w:rsidRPr="00942B88">
              <w:rPr>
                <w:rFonts w:ascii="Calibri" w:eastAsia="Times New Roman" w:hAnsi="Calibri" w:cs="Calibri"/>
                <w:i/>
                <w:iCs/>
                <w:sz w:val="16"/>
                <w:szCs w:val="16"/>
                <w:lang w:eastAsia="bg-BG"/>
              </w:rPr>
              <w:t xml:space="preserve">              (3 682)</w:t>
            </w:r>
          </w:p>
        </w:tc>
      </w:tr>
      <w:tr w:rsidR="00F873E0" w:rsidRPr="00942B88" w:rsidTr="00FF4487">
        <w:trPr>
          <w:trHeight w:val="285"/>
        </w:trPr>
        <w:tc>
          <w:tcPr>
            <w:tcW w:w="114" w:type="pct"/>
            <w:tcBorders>
              <w:top w:val="nil"/>
              <w:left w:val="single" w:sz="4" w:space="0" w:color="auto"/>
              <w:bottom w:val="double" w:sz="6" w:space="0" w:color="auto"/>
              <w:right w:val="nil"/>
            </w:tcBorders>
            <w:shd w:val="clear" w:color="auto" w:fill="auto"/>
            <w:noWrap/>
            <w:hideMark/>
          </w:tcPr>
          <w:p w:rsidR="00F873E0" w:rsidRPr="00942B88" w:rsidRDefault="00F873E0" w:rsidP="0044272C">
            <w:pPr>
              <w:rPr>
                <w:rFonts w:ascii="Calibri" w:eastAsia="Times New Roman" w:hAnsi="Calibri" w:cs="Calibri"/>
                <w:b/>
                <w:bCs/>
                <w:i/>
                <w:iCs/>
                <w:sz w:val="16"/>
                <w:szCs w:val="16"/>
                <w:lang w:eastAsia="bg-BG"/>
              </w:rPr>
            </w:pPr>
            <w:r w:rsidRPr="00942B88">
              <w:rPr>
                <w:rFonts w:ascii="Calibri" w:eastAsia="Times New Roman" w:hAnsi="Calibri" w:cs="Calibri"/>
                <w:b/>
                <w:bCs/>
                <w:i/>
                <w:iCs/>
                <w:sz w:val="16"/>
                <w:szCs w:val="16"/>
                <w:lang w:eastAsia="bg-BG"/>
              </w:rPr>
              <w:t> </w:t>
            </w:r>
          </w:p>
        </w:tc>
        <w:tc>
          <w:tcPr>
            <w:tcW w:w="1230" w:type="pct"/>
            <w:tcBorders>
              <w:top w:val="nil"/>
              <w:left w:val="nil"/>
              <w:bottom w:val="double" w:sz="6" w:space="0" w:color="auto"/>
              <w:right w:val="single" w:sz="4" w:space="0" w:color="auto"/>
            </w:tcBorders>
            <w:shd w:val="clear" w:color="auto" w:fill="auto"/>
            <w:noWrap/>
            <w:vAlign w:val="bottom"/>
            <w:hideMark/>
          </w:tcPr>
          <w:p w:rsidR="00F873E0" w:rsidRPr="00942B88" w:rsidRDefault="00F873E0" w:rsidP="0044272C">
            <w:pPr>
              <w:ind w:firstLineChars="100" w:firstLine="160"/>
              <w:rPr>
                <w:rFonts w:ascii="Calibri" w:eastAsia="Times New Roman" w:hAnsi="Calibri" w:cs="Calibri"/>
                <w:b/>
                <w:bCs/>
                <w:i/>
                <w:iCs/>
                <w:sz w:val="16"/>
                <w:szCs w:val="16"/>
                <w:lang w:eastAsia="bg-BG"/>
              </w:rPr>
            </w:pPr>
            <w:r w:rsidRPr="00942B88">
              <w:rPr>
                <w:rFonts w:ascii="Calibri" w:eastAsia="Times New Roman" w:hAnsi="Calibri" w:cs="Calibri"/>
                <w:b/>
                <w:bCs/>
                <w:i/>
                <w:iCs/>
                <w:sz w:val="16"/>
                <w:szCs w:val="16"/>
                <w:lang w:eastAsia="bg-BG"/>
              </w:rPr>
              <w:t>ЕРП</w:t>
            </w:r>
          </w:p>
        </w:tc>
        <w:tc>
          <w:tcPr>
            <w:tcW w:w="589" w:type="pct"/>
            <w:tcBorders>
              <w:top w:val="nil"/>
              <w:left w:val="nil"/>
              <w:bottom w:val="double" w:sz="6" w:space="0" w:color="auto"/>
              <w:right w:val="single" w:sz="4" w:space="0" w:color="auto"/>
            </w:tcBorders>
            <w:shd w:val="clear" w:color="auto" w:fill="auto"/>
            <w:noWrap/>
            <w:vAlign w:val="bottom"/>
            <w:hideMark/>
          </w:tcPr>
          <w:p w:rsidR="00F873E0" w:rsidRPr="00942B88" w:rsidRDefault="00F873E0" w:rsidP="0044272C">
            <w:pPr>
              <w:jc w:val="center"/>
              <w:rPr>
                <w:rFonts w:ascii="Calibri" w:eastAsia="Times New Roman" w:hAnsi="Calibri" w:cs="Calibri"/>
                <w:b/>
                <w:bCs/>
                <w:i/>
                <w:iCs/>
                <w:sz w:val="16"/>
                <w:szCs w:val="16"/>
                <w:lang w:eastAsia="bg-BG"/>
              </w:rPr>
            </w:pPr>
            <w:r w:rsidRPr="00942B88">
              <w:rPr>
                <w:rFonts w:ascii="Calibri" w:eastAsia="Times New Roman" w:hAnsi="Calibri" w:cs="Calibri"/>
                <w:b/>
                <w:bCs/>
                <w:i/>
                <w:iCs/>
                <w:sz w:val="16"/>
                <w:szCs w:val="16"/>
                <w:lang w:eastAsia="bg-BG"/>
              </w:rPr>
              <w:t>лева</w:t>
            </w:r>
          </w:p>
        </w:tc>
        <w:tc>
          <w:tcPr>
            <w:tcW w:w="636" w:type="pct"/>
            <w:tcBorders>
              <w:top w:val="nil"/>
              <w:left w:val="nil"/>
              <w:bottom w:val="double" w:sz="6" w:space="0" w:color="auto"/>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8 122 088 </w:t>
            </w:r>
          </w:p>
        </w:tc>
        <w:tc>
          <w:tcPr>
            <w:tcW w:w="608" w:type="pct"/>
            <w:tcBorders>
              <w:top w:val="nil"/>
              <w:left w:val="nil"/>
              <w:bottom w:val="double" w:sz="6" w:space="0" w:color="auto"/>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6 965 495 </w:t>
            </w:r>
          </w:p>
        </w:tc>
        <w:tc>
          <w:tcPr>
            <w:tcW w:w="589" w:type="pct"/>
            <w:tcBorders>
              <w:top w:val="nil"/>
              <w:left w:val="nil"/>
              <w:bottom w:val="double" w:sz="6" w:space="0" w:color="auto"/>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7 229 031 </w:t>
            </w:r>
          </w:p>
        </w:tc>
        <w:tc>
          <w:tcPr>
            <w:tcW w:w="612" w:type="pct"/>
            <w:tcBorders>
              <w:top w:val="nil"/>
              <w:left w:val="nil"/>
              <w:bottom w:val="double" w:sz="6" w:space="0" w:color="auto"/>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893 057 </w:t>
            </w:r>
          </w:p>
        </w:tc>
        <w:tc>
          <w:tcPr>
            <w:tcW w:w="623" w:type="pct"/>
            <w:tcBorders>
              <w:top w:val="nil"/>
              <w:left w:val="nil"/>
              <w:bottom w:val="double" w:sz="6" w:space="0" w:color="auto"/>
              <w:right w:val="single" w:sz="4" w:space="0" w:color="auto"/>
            </w:tcBorders>
            <w:shd w:val="clear" w:color="auto" w:fill="auto"/>
            <w:noWrap/>
            <w:vAlign w:val="bottom"/>
            <w:hideMark/>
          </w:tcPr>
          <w:p w:rsidR="00F873E0" w:rsidRPr="00942B88" w:rsidRDefault="00F873E0" w:rsidP="0044272C">
            <w:pPr>
              <w:jc w:val="right"/>
              <w:rPr>
                <w:rFonts w:ascii="Calibri" w:eastAsia="Times New Roman" w:hAnsi="Calibri" w:cs="Calibri"/>
                <w:b/>
                <w:bCs/>
                <w:sz w:val="16"/>
                <w:szCs w:val="16"/>
                <w:lang w:eastAsia="bg-BG"/>
              </w:rPr>
            </w:pPr>
            <w:r w:rsidRPr="00942B88">
              <w:rPr>
                <w:rFonts w:ascii="Calibri" w:eastAsia="Times New Roman" w:hAnsi="Calibri" w:cs="Calibri"/>
                <w:b/>
                <w:bCs/>
                <w:sz w:val="16"/>
                <w:szCs w:val="16"/>
                <w:lang w:eastAsia="bg-BG"/>
              </w:rPr>
              <w:t xml:space="preserve">        1 156 593 </w:t>
            </w:r>
          </w:p>
        </w:tc>
      </w:tr>
    </w:tbl>
    <w:p w:rsidR="00F873E0" w:rsidRPr="00D54103" w:rsidRDefault="00F873E0" w:rsidP="00F873E0">
      <w:pPr>
        <w:spacing w:after="120"/>
        <w:ind w:firstLine="567"/>
        <w:jc w:val="both"/>
      </w:pPr>
    </w:p>
    <w:p w:rsidR="00F873E0" w:rsidRDefault="00F873E0" w:rsidP="00F873E0">
      <w:pPr>
        <w:spacing w:after="60"/>
      </w:pPr>
    </w:p>
    <w:p w:rsidR="00216C22" w:rsidRPr="00D54103" w:rsidRDefault="00216C22" w:rsidP="00F873E0">
      <w:pPr>
        <w:spacing w:after="60"/>
      </w:pPr>
    </w:p>
    <w:p w:rsidR="00F873E0" w:rsidRPr="00D54103" w:rsidRDefault="00F873E0" w:rsidP="00F873E0">
      <w:pPr>
        <w:spacing w:after="60"/>
      </w:pPr>
      <w:r w:rsidRPr="00D54103">
        <w:lastRenderedPageBreak/>
        <w:t xml:space="preserve">От таблицата за отчитане на разходите за ел. енергия е видно: </w:t>
      </w:r>
    </w:p>
    <w:p w:rsidR="00F873E0" w:rsidRPr="00D54103" w:rsidRDefault="00F873E0" w:rsidP="00F873E0">
      <w:pPr>
        <w:numPr>
          <w:ilvl w:val="0"/>
          <w:numId w:val="24"/>
        </w:numPr>
        <w:spacing w:after="60"/>
        <w:ind w:left="714" w:hanging="357"/>
        <w:jc w:val="both"/>
      </w:pPr>
      <w:r w:rsidRPr="00D54103">
        <w:t>увеличение на превозите с ел. тяга с 15% спрямо 1</w:t>
      </w:r>
      <w:r w:rsidRPr="00D54103">
        <w:rPr>
          <w:lang w:val="en-US"/>
        </w:rPr>
        <w:t>2</w:t>
      </w:r>
      <w:r w:rsidRPr="00D54103">
        <w:t>-те месеца на 2016 г.;</w:t>
      </w:r>
    </w:p>
    <w:p w:rsidR="00F873E0" w:rsidRPr="00D54103" w:rsidRDefault="00F873E0" w:rsidP="00F873E0">
      <w:pPr>
        <w:numPr>
          <w:ilvl w:val="0"/>
          <w:numId w:val="24"/>
        </w:numPr>
        <w:spacing w:after="60"/>
        <w:ind w:left="714" w:hanging="357"/>
        <w:jc w:val="both"/>
      </w:pPr>
      <w:r w:rsidRPr="00D54103">
        <w:rPr>
          <w:lang w:val="en-US"/>
        </w:rPr>
        <w:t>намаление</w:t>
      </w:r>
      <w:r w:rsidRPr="00D54103">
        <w:t xml:space="preserve"> на разходната норма от 17,</w:t>
      </w:r>
      <w:r w:rsidRPr="00D54103">
        <w:rPr>
          <w:lang w:val="en-US"/>
        </w:rPr>
        <w:t>67</w:t>
      </w:r>
      <w:r w:rsidRPr="00D54103">
        <w:t xml:space="preserve"> мвтч/м брткм на 17,</w:t>
      </w:r>
      <w:r w:rsidRPr="00D54103">
        <w:rPr>
          <w:lang w:val="en-US"/>
        </w:rPr>
        <w:t>43</w:t>
      </w:r>
      <w:r w:rsidRPr="00D54103">
        <w:t xml:space="preserve"> мвтч/м брткм или </w:t>
      </w:r>
      <w:r w:rsidRPr="00D54103">
        <w:rPr>
          <w:lang w:val="en-US"/>
        </w:rPr>
        <w:t>1</w:t>
      </w:r>
      <w:r w:rsidRPr="00D54103">
        <w:t>%;</w:t>
      </w:r>
    </w:p>
    <w:p w:rsidR="00F873E0" w:rsidRPr="00D54103" w:rsidRDefault="00F873E0" w:rsidP="00F873E0">
      <w:pPr>
        <w:numPr>
          <w:ilvl w:val="0"/>
          <w:numId w:val="24"/>
        </w:numPr>
        <w:spacing w:after="60"/>
        <w:ind w:left="714" w:hanging="357"/>
        <w:jc w:val="both"/>
      </w:pPr>
      <w:r w:rsidRPr="00D54103">
        <w:t>увеличени са и разходите за топлоенергия с 2 166 лева;</w:t>
      </w:r>
    </w:p>
    <w:p w:rsidR="00F873E0" w:rsidRPr="00D54103" w:rsidRDefault="00F873E0" w:rsidP="00F873E0">
      <w:pPr>
        <w:numPr>
          <w:ilvl w:val="0"/>
          <w:numId w:val="24"/>
        </w:numPr>
        <w:spacing w:after="60"/>
        <w:ind w:left="714" w:hanging="357"/>
        <w:jc w:val="both"/>
      </w:pPr>
      <w:r w:rsidRPr="00D54103">
        <w:t>намалени са „други разходи” за ел. енергия с 32 хил. лева (разходи за машини и съоръжения, за отопление и осветление, разход при ремонт на локомотиви, маневра депо и други).</w:t>
      </w:r>
    </w:p>
    <w:p w:rsidR="00861379" w:rsidRPr="00F91BD3" w:rsidRDefault="00861379" w:rsidP="00861379">
      <w:r w:rsidRPr="00F91BD3">
        <w:t>Причините за увеличаване на разходите за ел. енергия са :</w:t>
      </w:r>
    </w:p>
    <w:p w:rsidR="00861379" w:rsidRPr="00F91BD3" w:rsidRDefault="00861379" w:rsidP="00861379">
      <w:pPr>
        <w:pStyle w:val="ListParagraph"/>
        <w:numPr>
          <w:ilvl w:val="0"/>
          <w:numId w:val="27"/>
        </w:numPr>
        <w:spacing w:after="0" w:line="240" w:lineRule="auto"/>
        <w:ind w:left="714" w:hanging="357"/>
        <w:jc w:val="both"/>
        <w:rPr>
          <w:rFonts w:ascii="Times New Roman" w:hAnsi="Times New Roman"/>
          <w:sz w:val="24"/>
          <w:szCs w:val="24"/>
        </w:rPr>
      </w:pPr>
      <w:r w:rsidRPr="00F91BD3">
        <w:rPr>
          <w:rFonts w:ascii="Times New Roman" w:hAnsi="Times New Roman"/>
          <w:b/>
          <w:sz w:val="24"/>
          <w:szCs w:val="24"/>
        </w:rPr>
        <w:t>Увеличаване на превозите с ел. тяга с 15% спрямо 2016 г.</w:t>
      </w:r>
      <w:r w:rsidRPr="00F91BD3">
        <w:rPr>
          <w:rFonts w:ascii="Times New Roman" w:hAnsi="Times New Roman"/>
          <w:b/>
          <w:i/>
          <w:sz w:val="24"/>
          <w:szCs w:val="24"/>
        </w:rPr>
        <w:t xml:space="preserve"> </w:t>
      </w:r>
      <w:r w:rsidRPr="00F91BD3">
        <w:rPr>
          <w:rFonts w:ascii="Times New Roman" w:hAnsi="Times New Roman"/>
          <w:sz w:val="24"/>
          <w:szCs w:val="24"/>
        </w:rPr>
        <w:t>От месец Януари  2017 г. е пусната в експлоатация електрификацията в участъка Димитровград - Капъ Куле. В участъка постоянно работят 2бр. електрически локомотиви. Това води до повишаване на общия разход за електроенергия и съответно до намаляване на разхода за дизелово гориво. С това се намалява себестойността на превозите в този участък;</w:t>
      </w:r>
    </w:p>
    <w:p w:rsidR="00861379" w:rsidRPr="00F91BD3" w:rsidRDefault="00861379" w:rsidP="00861379">
      <w:pPr>
        <w:pStyle w:val="ListParagraph"/>
        <w:numPr>
          <w:ilvl w:val="0"/>
          <w:numId w:val="27"/>
        </w:numPr>
        <w:spacing w:after="0" w:line="240" w:lineRule="auto"/>
        <w:ind w:left="714" w:hanging="357"/>
        <w:jc w:val="both"/>
        <w:rPr>
          <w:rFonts w:ascii="Times New Roman" w:hAnsi="Times New Roman"/>
          <w:sz w:val="24"/>
          <w:szCs w:val="24"/>
        </w:rPr>
      </w:pPr>
      <w:r w:rsidRPr="00F91BD3">
        <w:rPr>
          <w:rFonts w:ascii="Times New Roman" w:hAnsi="Times New Roman"/>
          <w:b/>
          <w:sz w:val="24"/>
          <w:szCs w:val="24"/>
        </w:rPr>
        <w:t>Отдаване на локомотиви под наем</w:t>
      </w:r>
      <w:r w:rsidRPr="00F91BD3">
        <w:rPr>
          <w:rFonts w:ascii="Times New Roman" w:hAnsi="Times New Roman"/>
          <w:sz w:val="24"/>
          <w:szCs w:val="24"/>
        </w:rPr>
        <w:t xml:space="preserve"> на „ТБД Товарни превози” ЕАД. От месец Януари 2017г.  по договора за осигуряване на локомотивна тяга с „ТБД – Товарни превози” ЕАД денонощно работят 2бр. електрически локомотиви. Електроенергията е фактурирана на база изработени брутотонкм, съответно „БДЖ – Товарни превози” ЕООД реализира приходи от предоставяне на услугата.</w:t>
      </w:r>
    </w:p>
    <w:p w:rsidR="00861379" w:rsidRPr="00F91BD3" w:rsidRDefault="00861379" w:rsidP="00861379">
      <w:pPr>
        <w:pStyle w:val="ListParagraph"/>
        <w:numPr>
          <w:ilvl w:val="0"/>
          <w:numId w:val="27"/>
        </w:numPr>
        <w:spacing w:line="240" w:lineRule="auto"/>
        <w:ind w:left="714" w:hanging="357"/>
        <w:jc w:val="both"/>
        <w:rPr>
          <w:rFonts w:ascii="Times New Roman" w:hAnsi="Times New Roman"/>
          <w:sz w:val="24"/>
          <w:szCs w:val="24"/>
        </w:rPr>
      </w:pPr>
      <w:r w:rsidRPr="00F91BD3">
        <w:rPr>
          <w:rFonts w:ascii="Times New Roman" w:hAnsi="Times New Roman"/>
          <w:b/>
          <w:sz w:val="24"/>
          <w:szCs w:val="24"/>
        </w:rPr>
        <w:t>Отдаване на локомотиви под наем на „БДЖ – Пътнически превози” ЕООД</w:t>
      </w:r>
      <w:r w:rsidRPr="00F91BD3">
        <w:rPr>
          <w:rFonts w:ascii="Times New Roman" w:hAnsi="Times New Roman"/>
          <w:sz w:val="24"/>
          <w:szCs w:val="24"/>
        </w:rPr>
        <w:t>. През отчетния период за ”БДЖ - Пътнически превози” ЕООД са осигурявани оперативно допълнително електрически локомотиви. Електроенергията, изразходвана от тези локомотиви е фактурирана на база изработени брутотонкилометри и съответно „БДЖ – Товарни превози” ЕООД реализира приходи от предоставяне на услуга на „БДЖ – Пътнически превози” ЕООД. /Приходи от свързани лица/.</w:t>
      </w:r>
      <w:r w:rsidRPr="00F91BD3">
        <w:rPr>
          <w:rFonts w:ascii="Times New Roman" w:hAnsi="Times New Roman"/>
          <w:sz w:val="24"/>
          <w:szCs w:val="24"/>
          <w:lang w:val="en-US"/>
        </w:rPr>
        <w:t xml:space="preserve">  </w:t>
      </w:r>
    </w:p>
    <w:p w:rsidR="00861379" w:rsidRPr="00216C22" w:rsidRDefault="00861379" w:rsidP="00861379">
      <w:pPr>
        <w:pStyle w:val="ListParagraph"/>
        <w:numPr>
          <w:ilvl w:val="0"/>
          <w:numId w:val="27"/>
        </w:numPr>
        <w:spacing w:line="240" w:lineRule="auto"/>
        <w:ind w:left="714" w:hanging="357"/>
        <w:jc w:val="both"/>
        <w:rPr>
          <w:rFonts w:ascii="Times New Roman" w:hAnsi="Times New Roman"/>
          <w:b/>
          <w:sz w:val="24"/>
          <w:szCs w:val="24"/>
        </w:rPr>
      </w:pPr>
      <w:r w:rsidRPr="00216C22">
        <w:rPr>
          <w:rFonts w:ascii="Times New Roman" w:hAnsi="Times New Roman"/>
          <w:b/>
          <w:sz w:val="24"/>
          <w:szCs w:val="24"/>
        </w:rPr>
        <w:t xml:space="preserve">Увеличение на цената за снабдяване с ел. енергия за трафични нужди с 8%. </w:t>
      </w:r>
    </w:p>
    <w:p w:rsidR="00861379" w:rsidRPr="00216C22" w:rsidRDefault="00861379" w:rsidP="00DA2F18">
      <w:pPr>
        <w:jc w:val="both"/>
        <w:rPr>
          <w:iCs/>
          <w:color w:val="000000"/>
          <w:lang w:val="en-US" w:eastAsia="bg-BG"/>
        </w:rPr>
      </w:pPr>
      <w:r w:rsidRPr="00216C22">
        <w:rPr>
          <w:iCs/>
          <w:color w:val="000000"/>
          <w:lang w:eastAsia="bg-BG"/>
        </w:rPr>
        <w:t xml:space="preserve">От месец септември настъпиха значителни промени на свободния </w:t>
      </w:r>
      <w:r w:rsidRPr="00216C22">
        <w:t>пазар на</w:t>
      </w:r>
      <w:r w:rsidRPr="00216C22">
        <w:rPr>
          <w:lang w:val="en-US"/>
        </w:rPr>
        <w:t xml:space="preserve"> </w:t>
      </w:r>
      <w:r w:rsidRPr="00216C22">
        <w:t xml:space="preserve">електрическа енергия в Европа и в региона. </w:t>
      </w:r>
      <w:r w:rsidRPr="00216C22">
        <w:rPr>
          <w:iCs/>
          <w:color w:val="000000"/>
          <w:lang w:eastAsia="bg-BG"/>
        </w:rPr>
        <w:t>Негативните фактори в енергийния сектор са свързани и с условията на основните производители - АЕЦ Козлодуй, „ТЕЦ Марица Изток 2“ ЕАД, НЕК ЕАД, които осъществяват търговията си на платформите на Българска независима енергийна борса, както и до оттегляне на ликвидност (предлагане) на свободен пазар на електрическа енергия. Всичко това доведе до увеличаване на  цените на Българска независима енергийна борса. За м. 1</w:t>
      </w:r>
      <w:r w:rsidR="0076115C" w:rsidRPr="00216C22">
        <w:rPr>
          <w:iCs/>
          <w:color w:val="000000"/>
          <w:lang w:eastAsia="bg-BG"/>
        </w:rPr>
        <w:t>1</w:t>
      </w:r>
      <w:r w:rsidRPr="00216C22">
        <w:rPr>
          <w:iCs/>
          <w:color w:val="000000"/>
          <w:lang w:eastAsia="bg-BG"/>
        </w:rPr>
        <w:t xml:space="preserve">.2017 г. реализираните количества на БНЕБ са намалели с 11%, а средната цена се е увеличила с 12% и е в размер на 86.02 лв./МВтч. На платформата на БНЕБ за Централизиран пазар за двустранни договори се проведе на 09.11.2017 г. търг за </w:t>
      </w:r>
      <w:r w:rsidRPr="00216C22">
        <w:t>годишен базов продукт от 01.01.2018 г. до 31.12.2018 г., като същият приключи на цена 81.80</w:t>
      </w:r>
      <w:r w:rsidRPr="00216C22">
        <w:rPr>
          <w:bCs/>
        </w:rPr>
        <w:t xml:space="preserve"> </w:t>
      </w:r>
      <w:r w:rsidRPr="00216C22">
        <w:t xml:space="preserve">лв./МВтч. Търговете в АЕЦ”Козлодуй” проведени в края на месец октомври – са в ценови диапазон от 81.80 лв./МВтч. до 84.50 лв./МВтч- като това са минималните цени, а реално реализираните цени на електрическа енергия достигнаха 88 лв./МВтч. Проведените търгове в </w:t>
      </w:r>
      <w:r w:rsidRPr="00216C22">
        <w:rPr>
          <w:iCs/>
          <w:color w:val="000000"/>
          <w:lang w:eastAsia="bg-BG"/>
        </w:rPr>
        <w:t>„ТЕЦ Марица Изток 2“ за същия период бяха от 85 лв./Мвтч.до 88</w:t>
      </w:r>
      <w:r w:rsidRPr="00216C22">
        <w:t xml:space="preserve"> лв./МВтч</w:t>
      </w:r>
      <w:r w:rsidRPr="00216C22">
        <w:rPr>
          <w:iCs/>
          <w:color w:val="000000"/>
          <w:lang w:eastAsia="bg-BG"/>
        </w:rPr>
        <w:t xml:space="preserve">., като реализираните цени достигнаха 89лв./Мвтч. Цените на „НЕК” ЕАД са в същия ценови диапазон. </w:t>
      </w:r>
    </w:p>
    <w:p w:rsidR="00DA2F18" w:rsidRPr="00216C22" w:rsidRDefault="00DA2F18" w:rsidP="00DA2F18">
      <w:pPr>
        <w:jc w:val="both"/>
        <w:rPr>
          <w:iCs/>
          <w:color w:val="000000"/>
          <w:lang w:val="en-US" w:eastAsia="bg-BG"/>
        </w:rPr>
      </w:pPr>
    </w:p>
    <w:p w:rsidR="009C4DAD" w:rsidRPr="00336E9E" w:rsidRDefault="009C4DAD" w:rsidP="008D21DC">
      <w:pPr>
        <w:numPr>
          <w:ilvl w:val="1"/>
          <w:numId w:val="3"/>
        </w:numPr>
        <w:tabs>
          <w:tab w:val="clear" w:pos="1440"/>
          <w:tab w:val="num" w:pos="0"/>
        </w:tabs>
        <w:spacing w:after="120"/>
        <w:ind w:left="0" w:firstLine="567"/>
        <w:jc w:val="both"/>
      </w:pPr>
      <w:r w:rsidRPr="00336E9E">
        <w:rPr>
          <w:b/>
        </w:rPr>
        <w:t>Външни услуги</w:t>
      </w:r>
      <w:r w:rsidRPr="00336E9E">
        <w:t xml:space="preserve"> – отчетени са </w:t>
      </w:r>
      <w:r w:rsidR="00514F60" w:rsidRPr="00336E9E">
        <w:t>2</w:t>
      </w:r>
      <w:r w:rsidR="00336E9E" w:rsidRPr="00336E9E">
        <w:t>5</w:t>
      </w:r>
      <w:r w:rsidR="00514F60" w:rsidRPr="00336E9E">
        <w:t xml:space="preserve"> </w:t>
      </w:r>
      <w:r w:rsidR="00336E9E" w:rsidRPr="00336E9E">
        <w:t>306</w:t>
      </w:r>
      <w:r w:rsidRPr="00336E9E">
        <w:t xml:space="preserve"> хил. лева, което представлява 2</w:t>
      </w:r>
      <w:r w:rsidR="00336E9E" w:rsidRPr="00336E9E">
        <w:t>2</w:t>
      </w:r>
      <w:r w:rsidRPr="00336E9E">
        <w:t xml:space="preserve">% от разходите за дейността. Отчита се </w:t>
      </w:r>
      <w:r w:rsidR="005D701B" w:rsidRPr="00336E9E">
        <w:t>увеличение</w:t>
      </w:r>
      <w:r w:rsidRPr="00336E9E">
        <w:t xml:space="preserve"> с</w:t>
      </w:r>
      <w:r w:rsidR="005D701B" w:rsidRPr="00336E9E">
        <w:t xml:space="preserve"> </w:t>
      </w:r>
      <w:r w:rsidR="00336E9E" w:rsidRPr="00336E9E">
        <w:t>1 652</w:t>
      </w:r>
      <w:r w:rsidRPr="00336E9E">
        <w:t xml:space="preserve"> хил. лева спрямо същия период на м. г. и </w:t>
      </w:r>
      <w:r w:rsidR="00833B85" w:rsidRPr="00336E9E">
        <w:t>увеличение</w:t>
      </w:r>
      <w:r w:rsidRPr="00336E9E">
        <w:t xml:space="preserve"> спрямо плана с</w:t>
      </w:r>
      <w:r w:rsidR="008C0D3D" w:rsidRPr="00336E9E">
        <w:t xml:space="preserve"> </w:t>
      </w:r>
      <w:r w:rsidR="00336E9E" w:rsidRPr="00336E9E">
        <w:t>2</w:t>
      </w:r>
      <w:r w:rsidR="008C0D3D" w:rsidRPr="00336E9E">
        <w:t xml:space="preserve"> </w:t>
      </w:r>
      <w:r w:rsidR="00336E9E" w:rsidRPr="00336E9E">
        <w:t>808</w:t>
      </w:r>
      <w:r w:rsidRPr="00336E9E">
        <w:t xml:space="preserve"> хил. лева. </w:t>
      </w:r>
    </w:p>
    <w:p w:rsidR="009C4DAD" w:rsidRPr="00336E9E" w:rsidRDefault="009C4DAD" w:rsidP="0013611F">
      <w:pPr>
        <w:spacing w:after="120"/>
        <w:jc w:val="both"/>
      </w:pPr>
      <w:r w:rsidRPr="00336E9E">
        <w:t xml:space="preserve">Най-голям относителен дял в икономическия елемент „външни услуги” заемат разходите за инфраструктурни такси и др. услуги към НК ЖИ – </w:t>
      </w:r>
      <w:r w:rsidR="004A3575" w:rsidRPr="00336E9E">
        <w:t>13</w:t>
      </w:r>
      <w:r w:rsidRPr="00336E9E">
        <w:t xml:space="preserve">%. Разходите за инфраструктурни такси за превози по ЖПИ за 2017 година са в размер на </w:t>
      </w:r>
      <w:r w:rsidR="008C0D3D" w:rsidRPr="00336E9E">
        <w:t>1</w:t>
      </w:r>
      <w:r w:rsidR="00336E9E" w:rsidRPr="00336E9E">
        <w:t>4</w:t>
      </w:r>
      <w:r w:rsidR="00514F60" w:rsidRPr="00336E9E">
        <w:t xml:space="preserve"> </w:t>
      </w:r>
      <w:r w:rsidR="00336E9E" w:rsidRPr="00336E9E">
        <w:t>719</w:t>
      </w:r>
      <w:r w:rsidRPr="00336E9E">
        <w:t xml:space="preserve"> хил. лева, с </w:t>
      </w:r>
      <w:r w:rsidR="008C0D3D" w:rsidRPr="00336E9E">
        <w:t>2</w:t>
      </w:r>
      <w:r w:rsidR="00336E9E" w:rsidRPr="00336E9E">
        <w:t>79</w:t>
      </w:r>
      <w:r w:rsidRPr="00336E9E">
        <w:t xml:space="preserve"> хил. лева по</w:t>
      </w:r>
      <w:r w:rsidR="00336E9E" w:rsidRPr="00336E9E">
        <w:t>вече</w:t>
      </w:r>
      <w:r w:rsidRPr="00336E9E">
        <w:t xml:space="preserve"> от  предходната година, поради </w:t>
      </w:r>
      <w:r w:rsidR="00336E9E" w:rsidRPr="00336E9E">
        <w:t xml:space="preserve">увеличения обем </w:t>
      </w:r>
      <w:r w:rsidRPr="00336E9E">
        <w:t xml:space="preserve">превози. </w:t>
      </w:r>
    </w:p>
    <w:p w:rsidR="009C4DAD" w:rsidRPr="004B1B75" w:rsidRDefault="009C4DAD" w:rsidP="0013611F">
      <w:pPr>
        <w:spacing w:after="120"/>
        <w:jc w:val="both"/>
      </w:pPr>
      <w:r w:rsidRPr="004B1B75">
        <w:lastRenderedPageBreak/>
        <w:t xml:space="preserve">В този икономически елемент се отчитат разходите за: наеми на външни организации и чужди жп администрации – </w:t>
      </w:r>
      <w:r w:rsidR="004B1B75" w:rsidRPr="004B1B75">
        <w:rPr>
          <w:lang w:val="en-US"/>
        </w:rPr>
        <w:t>2 511</w:t>
      </w:r>
      <w:r w:rsidRPr="004B1B75">
        <w:t xml:space="preserve"> хил. лева; такса смет </w:t>
      </w:r>
      <w:r w:rsidR="00433432" w:rsidRPr="004B1B75">
        <w:t>2</w:t>
      </w:r>
      <w:r w:rsidR="004B1B75" w:rsidRPr="004B1B75">
        <w:rPr>
          <w:lang w:val="en-US"/>
        </w:rPr>
        <w:t>5</w:t>
      </w:r>
      <w:r w:rsidR="00514F60" w:rsidRPr="004B1B75">
        <w:t>0</w:t>
      </w:r>
      <w:r w:rsidRPr="004B1B75">
        <w:t xml:space="preserve"> хил. лева; имуществени застраховки в размер на </w:t>
      </w:r>
      <w:r w:rsidR="005D701B" w:rsidRPr="004B1B75">
        <w:t>1</w:t>
      </w:r>
      <w:r w:rsidR="004B1B75" w:rsidRPr="004B1B75">
        <w:rPr>
          <w:lang w:val="en-US"/>
        </w:rPr>
        <w:t>35</w:t>
      </w:r>
      <w:r w:rsidRPr="004B1B75">
        <w:t xml:space="preserve"> хил. лева;</w:t>
      </w:r>
      <w:r w:rsidR="004B1B75">
        <w:t xml:space="preserve"> за услуги и текущ ремонт от СЛ</w:t>
      </w:r>
      <w:r w:rsidR="004B1B75">
        <w:rPr>
          <w:lang w:val="en-US"/>
        </w:rPr>
        <w:t xml:space="preserve"> </w:t>
      </w:r>
      <w:r w:rsidR="00514F60" w:rsidRPr="004B1B75">
        <w:t xml:space="preserve">2 </w:t>
      </w:r>
      <w:r w:rsidR="004B1B75" w:rsidRPr="004B1B75">
        <w:rPr>
          <w:lang w:val="en-US"/>
        </w:rPr>
        <w:t>714</w:t>
      </w:r>
      <w:r w:rsidRPr="004B1B75">
        <w:t xml:space="preserve"> хил. лева и др.</w:t>
      </w:r>
    </w:p>
    <w:p w:rsidR="009C3DCB" w:rsidRPr="00E90ECD" w:rsidRDefault="009C3DCB" w:rsidP="008D21DC">
      <w:pPr>
        <w:numPr>
          <w:ilvl w:val="1"/>
          <w:numId w:val="3"/>
        </w:numPr>
        <w:tabs>
          <w:tab w:val="clear" w:pos="1440"/>
          <w:tab w:val="num" w:pos="0"/>
        </w:tabs>
        <w:spacing w:after="120"/>
        <w:ind w:left="0" w:firstLine="567"/>
        <w:jc w:val="both"/>
      </w:pPr>
      <w:r w:rsidRPr="00E90ECD">
        <w:rPr>
          <w:b/>
        </w:rPr>
        <w:t>Други разходи</w:t>
      </w:r>
      <w:r w:rsidRPr="00E90ECD">
        <w:t xml:space="preserve"> – отчетени са </w:t>
      </w:r>
      <w:r w:rsidR="00AB2C75" w:rsidRPr="00E90ECD">
        <w:t>3 359 хил. лева, което представлява 3</w:t>
      </w:r>
      <w:r w:rsidRPr="00E90ECD">
        <w:t xml:space="preserve">% от разходите за дейността. Спрямо предходната година се отчита </w:t>
      </w:r>
      <w:r w:rsidR="00AB2C75" w:rsidRPr="00E90ECD">
        <w:t>увеличение</w:t>
      </w:r>
      <w:r w:rsidRPr="00E90ECD">
        <w:t xml:space="preserve"> с </w:t>
      </w:r>
      <w:r w:rsidR="00AB2C75" w:rsidRPr="00E90ECD">
        <w:t>41</w:t>
      </w:r>
      <w:r w:rsidR="005D701B" w:rsidRPr="00E90ECD">
        <w:t xml:space="preserve"> </w:t>
      </w:r>
      <w:r w:rsidR="00A15149" w:rsidRPr="00E90ECD">
        <w:t xml:space="preserve">хил. лева, а спрямо плана </w:t>
      </w:r>
      <w:r w:rsidR="00AB2C75" w:rsidRPr="00E90ECD">
        <w:t>уве</w:t>
      </w:r>
      <w:r w:rsidR="00514F60" w:rsidRPr="00E90ECD">
        <w:t xml:space="preserve">личение </w:t>
      </w:r>
      <w:r w:rsidR="00A15149" w:rsidRPr="00E90ECD">
        <w:t xml:space="preserve">от </w:t>
      </w:r>
      <w:r w:rsidR="00AB2C75" w:rsidRPr="00E90ECD">
        <w:t>923</w:t>
      </w:r>
      <w:r w:rsidR="005D701B" w:rsidRPr="00E90ECD">
        <w:t xml:space="preserve"> хил. лева</w:t>
      </w:r>
      <w:r w:rsidR="00A15149" w:rsidRPr="00E90ECD">
        <w:t>.</w:t>
      </w:r>
    </w:p>
    <w:p w:rsidR="00421187" w:rsidRPr="004B1B75" w:rsidRDefault="009C3DCB" w:rsidP="009C3DCB">
      <w:pPr>
        <w:spacing w:after="120"/>
        <w:jc w:val="both"/>
      </w:pPr>
      <w:r w:rsidRPr="004B1B75">
        <w:t>В този елемент са отчетени</w:t>
      </w:r>
      <w:r w:rsidR="000147FB" w:rsidRPr="004B1B75">
        <w:t>:</w:t>
      </w:r>
    </w:p>
    <w:p w:rsidR="00421187" w:rsidRPr="004B1B75" w:rsidRDefault="000E18A1" w:rsidP="000E18A1">
      <w:pPr>
        <w:numPr>
          <w:ilvl w:val="0"/>
          <w:numId w:val="23"/>
        </w:numPr>
        <w:spacing w:after="100" w:afterAutospacing="1"/>
        <w:ind w:left="567" w:hanging="210"/>
        <w:jc w:val="both"/>
      </w:pPr>
      <w:r w:rsidRPr="004B1B75">
        <w:t xml:space="preserve">  </w:t>
      </w:r>
      <w:r w:rsidR="009C3DCB" w:rsidRPr="004B1B75">
        <w:t xml:space="preserve">разходи за командировки в сраната и чужбина </w:t>
      </w:r>
      <w:r w:rsidR="00433432" w:rsidRPr="004B1B75">
        <w:t>– в размер на 3</w:t>
      </w:r>
      <w:r w:rsidR="004B1B75" w:rsidRPr="004B1B75">
        <w:rPr>
          <w:lang w:val="en-US"/>
        </w:rPr>
        <w:t>84</w:t>
      </w:r>
      <w:r w:rsidR="009C3DCB" w:rsidRPr="004B1B75">
        <w:t xml:space="preserve"> хил. лева</w:t>
      </w:r>
      <w:r w:rsidR="00433432" w:rsidRPr="004B1B75">
        <w:t>;</w:t>
      </w:r>
    </w:p>
    <w:p w:rsidR="009C3DCB" w:rsidRPr="004B1B75" w:rsidRDefault="009C3DCB" w:rsidP="000E18A1">
      <w:pPr>
        <w:numPr>
          <w:ilvl w:val="0"/>
          <w:numId w:val="23"/>
        </w:numPr>
        <w:spacing w:after="100" w:afterAutospacing="1"/>
        <w:ind w:left="714" w:hanging="357"/>
        <w:jc w:val="both"/>
      </w:pPr>
      <w:r w:rsidRPr="004B1B75">
        <w:t xml:space="preserve">разходи за лихви по просрочени плащания </w:t>
      </w:r>
      <w:r w:rsidR="00433432" w:rsidRPr="004B1B75">
        <w:t xml:space="preserve">– в размер на </w:t>
      </w:r>
      <w:r w:rsidR="004B1B75" w:rsidRPr="004B1B75">
        <w:rPr>
          <w:lang w:val="en-US"/>
        </w:rPr>
        <w:t>447</w:t>
      </w:r>
      <w:r w:rsidRPr="004B1B75">
        <w:t xml:space="preserve"> хил. лева</w:t>
      </w:r>
      <w:r w:rsidR="008F28DD" w:rsidRPr="004B1B75">
        <w:t>;</w:t>
      </w:r>
    </w:p>
    <w:p w:rsidR="00433432" w:rsidRPr="004B1B75" w:rsidRDefault="00433432" w:rsidP="000E18A1">
      <w:pPr>
        <w:numPr>
          <w:ilvl w:val="0"/>
          <w:numId w:val="23"/>
        </w:numPr>
        <w:spacing w:after="100" w:afterAutospacing="1"/>
        <w:ind w:left="714" w:hanging="357"/>
        <w:jc w:val="both"/>
      </w:pPr>
      <w:r w:rsidRPr="004B1B75">
        <w:t>разходи за загу</w:t>
      </w:r>
      <w:r w:rsidR="00166F42" w:rsidRPr="004B1B75">
        <w:t>б</w:t>
      </w:r>
      <w:r w:rsidRPr="004B1B75">
        <w:t xml:space="preserve">ени дела от БДЖ – в размер на </w:t>
      </w:r>
      <w:r w:rsidR="004B1B75" w:rsidRPr="004B1B75">
        <w:rPr>
          <w:lang w:val="en-US"/>
        </w:rPr>
        <w:t>20</w:t>
      </w:r>
      <w:r w:rsidRPr="004B1B75">
        <w:t xml:space="preserve"> хил.лева;</w:t>
      </w:r>
    </w:p>
    <w:p w:rsidR="002B2EB3" w:rsidRPr="00E90ECD" w:rsidRDefault="002B2EB3" w:rsidP="008D21DC">
      <w:pPr>
        <w:numPr>
          <w:ilvl w:val="1"/>
          <w:numId w:val="3"/>
        </w:numPr>
        <w:tabs>
          <w:tab w:val="clear" w:pos="1440"/>
          <w:tab w:val="num" w:pos="0"/>
        </w:tabs>
        <w:spacing w:after="120"/>
        <w:ind w:left="0" w:firstLine="567"/>
        <w:jc w:val="both"/>
      </w:pPr>
      <w:r w:rsidRPr="00E90ECD">
        <w:rPr>
          <w:b/>
        </w:rPr>
        <w:t>Амортизации</w:t>
      </w:r>
      <w:r w:rsidRPr="00E90ECD">
        <w:t xml:space="preserve"> - отчетени са </w:t>
      </w:r>
      <w:r w:rsidR="00166F42" w:rsidRPr="00E90ECD">
        <w:t>6</w:t>
      </w:r>
      <w:r w:rsidR="00E90ECD">
        <w:rPr>
          <w:lang w:val="en-US"/>
        </w:rPr>
        <w:t xml:space="preserve"> 774</w:t>
      </w:r>
      <w:r w:rsidRPr="00E90ECD">
        <w:t xml:space="preserve"> хил. лева, което е </w:t>
      </w:r>
      <w:r w:rsidR="00A1771E" w:rsidRPr="00E90ECD">
        <w:t>6</w:t>
      </w:r>
      <w:r w:rsidRPr="00E90ECD">
        <w:t>% от разходите по икономически елементи. Тези разходи са с</w:t>
      </w:r>
      <w:r w:rsidR="008F28DD" w:rsidRPr="00E90ECD">
        <w:t xml:space="preserve"> 1 </w:t>
      </w:r>
      <w:r w:rsidR="00E90ECD">
        <w:rPr>
          <w:lang w:val="en-US"/>
        </w:rPr>
        <w:t>454</w:t>
      </w:r>
      <w:r w:rsidRPr="00E90ECD">
        <w:t xml:space="preserve"> хил. лева повече от същия период на м.г. </w:t>
      </w:r>
      <w:r w:rsidR="00151F20" w:rsidRPr="00E90ECD">
        <w:t>Основ</w:t>
      </w:r>
      <w:r w:rsidR="00166F42" w:rsidRPr="00E90ECD">
        <w:t>н</w:t>
      </w:r>
      <w:r w:rsidR="00151F20" w:rsidRPr="00E90ECD">
        <w:t>а причина</w:t>
      </w:r>
      <w:r w:rsidR="00A1771E" w:rsidRPr="00E90ECD">
        <w:t xml:space="preserve"> </w:t>
      </w:r>
      <w:r w:rsidR="00166F42" w:rsidRPr="00E90ECD">
        <w:t xml:space="preserve">са капитализирани ремонти </w:t>
      </w:r>
      <w:r w:rsidR="00151F20" w:rsidRPr="00E90ECD">
        <w:t>на ДМА</w:t>
      </w:r>
      <w:r w:rsidR="00772BD8" w:rsidRPr="00E90ECD">
        <w:t>, при което се увеличи стойността на активите.</w:t>
      </w:r>
    </w:p>
    <w:p w:rsidR="003D6F83" w:rsidRPr="009D1307" w:rsidRDefault="002B2EB3" w:rsidP="002B2EB3">
      <w:pPr>
        <w:jc w:val="both"/>
      </w:pPr>
      <w:r w:rsidRPr="009D1307">
        <w:t>На следващите графики е показан относителния дял на разходите по икономически елементи за</w:t>
      </w:r>
      <w:r w:rsidR="008F28DD" w:rsidRPr="009D1307">
        <w:t xml:space="preserve"> </w:t>
      </w:r>
      <w:r w:rsidR="00B30865" w:rsidRPr="009D1307">
        <w:t>1</w:t>
      </w:r>
      <w:r w:rsidR="00166F42" w:rsidRPr="009D1307">
        <w:t>1</w:t>
      </w:r>
      <w:r w:rsidR="008D32D5" w:rsidRPr="009D1307">
        <w:t>-те месеца</w:t>
      </w:r>
      <w:r w:rsidR="008F28DD" w:rsidRPr="009D1307">
        <w:t xml:space="preserve"> </w:t>
      </w:r>
      <w:r w:rsidRPr="009D1307">
        <w:t>на</w:t>
      </w:r>
      <w:r w:rsidR="008F28DD" w:rsidRPr="009D1307">
        <w:t xml:space="preserve"> </w:t>
      </w:r>
      <w:r w:rsidRPr="009D1307">
        <w:t>201</w:t>
      </w:r>
      <w:r w:rsidR="00985D22" w:rsidRPr="009D1307">
        <w:t>7 г. и 2016</w:t>
      </w:r>
      <w:r w:rsidRPr="009D1307">
        <w:t xml:space="preserve"> г. на „БДЖ – Товарни превози” ЕООД.</w:t>
      </w:r>
    </w:p>
    <w:p w:rsidR="00017F7B" w:rsidRPr="004B1B75" w:rsidRDefault="00017F7B" w:rsidP="002B2EB3">
      <w:pPr>
        <w:jc w:val="both"/>
      </w:pPr>
    </w:p>
    <w:p w:rsidR="00166F42" w:rsidRPr="004B1B75" w:rsidRDefault="00166F42" w:rsidP="00C70ADB">
      <w:pPr>
        <w:pBdr>
          <w:bottom w:val="single" w:sz="4" w:space="1" w:color="auto"/>
        </w:pBdr>
        <w:jc w:val="both"/>
      </w:pPr>
      <w:r w:rsidRPr="004B1B75">
        <w:rPr>
          <w:noProof/>
          <w:lang w:eastAsia="bg-BG"/>
        </w:rPr>
        <w:drawing>
          <wp:inline distT="0" distB="0" distL="0" distR="0">
            <wp:extent cx="3034665" cy="2828925"/>
            <wp:effectExtent l="19050" t="0" r="13335" b="0"/>
            <wp:docPr id="11"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r w:rsidRPr="004B1B75">
        <w:rPr>
          <w:noProof/>
          <w:lang w:eastAsia="bg-BG"/>
        </w:rPr>
        <w:drawing>
          <wp:inline distT="0" distB="0" distL="0" distR="0">
            <wp:extent cx="3143250" cy="2821305"/>
            <wp:effectExtent l="19050" t="0" r="19050" b="0"/>
            <wp:docPr id="12"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166F42" w:rsidRPr="00353032" w:rsidRDefault="00166F42" w:rsidP="002B2EB3">
      <w:pPr>
        <w:jc w:val="both"/>
        <w:rPr>
          <w:highlight w:val="yellow"/>
        </w:rPr>
      </w:pPr>
    </w:p>
    <w:p w:rsidR="00C75A88" w:rsidRDefault="00C75A88" w:rsidP="00C75A88">
      <w:pPr>
        <w:spacing w:after="120"/>
        <w:ind w:left="748"/>
        <w:jc w:val="both"/>
        <w:rPr>
          <w:rFonts w:ascii="Arial" w:hAnsi="Arial" w:cs="Arial"/>
          <w:b/>
          <w:color w:val="0000CC"/>
        </w:rPr>
      </w:pPr>
    </w:p>
    <w:p w:rsidR="00C75A88" w:rsidRDefault="00C75A88" w:rsidP="00C75A88">
      <w:pPr>
        <w:spacing w:after="120"/>
        <w:ind w:left="748"/>
        <w:jc w:val="both"/>
        <w:rPr>
          <w:rFonts w:ascii="Arial" w:hAnsi="Arial" w:cs="Arial"/>
          <w:b/>
          <w:color w:val="0000CC"/>
        </w:rPr>
      </w:pPr>
    </w:p>
    <w:p w:rsidR="00C75A88" w:rsidRDefault="00C75A88" w:rsidP="00C75A88">
      <w:pPr>
        <w:spacing w:after="120"/>
        <w:ind w:left="748"/>
        <w:jc w:val="both"/>
        <w:rPr>
          <w:rFonts w:ascii="Arial" w:hAnsi="Arial" w:cs="Arial"/>
          <w:b/>
          <w:color w:val="0000CC"/>
        </w:rPr>
      </w:pPr>
    </w:p>
    <w:p w:rsidR="00C75A88" w:rsidRDefault="00C75A88" w:rsidP="00C75A88">
      <w:pPr>
        <w:spacing w:after="120"/>
        <w:ind w:left="748"/>
        <w:jc w:val="both"/>
        <w:rPr>
          <w:rFonts w:ascii="Arial" w:hAnsi="Arial" w:cs="Arial"/>
          <w:b/>
          <w:color w:val="0000CC"/>
        </w:rPr>
      </w:pPr>
    </w:p>
    <w:p w:rsidR="00C75A88" w:rsidRDefault="00C75A88" w:rsidP="00C75A88">
      <w:pPr>
        <w:spacing w:after="120"/>
        <w:ind w:left="748"/>
        <w:jc w:val="both"/>
        <w:rPr>
          <w:rFonts w:ascii="Arial" w:hAnsi="Arial" w:cs="Arial"/>
          <w:b/>
          <w:color w:val="0000CC"/>
        </w:rPr>
      </w:pPr>
    </w:p>
    <w:p w:rsidR="00C75A88" w:rsidRDefault="00C75A88" w:rsidP="00C75A88">
      <w:pPr>
        <w:spacing w:after="120"/>
        <w:ind w:left="748"/>
        <w:jc w:val="both"/>
        <w:rPr>
          <w:rFonts w:ascii="Arial" w:hAnsi="Arial" w:cs="Arial"/>
          <w:b/>
          <w:color w:val="0000CC"/>
        </w:rPr>
      </w:pPr>
    </w:p>
    <w:p w:rsidR="00C75A88" w:rsidRDefault="00C75A88" w:rsidP="00C75A88">
      <w:pPr>
        <w:spacing w:after="120"/>
        <w:ind w:left="748"/>
        <w:jc w:val="both"/>
        <w:rPr>
          <w:rFonts w:ascii="Arial" w:hAnsi="Arial" w:cs="Arial"/>
          <w:b/>
          <w:color w:val="0000CC"/>
        </w:rPr>
      </w:pPr>
    </w:p>
    <w:p w:rsidR="00C75A88" w:rsidRDefault="00C75A88" w:rsidP="00C75A88">
      <w:pPr>
        <w:spacing w:after="120"/>
        <w:ind w:left="748"/>
        <w:jc w:val="both"/>
        <w:rPr>
          <w:rFonts w:ascii="Arial" w:hAnsi="Arial" w:cs="Arial"/>
          <w:b/>
          <w:color w:val="0000CC"/>
        </w:rPr>
      </w:pPr>
    </w:p>
    <w:p w:rsidR="00C75A88" w:rsidRDefault="00C75A88" w:rsidP="00C75A88">
      <w:pPr>
        <w:spacing w:after="120"/>
        <w:ind w:left="748"/>
        <w:jc w:val="both"/>
        <w:rPr>
          <w:rFonts w:ascii="Arial" w:hAnsi="Arial" w:cs="Arial"/>
          <w:b/>
          <w:color w:val="0000CC"/>
        </w:rPr>
      </w:pPr>
    </w:p>
    <w:p w:rsidR="00C75A88" w:rsidRDefault="00C75A88" w:rsidP="00C75A88">
      <w:pPr>
        <w:spacing w:after="120"/>
        <w:ind w:left="748"/>
        <w:jc w:val="both"/>
        <w:rPr>
          <w:rFonts w:ascii="Arial" w:hAnsi="Arial" w:cs="Arial"/>
          <w:b/>
          <w:color w:val="0000CC"/>
        </w:rPr>
      </w:pPr>
    </w:p>
    <w:p w:rsidR="00C75A88" w:rsidRDefault="00C75A88" w:rsidP="00C75A88">
      <w:pPr>
        <w:spacing w:after="120"/>
        <w:ind w:left="748"/>
        <w:jc w:val="both"/>
        <w:rPr>
          <w:rFonts w:ascii="Arial" w:hAnsi="Arial" w:cs="Arial"/>
          <w:b/>
          <w:color w:val="0000CC"/>
        </w:rPr>
      </w:pPr>
    </w:p>
    <w:p w:rsidR="00C75A88" w:rsidRPr="009D1307" w:rsidRDefault="00C75A88" w:rsidP="00C75A88">
      <w:pPr>
        <w:numPr>
          <w:ilvl w:val="0"/>
          <w:numId w:val="1"/>
        </w:numPr>
        <w:spacing w:after="120"/>
        <w:ind w:hanging="181"/>
        <w:jc w:val="both"/>
        <w:rPr>
          <w:rFonts w:ascii="Arial" w:hAnsi="Arial" w:cs="Arial"/>
          <w:b/>
          <w:color w:val="0000CC"/>
        </w:rPr>
      </w:pPr>
      <w:r w:rsidRPr="009D1307">
        <w:rPr>
          <w:rFonts w:ascii="Arial" w:hAnsi="Arial" w:cs="Arial"/>
          <w:b/>
          <w:color w:val="0000CC"/>
        </w:rPr>
        <w:lastRenderedPageBreak/>
        <w:t>Баланс на „БДЖ – Товарни превози” ЕООД</w:t>
      </w:r>
    </w:p>
    <w:p w:rsidR="00C75A88" w:rsidRDefault="00C75A88" w:rsidP="00C75A88">
      <w:pPr>
        <w:shd w:val="clear" w:color="auto" w:fill="FFFFFF"/>
        <w:spacing w:after="120"/>
      </w:pPr>
      <w:r w:rsidRPr="009D1307">
        <w:t>Данните за движението на активите и пасивите по баланс към 3</w:t>
      </w:r>
      <w:r w:rsidRPr="009D1307">
        <w:rPr>
          <w:lang w:val="en-US"/>
        </w:rPr>
        <w:t>1</w:t>
      </w:r>
      <w:r w:rsidRPr="009D1307">
        <w:t>.1</w:t>
      </w:r>
      <w:r w:rsidRPr="009D1307">
        <w:rPr>
          <w:lang w:val="en-US"/>
        </w:rPr>
        <w:t>2</w:t>
      </w:r>
      <w:r>
        <w:t>.2017</w:t>
      </w:r>
      <w:r w:rsidRPr="009D1307">
        <w:t xml:space="preserve"> г., показват:</w:t>
      </w:r>
    </w:p>
    <w:tbl>
      <w:tblPr>
        <w:tblW w:w="9874" w:type="dxa"/>
        <w:tblInd w:w="58" w:type="dxa"/>
        <w:tblCellMar>
          <w:left w:w="70" w:type="dxa"/>
          <w:right w:w="70" w:type="dxa"/>
        </w:tblCellMar>
        <w:tblLook w:val="04A0" w:firstRow="1" w:lastRow="0" w:firstColumn="1" w:lastColumn="0" w:noHBand="0" w:noVBand="1"/>
      </w:tblPr>
      <w:tblGrid>
        <w:gridCol w:w="4889"/>
        <w:gridCol w:w="1190"/>
        <w:gridCol w:w="1253"/>
        <w:gridCol w:w="1271"/>
        <w:gridCol w:w="1271"/>
      </w:tblGrid>
      <w:tr w:rsidR="00C75A88" w:rsidRPr="006A056C" w:rsidTr="00C75A88">
        <w:trPr>
          <w:trHeight w:val="280"/>
        </w:trPr>
        <w:tc>
          <w:tcPr>
            <w:tcW w:w="4889" w:type="dxa"/>
            <w:tcBorders>
              <w:top w:val="single" w:sz="4" w:space="0" w:color="auto"/>
              <w:left w:val="single" w:sz="4" w:space="0" w:color="auto"/>
              <w:bottom w:val="single" w:sz="4" w:space="0" w:color="auto"/>
              <w:right w:val="nil"/>
            </w:tcBorders>
            <w:shd w:val="clear" w:color="auto" w:fill="auto"/>
            <w:vAlign w:val="bottom"/>
            <w:hideMark/>
          </w:tcPr>
          <w:p w:rsidR="00C75A88" w:rsidRPr="006A056C" w:rsidRDefault="00C75A88" w:rsidP="00C75A88">
            <w:pPr>
              <w:rPr>
                <w:rFonts w:ascii="Calibri" w:eastAsia="Times New Roman" w:hAnsi="Calibri" w:cs="Calibri"/>
                <w:b/>
                <w:bCs/>
                <w:sz w:val="18"/>
                <w:szCs w:val="18"/>
                <w:lang w:eastAsia="bg-BG"/>
              </w:rPr>
            </w:pPr>
            <w:r w:rsidRPr="006A056C">
              <w:rPr>
                <w:rFonts w:ascii="Calibri" w:eastAsia="Times New Roman" w:hAnsi="Calibri" w:cs="Calibri"/>
                <w:b/>
                <w:bCs/>
                <w:sz w:val="18"/>
                <w:szCs w:val="18"/>
                <w:lang w:eastAsia="bg-BG"/>
              </w:rPr>
              <w:t>СЧЕТОВОДЕН БАЛАНС</w:t>
            </w:r>
          </w:p>
        </w:tc>
        <w:tc>
          <w:tcPr>
            <w:tcW w:w="4985" w:type="dxa"/>
            <w:gridSpan w:val="4"/>
            <w:tcBorders>
              <w:top w:val="single" w:sz="4" w:space="0" w:color="auto"/>
              <w:left w:val="nil"/>
              <w:bottom w:val="single" w:sz="4" w:space="0" w:color="auto"/>
              <w:right w:val="single" w:sz="4" w:space="0" w:color="000000"/>
            </w:tcBorders>
            <w:shd w:val="clear" w:color="auto" w:fill="auto"/>
            <w:vAlign w:val="bottom"/>
            <w:hideMark/>
          </w:tcPr>
          <w:p w:rsidR="00C75A88" w:rsidRPr="006A056C" w:rsidRDefault="00C75A88" w:rsidP="00C75A88">
            <w:pPr>
              <w:jc w:val="center"/>
              <w:rPr>
                <w:rFonts w:ascii="Calibri" w:eastAsia="Times New Roman" w:hAnsi="Calibri" w:cs="Calibri"/>
                <w:b/>
                <w:bCs/>
                <w:sz w:val="18"/>
                <w:szCs w:val="18"/>
                <w:lang w:eastAsia="bg-BG"/>
              </w:rPr>
            </w:pPr>
            <w:r w:rsidRPr="006A056C">
              <w:rPr>
                <w:rFonts w:ascii="Calibri" w:eastAsia="Times New Roman" w:hAnsi="Calibri" w:cs="Calibri"/>
                <w:b/>
                <w:bCs/>
                <w:sz w:val="18"/>
                <w:szCs w:val="18"/>
                <w:lang w:eastAsia="bg-BG"/>
              </w:rPr>
              <w:t>ЯНУАРИ – ДЕКЕМВРИ 2017 г.</w:t>
            </w:r>
          </w:p>
        </w:tc>
      </w:tr>
      <w:tr w:rsidR="00C75A88" w:rsidRPr="006A056C" w:rsidTr="00C75A88">
        <w:trPr>
          <w:trHeight w:val="280"/>
        </w:trPr>
        <w:tc>
          <w:tcPr>
            <w:tcW w:w="4889" w:type="dxa"/>
            <w:vMerge w:val="restart"/>
            <w:tcBorders>
              <w:top w:val="nil"/>
              <w:left w:val="single" w:sz="4" w:space="0" w:color="auto"/>
              <w:bottom w:val="single" w:sz="4" w:space="0" w:color="auto"/>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в хил. лева</w:t>
            </w:r>
          </w:p>
        </w:tc>
        <w:tc>
          <w:tcPr>
            <w:tcW w:w="1190" w:type="dxa"/>
            <w:vMerge w:val="restart"/>
            <w:tcBorders>
              <w:top w:val="nil"/>
              <w:left w:val="single" w:sz="4" w:space="0" w:color="auto"/>
              <w:bottom w:val="single" w:sz="4" w:space="0" w:color="auto"/>
              <w:right w:val="single" w:sz="4" w:space="0" w:color="auto"/>
            </w:tcBorders>
            <w:shd w:val="clear" w:color="auto" w:fill="auto"/>
            <w:vAlign w:val="bottom"/>
            <w:hideMark/>
          </w:tcPr>
          <w:p w:rsidR="00C75A88" w:rsidRPr="006A056C" w:rsidRDefault="00C75A88" w:rsidP="00C75A88">
            <w:pPr>
              <w:jc w:val="center"/>
              <w:rPr>
                <w:rFonts w:ascii="Calibri" w:eastAsia="Times New Roman" w:hAnsi="Calibri" w:cs="Calibri"/>
                <w:b/>
                <w:bCs/>
                <w:sz w:val="18"/>
                <w:szCs w:val="18"/>
                <w:lang w:eastAsia="bg-BG"/>
              </w:rPr>
            </w:pPr>
            <w:r w:rsidRPr="006A056C">
              <w:rPr>
                <w:rFonts w:ascii="Calibri" w:eastAsia="Times New Roman" w:hAnsi="Calibri" w:cs="Calibri"/>
                <w:b/>
                <w:bCs/>
                <w:sz w:val="18"/>
                <w:szCs w:val="18"/>
                <w:lang w:eastAsia="bg-BG"/>
              </w:rPr>
              <w:t>отчетен период</w:t>
            </w:r>
          </w:p>
        </w:tc>
        <w:tc>
          <w:tcPr>
            <w:tcW w:w="1253" w:type="dxa"/>
            <w:vMerge w:val="restart"/>
            <w:tcBorders>
              <w:top w:val="nil"/>
              <w:left w:val="single" w:sz="4" w:space="0" w:color="auto"/>
              <w:bottom w:val="single" w:sz="4" w:space="0" w:color="auto"/>
              <w:right w:val="single" w:sz="4" w:space="0" w:color="auto"/>
            </w:tcBorders>
            <w:shd w:val="clear" w:color="auto" w:fill="auto"/>
            <w:vAlign w:val="bottom"/>
            <w:hideMark/>
          </w:tcPr>
          <w:p w:rsidR="00C75A88" w:rsidRPr="006A056C" w:rsidRDefault="00C75A88" w:rsidP="00C75A88">
            <w:pPr>
              <w:jc w:val="center"/>
              <w:rPr>
                <w:rFonts w:ascii="Calibri" w:eastAsia="Times New Roman" w:hAnsi="Calibri" w:cs="Calibri"/>
                <w:b/>
                <w:bCs/>
                <w:sz w:val="18"/>
                <w:szCs w:val="18"/>
                <w:lang w:eastAsia="bg-BG"/>
              </w:rPr>
            </w:pPr>
            <w:r w:rsidRPr="006A056C">
              <w:rPr>
                <w:rFonts w:ascii="Calibri" w:eastAsia="Times New Roman" w:hAnsi="Calibri" w:cs="Calibri"/>
                <w:b/>
                <w:bCs/>
                <w:sz w:val="18"/>
                <w:szCs w:val="18"/>
                <w:lang w:eastAsia="bg-BG"/>
              </w:rPr>
              <w:t>предходна година</w:t>
            </w:r>
          </w:p>
        </w:tc>
        <w:tc>
          <w:tcPr>
            <w:tcW w:w="1271" w:type="dxa"/>
            <w:tcBorders>
              <w:top w:val="nil"/>
              <w:left w:val="nil"/>
              <w:bottom w:val="single" w:sz="4" w:space="0" w:color="auto"/>
              <w:right w:val="single" w:sz="4" w:space="0" w:color="auto"/>
            </w:tcBorders>
            <w:shd w:val="clear" w:color="auto" w:fill="auto"/>
            <w:vAlign w:val="bottom"/>
            <w:hideMark/>
          </w:tcPr>
          <w:p w:rsidR="00C75A88" w:rsidRPr="006A056C" w:rsidRDefault="00C75A88" w:rsidP="00C75A88">
            <w:pPr>
              <w:jc w:val="center"/>
              <w:rPr>
                <w:rFonts w:ascii="Calibri" w:eastAsia="Times New Roman" w:hAnsi="Calibri" w:cs="Calibri"/>
                <w:b/>
                <w:bCs/>
                <w:sz w:val="18"/>
                <w:szCs w:val="18"/>
                <w:lang w:eastAsia="bg-BG"/>
              </w:rPr>
            </w:pPr>
            <w:r w:rsidRPr="006A056C">
              <w:rPr>
                <w:rFonts w:ascii="Calibri" w:eastAsia="Times New Roman" w:hAnsi="Calibri" w:cs="Calibri"/>
                <w:b/>
                <w:bCs/>
                <w:sz w:val="18"/>
                <w:szCs w:val="18"/>
                <w:lang w:eastAsia="bg-BG"/>
              </w:rPr>
              <w:t>изменение</w:t>
            </w:r>
          </w:p>
        </w:tc>
        <w:tc>
          <w:tcPr>
            <w:tcW w:w="1271" w:type="dxa"/>
            <w:tcBorders>
              <w:top w:val="nil"/>
              <w:left w:val="nil"/>
              <w:bottom w:val="single" w:sz="4" w:space="0" w:color="auto"/>
              <w:right w:val="single" w:sz="4" w:space="0" w:color="auto"/>
            </w:tcBorders>
            <w:shd w:val="clear" w:color="auto" w:fill="auto"/>
            <w:vAlign w:val="bottom"/>
            <w:hideMark/>
          </w:tcPr>
          <w:p w:rsidR="00C75A88" w:rsidRPr="006A056C" w:rsidRDefault="00C75A88" w:rsidP="00C75A88">
            <w:pPr>
              <w:jc w:val="center"/>
              <w:rPr>
                <w:rFonts w:ascii="Calibri" w:eastAsia="Times New Roman" w:hAnsi="Calibri" w:cs="Calibri"/>
                <w:b/>
                <w:bCs/>
                <w:sz w:val="18"/>
                <w:szCs w:val="18"/>
                <w:lang w:eastAsia="bg-BG"/>
              </w:rPr>
            </w:pPr>
            <w:r w:rsidRPr="006A056C">
              <w:rPr>
                <w:rFonts w:ascii="Calibri" w:eastAsia="Times New Roman" w:hAnsi="Calibri" w:cs="Calibri"/>
                <w:b/>
                <w:bCs/>
                <w:sz w:val="18"/>
                <w:szCs w:val="18"/>
                <w:lang w:eastAsia="bg-BG"/>
              </w:rPr>
              <w:t>изменение</w:t>
            </w:r>
          </w:p>
        </w:tc>
      </w:tr>
      <w:tr w:rsidR="00C75A88" w:rsidRPr="006A056C" w:rsidTr="00C75A88">
        <w:trPr>
          <w:trHeight w:val="280"/>
        </w:trPr>
        <w:tc>
          <w:tcPr>
            <w:tcW w:w="4889" w:type="dxa"/>
            <w:vMerge/>
            <w:tcBorders>
              <w:top w:val="nil"/>
              <w:left w:val="single" w:sz="4" w:space="0" w:color="auto"/>
              <w:bottom w:val="single" w:sz="4" w:space="0" w:color="auto"/>
              <w:right w:val="single" w:sz="4" w:space="0" w:color="auto"/>
            </w:tcBorders>
            <w:vAlign w:val="center"/>
            <w:hideMark/>
          </w:tcPr>
          <w:p w:rsidR="00C75A88" w:rsidRPr="006A056C" w:rsidRDefault="00C75A88" w:rsidP="00C75A88">
            <w:pPr>
              <w:rPr>
                <w:rFonts w:ascii="Calibri" w:eastAsia="Times New Roman" w:hAnsi="Calibri" w:cs="Calibri"/>
                <w:sz w:val="18"/>
                <w:szCs w:val="18"/>
                <w:lang w:eastAsia="bg-BG"/>
              </w:rPr>
            </w:pPr>
          </w:p>
        </w:tc>
        <w:tc>
          <w:tcPr>
            <w:tcW w:w="1190" w:type="dxa"/>
            <w:vMerge/>
            <w:tcBorders>
              <w:top w:val="nil"/>
              <w:left w:val="single" w:sz="4" w:space="0" w:color="auto"/>
              <w:bottom w:val="single" w:sz="4" w:space="0" w:color="auto"/>
              <w:right w:val="single" w:sz="4" w:space="0" w:color="auto"/>
            </w:tcBorders>
            <w:vAlign w:val="center"/>
            <w:hideMark/>
          </w:tcPr>
          <w:p w:rsidR="00C75A88" w:rsidRPr="006A056C" w:rsidRDefault="00C75A88" w:rsidP="00C75A88">
            <w:pPr>
              <w:rPr>
                <w:rFonts w:ascii="Calibri" w:eastAsia="Times New Roman" w:hAnsi="Calibri" w:cs="Calibri"/>
                <w:b/>
                <w:bCs/>
                <w:sz w:val="18"/>
                <w:szCs w:val="18"/>
                <w:lang w:eastAsia="bg-BG"/>
              </w:rPr>
            </w:pPr>
          </w:p>
        </w:tc>
        <w:tc>
          <w:tcPr>
            <w:tcW w:w="1253" w:type="dxa"/>
            <w:vMerge/>
            <w:tcBorders>
              <w:top w:val="nil"/>
              <w:left w:val="single" w:sz="4" w:space="0" w:color="auto"/>
              <w:bottom w:val="single" w:sz="4" w:space="0" w:color="auto"/>
              <w:right w:val="single" w:sz="4" w:space="0" w:color="auto"/>
            </w:tcBorders>
            <w:vAlign w:val="center"/>
            <w:hideMark/>
          </w:tcPr>
          <w:p w:rsidR="00C75A88" w:rsidRPr="006A056C" w:rsidRDefault="00C75A88" w:rsidP="00C75A88">
            <w:pPr>
              <w:rPr>
                <w:rFonts w:ascii="Calibri" w:eastAsia="Times New Roman" w:hAnsi="Calibri" w:cs="Calibri"/>
                <w:b/>
                <w:bCs/>
                <w:sz w:val="18"/>
                <w:szCs w:val="18"/>
                <w:lang w:eastAsia="bg-BG"/>
              </w:rPr>
            </w:pPr>
          </w:p>
        </w:tc>
        <w:tc>
          <w:tcPr>
            <w:tcW w:w="1271" w:type="dxa"/>
            <w:tcBorders>
              <w:top w:val="nil"/>
              <w:left w:val="nil"/>
              <w:bottom w:val="nil"/>
              <w:right w:val="single" w:sz="4" w:space="0" w:color="auto"/>
            </w:tcBorders>
            <w:shd w:val="clear" w:color="auto" w:fill="auto"/>
            <w:vAlign w:val="bottom"/>
            <w:hideMark/>
          </w:tcPr>
          <w:p w:rsidR="00C75A88" w:rsidRPr="006A056C" w:rsidRDefault="00C75A88" w:rsidP="00C75A88">
            <w:pPr>
              <w:jc w:val="center"/>
              <w:rPr>
                <w:rFonts w:ascii="Calibri" w:eastAsia="Times New Roman" w:hAnsi="Calibri" w:cs="Calibri"/>
                <w:b/>
                <w:bCs/>
                <w:sz w:val="18"/>
                <w:szCs w:val="18"/>
                <w:lang w:eastAsia="bg-BG"/>
              </w:rPr>
            </w:pPr>
            <w:r w:rsidRPr="006A056C">
              <w:rPr>
                <w:rFonts w:ascii="Calibri" w:eastAsia="Times New Roman" w:hAnsi="Calibri" w:cs="Calibri"/>
                <w:b/>
                <w:bCs/>
                <w:sz w:val="18"/>
                <w:szCs w:val="18"/>
                <w:lang w:eastAsia="bg-BG"/>
              </w:rPr>
              <w:t>+/-</w:t>
            </w:r>
          </w:p>
        </w:tc>
        <w:tc>
          <w:tcPr>
            <w:tcW w:w="1271" w:type="dxa"/>
            <w:tcBorders>
              <w:top w:val="nil"/>
              <w:left w:val="nil"/>
              <w:bottom w:val="nil"/>
              <w:right w:val="single" w:sz="4" w:space="0" w:color="auto"/>
            </w:tcBorders>
            <w:shd w:val="clear" w:color="auto" w:fill="auto"/>
            <w:vAlign w:val="bottom"/>
            <w:hideMark/>
          </w:tcPr>
          <w:p w:rsidR="00C75A88" w:rsidRPr="006A056C" w:rsidRDefault="00C75A88" w:rsidP="00C75A88">
            <w:pPr>
              <w:jc w:val="center"/>
              <w:rPr>
                <w:rFonts w:ascii="Calibri" w:eastAsia="Times New Roman" w:hAnsi="Calibri" w:cs="Calibri"/>
                <w:b/>
                <w:bCs/>
                <w:sz w:val="18"/>
                <w:szCs w:val="18"/>
                <w:lang w:eastAsia="bg-BG"/>
              </w:rPr>
            </w:pPr>
            <w:r w:rsidRPr="006A056C">
              <w:rPr>
                <w:rFonts w:ascii="Calibri" w:eastAsia="Times New Roman" w:hAnsi="Calibri" w:cs="Calibri"/>
                <w:b/>
                <w:bCs/>
                <w:sz w:val="18"/>
                <w:szCs w:val="18"/>
                <w:lang w:eastAsia="bg-BG"/>
              </w:rPr>
              <w:t>%</w:t>
            </w:r>
          </w:p>
        </w:tc>
      </w:tr>
      <w:tr w:rsidR="00C75A88" w:rsidRPr="006A056C" w:rsidTr="00C75A88">
        <w:trPr>
          <w:trHeight w:val="280"/>
        </w:trPr>
        <w:tc>
          <w:tcPr>
            <w:tcW w:w="4889"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Дълготрайни активи</w:t>
            </w:r>
          </w:p>
        </w:tc>
        <w:tc>
          <w:tcPr>
            <w:tcW w:w="1190" w:type="dxa"/>
            <w:tcBorders>
              <w:top w:val="nil"/>
              <w:left w:val="nil"/>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163 554</w:t>
            </w:r>
          </w:p>
        </w:tc>
        <w:tc>
          <w:tcPr>
            <w:tcW w:w="1253" w:type="dxa"/>
            <w:tcBorders>
              <w:top w:val="nil"/>
              <w:left w:val="nil"/>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164 542</w:t>
            </w:r>
          </w:p>
        </w:tc>
        <w:tc>
          <w:tcPr>
            <w:tcW w:w="1271" w:type="dxa"/>
            <w:tcBorders>
              <w:top w:val="single" w:sz="4" w:space="0" w:color="auto"/>
              <w:left w:val="single" w:sz="4" w:space="0" w:color="auto"/>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-988</w:t>
            </w:r>
          </w:p>
        </w:tc>
        <w:tc>
          <w:tcPr>
            <w:tcW w:w="1271" w:type="dxa"/>
            <w:tcBorders>
              <w:top w:val="single" w:sz="4" w:space="0" w:color="auto"/>
              <w:left w:val="single" w:sz="4" w:space="0" w:color="auto"/>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-0,6%</w:t>
            </w:r>
          </w:p>
        </w:tc>
      </w:tr>
      <w:tr w:rsidR="00C75A88" w:rsidRPr="006A056C" w:rsidTr="00C75A88">
        <w:trPr>
          <w:trHeight w:val="280"/>
        </w:trPr>
        <w:tc>
          <w:tcPr>
            <w:tcW w:w="4889"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Краткотрайни активи, в т.ч.:</w:t>
            </w:r>
          </w:p>
        </w:tc>
        <w:tc>
          <w:tcPr>
            <w:tcW w:w="1190" w:type="dxa"/>
            <w:tcBorders>
              <w:top w:val="nil"/>
              <w:left w:val="nil"/>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34 581</w:t>
            </w:r>
          </w:p>
        </w:tc>
        <w:tc>
          <w:tcPr>
            <w:tcW w:w="1253" w:type="dxa"/>
            <w:tcBorders>
              <w:top w:val="nil"/>
              <w:left w:val="nil"/>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37 041</w:t>
            </w:r>
          </w:p>
        </w:tc>
        <w:tc>
          <w:tcPr>
            <w:tcW w:w="1271" w:type="dxa"/>
            <w:tcBorders>
              <w:top w:val="nil"/>
              <w:left w:val="single" w:sz="4" w:space="0" w:color="auto"/>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-2 460</w:t>
            </w:r>
          </w:p>
        </w:tc>
        <w:tc>
          <w:tcPr>
            <w:tcW w:w="1271"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-6,6%</w:t>
            </w:r>
          </w:p>
        </w:tc>
      </w:tr>
      <w:tr w:rsidR="00C75A88" w:rsidRPr="006A056C" w:rsidTr="00C75A88">
        <w:trPr>
          <w:trHeight w:val="280"/>
        </w:trPr>
        <w:tc>
          <w:tcPr>
            <w:tcW w:w="4889"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Материални запаси</w:t>
            </w:r>
          </w:p>
        </w:tc>
        <w:tc>
          <w:tcPr>
            <w:tcW w:w="1190" w:type="dxa"/>
            <w:tcBorders>
              <w:top w:val="nil"/>
              <w:left w:val="nil"/>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15 855</w:t>
            </w:r>
          </w:p>
        </w:tc>
        <w:tc>
          <w:tcPr>
            <w:tcW w:w="1253" w:type="dxa"/>
            <w:tcBorders>
              <w:top w:val="nil"/>
              <w:left w:val="nil"/>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16 317</w:t>
            </w:r>
          </w:p>
        </w:tc>
        <w:tc>
          <w:tcPr>
            <w:tcW w:w="1271" w:type="dxa"/>
            <w:tcBorders>
              <w:top w:val="nil"/>
              <w:left w:val="single" w:sz="4" w:space="0" w:color="auto"/>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-462</w:t>
            </w:r>
          </w:p>
        </w:tc>
        <w:tc>
          <w:tcPr>
            <w:tcW w:w="1271"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-2,8%</w:t>
            </w:r>
          </w:p>
        </w:tc>
      </w:tr>
      <w:tr w:rsidR="00C75A88" w:rsidRPr="006A056C" w:rsidTr="00C75A88">
        <w:trPr>
          <w:trHeight w:val="280"/>
        </w:trPr>
        <w:tc>
          <w:tcPr>
            <w:tcW w:w="4889"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Краткосрочни вземания</w:t>
            </w:r>
          </w:p>
        </w:tc>
        <w:tc>
          <w:tcPr>
            <w:tcW w:w="1190" w:type="dxa"/>
            <w:tcBorders>
              <w:top w:val="nil"/>
              <w:left w:val="nil"/>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17 354</w:t>
            </w:r>
          </w:p>
        </w:tc>
        <w:tc>
          <w:tcPr>
            <w:tcW w:w="1253" w:type="dxa"/>
            <w:tcBorders>
              <w:top w:val="nil"/>
              <w:left w:val="nil"/>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18 948</w:t>
            </w:r>
          </w:p>
        </w:tc>
        <w:tc>
          <w:tcPr>
            <w:tcW w:w="1271" w:type="dxa"/>
            <w:tcBorders>
              <w:top w:val="nil"/>
              <w:left w:val="single" w:sz="4" w:space="0" w:color="auto"/>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-1 594</w:t>
            </w:r>
          </w:p>
        </w:tc>
        <w:tc>
          <w:tcPr>
            <w:tcW w:w="1271"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-8,4%</w:t>
            </w:r>
          </w:p>
        </w:tc>
      </w:tr>
      <w:tr w:rsidR="00C75A88" w:rsidRPr="006A056C" w:rsidTr="00C75A88">
        <w:trPr>
          <w:trHeight w:val="280"/>
        </w:trPr>
        <w:tc>
          <w:tcPr>
            <w:tcW w:w="4889"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Парични средства</w:t>
            </w:r>
          </w:p>
        </w:tc>
        <w:tc>
          <w:tcPr>
            <w:tcW w:w="1190" w:type="dxa"/>
            <w:tcBorders>
              <w:top w:val="nil"/>
              <w:left w:val="nil"/>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1 372</w:t>
            </w:r>
          </w:p>
        </w:tc>
        <w:tc>
          <w:tcPr>
            <w:tcW w:w="1253" w:type="dxa"/>
            <w:tcBorders>
              <w:top w:val="nil"/>
              <w:left w:val="nil"/>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1 776</w:t>
            </w:r>
          </w:p>
        </w:tc>
        <w:tc>
          <w:tcPr>
            <w:tcW w:w="1271" w:type="dxa"/>
            <w:tcBorders>
              <w:top w:val="nil"/>
              <w:left w:val="single" w:sz="4" w:space="0" w:color="auto"/>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-404</w:t>
            </w:r>
          </w:p>
        </w:tc>
        <w:tc>
          <w:tcPr>
            <w:tcW w:w="1271"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-22,7%</w:t>
            </w:r>
          </w:p>
        </w:tc>
      </w:tr>
      <w:tr w:rsidR="00C75A88" w:rsidRPr="006A056C" w:rsidTr="00C75A88">
        <w:trPr>
          <w:trHeight w:val="280"/>
        </w:trPr>
        <w:tc>
          <w:tcPr>
            <w:tcW w:w="4889"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Краткосрочни пасиви, в т.ч.:</w:t>
            </w:r>
          </w:p>
        </w:tc>
        <w:tc>
          <w:tcPr>
            <w:tcW w:w="1190" w:type="dxa"/>
            <w:tcBorders>
              <w:top w:val="nil"/>
              <w:left w:val="nil"/>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80 138</w:t>
            </w:r>
          </w:p>
        </w:tc>
        <w:tc>
          <w:tcPr>
            <w:tcW w:w="1253" w:type="dxa"/>
            <w:tcBorders>
              <w:top w:val="nil"/>
              <w:left w:val="nil"/>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75 833</w:t>
            </w:r>
          </w:p>
        </w:tc>
        <w:tc>
          <w:tcPr>
            <w:tcW w:w="1271" w:type="dxa"/>
            <w:tcBorders>
              <w:top w:val="nil"/>
              <w:left w:val="single" w:sz="4" w:space="0" w:color="auto"/>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4 305</w:t>
            </w:r>
          </w:p>
        </w:tc>
        <w:tc>
          <w:tcPr>
            <w:tcW w:w="1271"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5,7%</w:t>
            </w:r>
          </w:p>
        </w:tc>
      </w:tr>
      <w:tr w:rsidR="00C75A88" w:rsidRPr="006A056C" w:rsidTr="00C75A88">
        <w:trPr>
          <w:trHeight w:val="280"/>
        </w:trPr>
        <w:tc>
          <w:tcPr>
            <w:tcW w:w="4889"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Краткосрочни задължения</w:t>
            </w:r>
          </w:p>
        </w:tc>
        <w:tc>
          <w:tcPr>
            <w:tcW w:w="1190" w:type="dxa"/>
            <w:tcBorders>
              <w:top w:val="nil"/>
              <w:left w:val="nil"/>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69 108</w:t>
            </w:r>
          </w:p>
        </w:tc>
        <w:tc>
          <w:tcPr>
            <w:tcW w:w="1253" w:type="dxa"/>
            <w:tcBorders>
              <w:top w:val="nil"/>
              <w:left w:val="nil"/>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66 792</w:t>
            </w:r>
          </w:p>
        </w:tc>
        <w:tc>
          <w:tcPr>
            <w:tcW w:w="1271" w:type="dxa"/>
            <w:tcBorders>
              <w:top w:val="nil"/>
              <w:left w:val="single" w:sz="4" w:space="0" w:color="auto"/>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2 316</w:t>
            </w:r>
          </w:p>
        </w:tc>
        <w:tc>
          <w:tcPr>
            <w:tcW w:w="1271"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3,5%</w:t>
            </w:r>
          </w:p>
        </w:tc>
      </w:tr>
      <w:tr w:rsidR="00C75A88" w:rsidRPr="006A056C" w:rsidTr="00C75A88">
        <w:trPr>
          <w:trHeight w:val="280"/>
        </w:trPr>
        <w:tc>
          <w:tcPr>
            <w:tcW w:w="4889"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Работен капитал</w:t>
            </w:r>
          </w:p>
        </w:tc>
        <w:tc>
          <w:tcPr>
            <w:tcW w:w="1190" w:type="dxa"/>
            <w:tcBorders>
              <w:top w:val="nil"/>
              <w:left w:val="nil"/>
              <w:bottom w:val="nil"/>
              <w:right w:val="single" w:sz="4" w:space="0" w:color="auto"/>
            </w:tcBorders>
            <w:shd w:val="clear" w:color="auto" w:fill="auto"/>
            <w:vAlign w:val="center"/>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-45 557</w:t>
            </w:r>
          </w:p>
        </w:tc>
        <w:tc>
          <w:tcPr>
            <w:tcW w:w="1253" w:type="dxa"/>
            <w:tcBorders>
              <w:top w:val="nil"/>
              <w:left w:val="nil"/>
              <w:bottom w:val="nil"/>
              <w:right w:val="nil"/>
            </w:tcBorders>
            <w:shd w:val="clear" w:color="auto" w:fill="auto"/>
            <w:vAlign w:val="center"/>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-38 792</w:t>
            </w:r>
          </w:p>
        </w:tc>
        <w:tc>
          <w:tcPr>
            <w:tcW w:w="1271" w:type="dxa"/>
            <w:tcBorders>
              <w:top w:val="nil"/>
              <w:left w:val="single" w:sz="4" w:space="0" w:color="auto"/>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-6 765</w:t>
            </w:r>
          </w:p>
        </w:tc>
        <w:tc>
          <w:tcPr>
            <w:tcW w:w="1271"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17,4%</w:t>
            </w:r>
          </w:p>
        </w:tc>
      </w:tr>
      <w:tr w:rsidR="00C75A88" w:rsidRPr="006A056C" w:rsidTr="00C75A88">
        <w:trPr>
          <w:trHeight w:val="280"/>
        </w:trPr>
        <w:tc>
          <w:tcPr>
            <w:tcW w:w="4889"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Зает капитал</w:t>
            </w:r>
          </w:p>
        </w:tc>
        <w:tc>
          <w:tcPr>
            <w:tcW w:w="1190" w:type="dxa"/>
            <w:tcBorders>
              <w:top w:val="nil"/>
              <w:left w:val="nil"/>
              <w:bottom w:val="nil"/>
              <w:right w:val="single" w:sz="4" w:space="0" w:color="auto"/>
            </w:tcBorders>
            <w:shd w:val="clear" w:color="auto" w:fill="auto"/>
            <w:vAlign w:val="center"/>
            <w:hideMark/>
          </w:tcPr>
          <w:p w:rsidR="00C75A88" w:rsidRPr="006A056C" w:rsidRDefault="00C75A88" w:rsidP="00C75A88">
            <w:pPr>
              <w:jc w:val="right"/>
              <w:rPr>
                <w:rFonts w:ascii="Calibri" w:eastAsia="Times New Roman" w:hAnsi="Calibri" w:cs="Calibri"/>
                <w:b/>
                <w:bCs/>
                <w:sz w:val="18"/>
                <w:szCs w:val="18"/>
                <w:lang w:eastAsia="bg-BG"/>
              </w:rPr>
            </w:pPr>
            <w:r w:rsidRPr="006A056C">
              <w:rPr>
                <w:rFonts w:ascii="Calibri" w:eastAsia="Times New Roman" w:hAnsi="Calibri" w:cs="Calibri"/>
                <w:b/>
                <w:bCs/>
                <w:sz w:val="18"/>
                <w:szCs w:val="18"/>
                <w:lang w:eastAsia="bg-BG"/>
              </w:rPr>
              <w:t>117 997</w:t>
            </w:r>
          </w:p>
        </w:tc>
        <w:tc>
          <w:tcPr>
            <w:tcW w:w="1253" w:type="dxa"/>
            <w:tcBorders>
              <w:top w:val="nil"/>
              <w:left w:val="nil"/>
              <w:bottom w:val="nil"/>
              <w:right w:val="nil"/>
            </w:tcBorders>
            <w:shd w:val="clear" w:color="auto" w:fill="auto"/>
            <w:vAlign w:val="center"/>
            <w:hideMark/>
          </w:tcPr>
          <w:p w:rsidR="00C75A88" w:rsidRPr="006A056C" w:rsidRDefault="00C75A88" w:rsidP="00C75A88">
            <w:pPr>
              <w:jc w:val="right"/>
              <w:rPr>
                <w:rFonts w:ascii="Calibri" w:eastAsia="Times New Roman" w:hAnsi="Calibri" w:cs="Calibri"/>
                <w:b/>
                <w:bCs/>
                <w:sz w:val="18"/>
                <w:szCs w:val="18"/>
                <w:lang w:eastAsia="bg-BG"/>
              </w:rPr>
            </w:pPr>
            <w:r w:rsidRPr="006A056C">
              <w:rPr>
                <w:rFonts w:ascii="Calibri" w:eastAsia="Times New Roman" w:hAnsi="Calibri" w:cs="Calibri"/>
                <w:b/>
                <w:bCs/>
                <w:sz w:val="18"/>
                <w:szCs w:val="18"/>
                <w:lang w:eastAsia="bg-BG"/>
              </w:rPr>
              <w:t>125 750</w:t>
            </w:r>
          </w:p>
        </w:tc>
        <w:tc>
          <w:tcPr>
            <w:tcW w:w="1271" w:type="dxa"/>
            <w:tcBorders>
              <w:top w:val="nil"/>
              <w:left w:val="single" w:sz="4" w:space="0" w:color="auto"/>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-7 753</w:t>
            </w:r>
          </w:p>
        </w:tc>
        <w:tc>
          <w:tcPr>
            <w:tcW w:w="1271"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-6,2%</w:t>
            </w:r>
          </w:p>
        </w:tc>
      </w:tr>
      <w:tr w:rsidR="00C75A88" w:rsidRPr="006A056C" w:rsidTr="00C75A88">
        <w:trPr>
          <w:trHeight w:val="280"/>
        </w:trPr>
        <w:tc>
          <w:tcPr>
            <w:tcW w:w="4889"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Дългосрочни пасиви, в т,ч:</w:t>
            </w:r>
          </w:p>
        </w:tc>
        <w:tc>
          <w:tcPr>
            <w:tcW w:w="1190" w:type="dxa"/>
            <w:tcBorders>
              <w:top w:val="nil"/>
              <w:left w:val="nil"/>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25 402</w:t>
            </w:r>
          </w:p>
        </w:tc>
        <w:tc>
          <w:tcPr>
            <w:tcW w:w="1253" w:type="dxa"/>
            <w:tcBorders>
              <w:top w:val="nil"/>
              <w:left w:val="nil"/>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24 277</w:t>
            </w:r>
          </w:p>
        </w:tc>
        <w:tc>
          <w:tcPr>
            <w:tcW w:w="1271" w:type="dxa"/>
            <w:tcBorders>
              <w:top w:val="nil"/>
              <w:left w:val="single" w:sz="4" w:space="0" w:color="auto"/>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1 125</w:t>
            </w:r>
          </w:p>
        </w:tc>
        <w:tc>
          <w:tcPr>
            <w:tcW w:w="1271"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4,6%</w:t>
            </w:r>
          </w:p>
        </w:tc>
      </w:tr>
      <w:tr w:rsidR="00C75A88" w:rsidRPr="006A056C" w:rsidTr="00C75A88">
        <w:trPr>
          <w:trHeight w:val="280"/>
        </w:trPr>
        <w:tc>
          <w:tcPr>
            <w:tcW w:w="4889"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 xml:space="preserve">Чиста стойност на активите </w:t>
            </w:r>
          </w:p>
        </w:tc>
        <w:tc>
          <w:tcPr>
            <w:tcW w:w="1190" w:type="dxa"/>
            <w:tcBorders>
              <w:top w:val="nil"/>
              <w:left w:val="nil"/>
              <w:bottom w:val="nil"/>
              <w:right w:val="single" w:sz="4" w:space="0" w:color="auto"/>
            </w:tcBorders>
            <w:shd w:val="clear" w:color="auto" w:fill="auto"/>
            <w:vAlign w:val="center"/>
            <w:hideMark/>
          </w:tcPr>
          <w:p w:rsidR="00C75A88" w:rsidRPr="006A056C" w:rsidRDefault="00C75A88" w:rsidP="00C75A88">
            <w:pPr>
              <w:jc w:val="right"/>
              <w:rPr>
                <w:rFonts w:ascii="Calibri" w:eastAsia="Times New Roman" w:hAnsi="Calibri" w:cs="Calibri"/>
                <w:b/>
                <w:bCs/>
                <w:sz w:val="18"/>
                <w:szCs w:val="18"/>
                <w:lang w:eastAsia="bg-BG"/>
              </w:rPr>
            </w:pPr>
            <w:r w:rsidRPr="006A056C">
              <w:rPr>
                <w:rFonts w:ascii="Calibri" w:eastAsia="Times New Roman" w:hAnsi="Calibri" w:cs="Calibri"/>
                <w:b/>
                <w:bCs/>
                <w:sz w:val="18"/>
                <w:szCs w:val="18"/>
                <w:lang w:eastAsia="bg-BG"/>
              </w:rPr>
              <w:t>92 595</w:t>
            </w:r>
          </w:p>
        </w:tc>
        <w:tc>
          <w:tcPr>
            <w:tcW w:w="1253" w:type="dxa"/>
            <w:tcBorders>
              <w:top w:val="nil"/>
              <w:left w:val="nil"/>
              <w:bottom w:val="nil"/>
              <w:right w:val="nil"/>
            </w:tcBorders>
            <w:shd w:val="clear" w:color="auto" w:fill="auto"/>
            <w:vAlign w:val="center"/>
            <w:hideMark/>
          </w:tcPr>
          <w:p w:rsidR="00C75A88" w:rsidRPr="006A056C" w:rsidRDefault="00C75A88" w:rsidP="00C75A88">
            <w:pPr>
              <w:jc w:val="right"/>
              <w:rPr>
                <w:rFonts w:ascii="Calibri" w:eastAsia="Times New Roman" w:hAnsi="Calibri" w:cs="Calibri"/>
                <w:b/>
                <w:bCs/>
                <w:sz w:val="18"/>
                <w:szCs w:val="18"/>
                <w:lang w:eastAsia="bg-BG"/>
              </w:rPr>
            </w:pPr>
            <w:r w:rsidRPr="006A056C">
              <w:rPr>
                <w:rFonts w:ascii="Calibri" w:eastAsia="Times New Roman" w:hAnsi="Calibri" w:cs="Calibri"/>
                <w:b/>
                <w:bCs/>
                <w:sz w:val="18"/>
                <w:szCs w:val="18"/>
                <w:lang w:eastAsia="bg-BG"/>
              </w:rPr>
              <w:t>101 473</w:t>
            </w:r>
          </w:p>
        </w:tc>
        <w:tc>
          <w:tcPr>
            <w:tcW w:w="1271" w:type="dxa"/>
            <w:tcBorders>
              <w:top w:val="nil"/>
              <w:left w:val="single" w:sz="4" w:space="0" w:color="auto"/>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-8 878</w:t>
            </w:r>
          </w:p>
        </w:tc>
        <w:tc>
          <w:tcPr>
            <w:tcW w:w="1271"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-8,7%</w:t>
            </w:r>
          </w:p>
        </w:tc>
      </w:tr>
      <w:tr w:rsidR="00C75A88" w:rsidRPr="006A056C" w:rsidTr="00C75A88">
        <w:trPr>
          <w:trHeight w:val="280"/>
        </w:trPr>
        <w:tc>
          <w:tcPr>
            <w:tcW w:w="4889"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Печалба (загуба)</w:t>
            </w:r>
          </w:p>
        </w:tc>
        <w:tc>
          <w:tcPr>
            <w:tcW w:w="1190" w:type="dxa"/>
            <w:tcBorders>
              <w:top w:val="nil"/>
              <w:left w:val="nil"/>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-6 203</w:t>
            </w:r>
          </w:p>
        </w:tc>
        <w:tc>
          <w:tcPr>
            <w:tcW w:w="1253" w:type="dxa"/>
            <w:tcBorders>
              <w:top w:val="nil"/>
              <w:left w:val="nil"/>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-447</w:t>
            </w:r>
          </w:p>
        </w:tc>
        <w:tc>
          <w:tcPr>
            <w:tcW w:w="1271" w:type="dxa"/>
            <w:tcBorders>
              <w:top w:val="nil"/>
              <w:left w:val="single" w:sz="4" w:space="0" w:color="auto"/>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-5 756</w:t>
            </w:r>
          </w:p>
        </w:tc>
        <w:tc>
          <w:tcPr>
            <w:tcW w:w="1271"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1287,7%</w:t>
            </w:r>
          </w:p>
        </w:tc>
      </w:tr>
      <w:tr w:rsidR="00C75A88" w:rsidRPr="006A056C" w:rsidTr="00C75A88">
        <w:trPr>
          <w:trHeight w:val="280"/>
        </w:trPr>
        <w:tc>
          <w:tcPr>
            <w:tcW w:w="4889"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Финансов резултат от минали години</w:t>
            </w:r>
          </w:p>
        </w:tc>
        <w:tc>
          <w:tcPr>
            <w:tcW w:w="1190" w:type="dxa"/>
            <w:tcBorders>
              <w:top w:val="nil"/>
              <w:left w:val="nil"/>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-114 722</w:t>
            </w:r>
          </w:p>
        </w:tc>
        <w:tc>
          <w:tcPr>
            <w:tcW w:w="1253" w:type="dxa"/>
            <w:tcBorders>
              <w:top w:val="nil"/>
              <w:left w:val="nil"/>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-111 962</w:t>
            </w:r>
          </w:p>
        </w:tc>
        <w:tc>
          <w:tcPr>
            <w:tcW w:w="1271" w:type="dxa"/>
            <w:tcBorders>
              <w:top w:val="nil"/>
              <w:left w:val="single" w:sz="4" w:space="0" w:color="auto"/>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-2 760</w:t>
            </w:r>
          </w:p>
        </w:tc>
        <w:tc>
          <w:tcPr>
            <w:tcW w:w="1271"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2,5%</w:t>
            </w:r>
          </w:p>
        </w:tc>
      </w:tr>
      <w:tr w:rsidR="00C75A88" w:rsidRPr="006A056C" w:rsidTr="00C75A88">
        <w:trPr>
          <w:trHeight w:val="280"/>
        </w:trPr>
        <w:tc>
          <w:tcPr>
            <w:tcW w:w="4889"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 xml:space="preserve">Резерви </w:t>
            </w:r>
          </w:p>
        </w:tc>
        <w:tc>
          <w:tcPr>
            <w:tcW w:w="1190" w:type="dxa"/>
            <w:tcBorders>
              <w:top w:val="nil"/>
              <w:left w:val="nil"/>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114 915</w:t>
            </w:r>
          </w:p>
        </w:tc>
        <w:tc>
          <w:tcPr>
            <w:tcW w:w="1253" w:type="dxa"/>
            <w:tcBorders>
              <w:top w:val="nil"/>
              <w:left w:val="nil"/>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115 279</w:t>
            </w:r>
          </w:p>
        </w:tc>
        <w:tc>
          <w:tcPr>
            <w:tcW w:w="1271" w:type="dxa"/>
            <w:tcBorders>
              <w:top w:val="nil"/>
              <w:left w:val="single" w:sz="4" w:space="0" w:color="auto"/>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-364</w:t>
            </w:r>
          </w:p>
        </w:tc>
        <w:tc>
          <w:tcPr>
            <w:tcW w:w="1271"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-0,3%</w:t>
            </w:r>
          </w:p>
        </w:tc>
      </w:tr>
      <w:tr w:rsidR="00C75A88" w:rsidRPr="006A056C" w:rsidTr="00C75A88">
        <w:trPr>
          <w:trHeight w:val="280"/>
        </w:trPr>
        <w:tc>
          <w:tcPr>
            <w:tcW w:w="4889"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Основен капитал</w:t>
            </w:r>
          </w:p>
        </w:tc>
        <w:tc>
          <w:tcPr>
            <w:tcW w:w="1190" w:type="dxa"/>
            <w:tcBorders>
              <w:top w:val="nil"/>
              <w:left w:val="nil"/>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23 251</w:t>
            </w:r>
          </w:p>
        </w:tc>
        <w:tc>
          <w:tcPr>
            <w:tcW w:w="1253" w:type="dxa"/>
            <w:tcBorders>
              <w:top w:val="nil"/>
              <w:left w:val="nil"/>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23 251</w:t>
            </w:r>
          </w:p>
        </w:tc>
        <w:tc>
          <w:tcPr>
            <w:tcW w:w="1271" w:type="dxa"/>
            <w:tcBorders>
              <w:top w:val="nil"/>
              <w:left w:val="single" w:sz="4" w:space="0" w:color="auto"/>
              <w:bottom w:val="nil"/>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0</w:t>
            </w:r>
          </w:p>
        </w:tc>
        <w:tc>
          <w:tcPr>
            <w:tcW w:w="1271" w:type="dxa"/>
            <w:tcBorders>
              <w:top w:val="nil"/>
              <w:left w:val="single" w:sz="4" w:space="0" w:color="auto"/>
              <w:bottom w:val="nil"/>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0,0%</w:t>
            </w:r>
          </w:p>
        </w:tc>
      </w:tr>
      <w:tr w:rsidR="00C75A88" w:rsidRPr="006A056C" w:rsidTr="00C75A88">
        <w:trPr>
          <w:trHeight w:val="280"/>
        </w:trPr>
        <w:tc>
          <w:tcPr>
            <w:tcW w:w="4889" w:type="dxa"/>
            <w:tcBorders>
              <w:top w:val="nil"/>
              <w:left w:val="single" w:sz="4" w:space="0" w:color="auto"/>
              <w:bottom w:val="single" w:sz="4" w:space="0" w:color="auto"/>
              <w:right w:val="single" w:sz="4" w:space="0" w:color="auto"/>
            </w:tcBorders>
            <w:shd w:val="clear" w:color="auto" w:fill="auto"/>
            <w:vAlign w:val="bottom"/>
            <w:hideMark/>
          </w:tcPr>
          <w:p w:rsidR="00C75A88" w:rsidRPr="006A056C" w:rsidRDefault="00C75A88" w:rsidP="00C75A88">
            <w:pPr>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Собствен капитал</w:t>
            </w:r>
          </w:p>
        </w:tc>
        <w:tc>
          <w:tcPr>
            <w:tcW w:w="1190" w:type="dxa"/>
            <w:tcBorders>
              <w:top w:val="nil"/>
              <w:left w:val="nil"/>
              <w:bottom w:val="single" w:sz="4" w:space="0" w:color="auto"/>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100 368</w:t>
            </w:r>
          </w:p>
        </w:tc>
        <w:tc>
          <w:tcPr>
            <w:tcW w:w="1253" w:type="dxa"/>
            <w:tcBorders>
              <w:top w:val="nil"/>
              <w:left w:val="nil"/>
              <w:bottom w:val="single" w:sz="4" w:space="0" w:color="auto"/>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109 357</w:t>
            </w:r>
          </w:p>
        </w:tc>
        <w:tc>
          <w:tcPr>
            <w:tcW w:w="1271" w:type="dxa"/>
            <w:tcBorders>
              <w:top w:val="nil"/>
              <w:left w:val="single" w:sz="4" w:space="0" w:color="auto"/>
              <w:bottom w:val="single" w:sz="4" w:space="0" w:color="auto"/>
              <w:right w:val="nil"/>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-8 989</w:t>
            </w:r>
          </w:p>
        </w:tc>
        <w:tc>
          <w:tcPr>
            <w:tcW w:w="1271" w:type="dxa"/>
            <w:tcBorders>
              <w:top w:val="nil"/>
              <w:left w:val="single" w:sz="4" w:space="0" w:color="auto"/>
              <w:bottom w:val="single" w:sz="4" w:space="0" w:color="auto"/>
              <w:right w:val="single" w:sz="4" w:space="0" w:color="auto"/>
            </w:tcBorders>
            <w:shd w:val="clear" w:color="auto" w:fill="auto"/>
            <w:vAlign w:val="bottom"/>
            <w:hideMark/>
          </w:tcPr>
          <w:p w:rsidR="00C75A88" w:rsidRPr="006A056C" w:rsidRDefault="00C75A88" w:rsidP="00C75A88">
            <w:pPr>
              <w:jc w:val="right"/>
              <w:rPr>
                <w:rFonts w:ascii="Calibri" w:eastAsia="Times New Roman" w:hAnsi="Calibri" w:cs="Calibri"/>
                <w:sz w:val="18"/>
                <w:szCs w:val="18"/>
                <w:lang w:eastAsia="bg-BG"/>
              </w:rPr>
            </w:pPr>
            <w:r w:rsidRPr="006A056C">
              <w:rPr>
                <w:rFonts w:ascii="Calibri" w:eastAsia="Times New Roman" w:hAnsi="Calibri" w:cs="Calibri"/>
                <w:sz w:val="18"/>
                <w:szCs w:val="18"/>
                <w:lang w:eastAsia="bg-BG"/>
              </w:rPr>
              <w:t>-8,2%</w:t>
            </w:r>
          </w:p>
        </w:tc>
      </w:tr>
    </w:tbl>
    <w:p w:rsidR="00C75A88" w:rsidRPr="00353032" w:rsidRDefault="00C75A88" w:rsidP="00C75A88">
      <w:pPr>
        <w:pStyle w:val="ListParagraph"/>
        <w:shd w:val="clear" w:color="auto" w:fill="FFFFFF"/>
        <w:spacing w:after="120" w:line="240" w:lineRule="auto"/>
        <w:ind w:left="0"/>
        <w:contextualSpacing w:val="0"/>
        <w:jc w:val="both"/>
        <w:rPr>
          <w:rFonts w:ascii="Times New Roman" w:eastAsia="SimSun" w:hAnsi="Times New Roman"/>
          <w:b/>
          <w:sz w:val="24"/>
          <w:szCs w:val="24"/>
          <w:highlight w:val="yellow"/>
          <w:lang w:eastAsia="zh-CN"/>
        </w:rPr>
      </w:pPr>
    </w:p>
    <w:p w:rsidR="00C75A88" w:rsidRPr="006A056C" w:rsidRDefault="00C75A88" w:rsidP="00C75A88">
      <w:pPr>
        <w:pStyle w:val="ListParagraph"/>
        <w:shd w:val="clear" w:color="auto" w:fill="FFFFFF"/>
        <w:spacing w:after="120" w:line="240" w:lineRule="auto"/>
        <w:ind w:left="0"/>
        <w:contextualSpacing w:val="0"/>
        <w:jc w:val="both"/>
        <w:rPr>
          <w:rFonts w:ascii="Times New Roman" w:eastAsia="SimSun" w:hAnsi="Times New Roman"/>
          <w:sz w:val="24"/>
          <w:szCs w:val="24"/>
          <w:lang w:eastAsia="zh-CN"/>
        </w:rPr>
      </w:pPr>
      <w:r w:rsidRPr="006A056C">
        <w:rPr>
          <w:rFonts w:ascii="Times New Roman" w:eastAsia="SimSun" w:hAnsi="Times New Roman"/>
          <w:b/>
          <w:sz w:val="24"/>
          <w:szCs w:val="24"/>
          <w:lang w:eastAsia="zh-CN"/>
        </w:rPr>
        <w:t>Дълготрайните активи</w:t>
      </w:r>
      <w:r w:rsidRPr="006A056C">
        <w:rPr>
          <w:rFonts w:ascii="Times New Roman" w:eastAsia="SimSun" w:hAnsi="Times New Roman"/>
          <w:sz w:val="24"/>
          <w:szCs w:val="24"/>
          <w:lang w:eastAsia="zh-CN"/>
        </w:rPr>
        <w:t xml:space="preserve"> на „БДЖ – Товарни превози” ЕООД възлизат на 163 554 хил. лева и са намалени с 988 хил. лева спрямо края на 2016 г., т.е. намалението е 0,6%.  </w:t>
      </w:r>
    </w:p>
    <w:p w:rsidR="00C75A88" w:rsidRPr="006A056C" w:rsidRDefault="00C75A88" w:rsidP="00C75A88">
      <w:pPr>
        <w:pStyle w:val="ListParagraph"/>
        <w:spacing w:after="120" w:line="240" w:lineRule="auto"/>
        <w:ind w:left="0"/>
        <w:contextualSpacing w:val="0"/>
        <w:jc w:val="both"/>
        <w:rPr>
          <w:rFonts w:ascii="Times New Roman" w:eastAsia="SimSun" w:hAnsi="Times New Roman"/>
          <w:sz w:val="24"/>
          <w:szCs w:val="24"/>
          <w:lang w:eastAsia="zh-CN"/>
        </w:rPr>
      </w:pPr>
      <w:r w:rsidRPr="006A056C">
        <w:rPr>
          <w:rFonts w:ascii="Times New Roman" w:eastAsia="SimSun" w:hAnsi="Times New Roman"/>
          <w:b/>
          <w:sz w:val="24"/>
          <w:szCs w:val="24"/>
          <w:lang w:eastAsia="zh-CN"/>
        </w:rPr>
        <w:t xml:space="preserve">Краткотрайните активи </w:t>
      </w:r>
      <w:r w:rsidRPr="006A056C">
        <w:rPr>
          <w:rFonts w:ascii="Times New Roman" w:eastAsia="SimSun" w:hAnsi="Times New Roman"/>
          <w:sz w:val="24"/>
          <w:szCs w:val="24"/>
          <w:lang w:eastAsia="zh-CN"/>
        </w:rPr>
        <w:t>се намаляват с 2 460 хил. лева, главно от намаление на краткосрочните вземания с 1 594 хил. лева.</w:t>
      </w:r>
    </w:p>
    <w:p w:rsidR="00C75A88" w:rsidRPr="000305CC" w:rsidRDefault="00C75A88" w:rsidP="00C75A88">
      <w:pPr>
        <w:shd w:val="clear" w:color="auto" w:fill="FFFFFF"/>
        <w:spacing w:after="120"/>
        <w:jc w:val="both"/>
      </w:pPr>
      <w:r w:rsidRPr="000305CC">
        <w:rPr>
          <w:b/>
        </w:rPr>
        <w:t>Краткосрочните пасиви</w:t>
      </w:r>
      <w:r w:rsidRPr="000305CC">
        <w:t xml:space="preserve"> – се увеличават с 4 305 хил. лева, предимно от увеличение на краткосрочните задължения с 2 316 хил. лева.</w:t>
      </w:r>
    </w:p>
    <w:p w:rsidR="00C75A88" w:rsidRPr="000305CC" w:rsidRDefault="00C75A88" w:rsidP="00C75A88">
      <w:pPr>
        <w:shd w:val="clear" w:color="auto" w:fill="FFFFFF"/>
        <w:spacing w:after="120"/>
        <w:jc w:val="both"/>
      </w:pPr>
      <w:r w:rsidRPr="000305CC">
        <w:rPr>
          <w:b/>
        </w:rPr>
        <w:t xml:space="preserve">Собственият капитал </w:t>
      </w:r>
      <w:r w:rsidRPr="000305CC">
        <w:t>намалява с 8 989 хил. лева, от 109 357 хил. лева на 100 368 хил. лева, вследствие от отчетената загуба за отчетния период.</w:t>
      </w:r>
    </w:p>
    <w:p w:rsidR="00C75A88" w:rsidRPr="00C75A88" w:rsidRDefault="00C75A88" w:rsidP="00C75A88">
      <w:pPr>
        <w:jc w:val="both"/>
        <w:rPr>
          <w:b/>
          <w:color w:val="0070C0"/>
        </w:rPr>
      </w:pPr>
      <w:r w:rsidRPr="00C75A88">
        <w:rPr>
          <w:b/>
          <w:color w:val="0070C0"/>
        </w:rPr>
        <w:t xml:space="preserve">Вземания на „БДЖ – Товарни превози” ЕООД </w:t>
      </w:r>
    </w:p>
    <w:p w:rsidR="00C75A88" w:rsidRPr="000B5E50" w:rsidRDefault="00C75A88" w:rsidP="00C75A88">
      <w:pPr>
        <w:jc w:val="both"/>
        <w:rPr>
          <w:b/>
        </w:rPr>
      </w:pPr>
    </w:p>
    <w:p w:rsidR="00C75A88" w:rsidRPr="000B5E50" w:rsidRDefault="00C75A88" w:rsidP="00C75A88">
      <w:pPr>
        <w:shd w:val="clear" w:color="auto" w:fill="FFFFFF"/>
        <w:jc w:val="both"/>
      </w:pPr>
      <w:r w:rsidRPr="000B5E50">
        <w:t>Към 3</w:t>
      </w:r>
      <w:r w:rsidRPr="000B5E50">
        <w:rPr>
          <w:lang w:val="en-US"/>
        </w:rPr>
        <w:t>1</w:t>
      </w:r>
      <w:r w:rsidRPr="000B5E50">
        <w:t>.1</w:t>
      </w:r>
      <w:r w:rsidRPr="000B5E50">
        <w:rPr>
          <w:lang w:val="en-US"/>
        </w:rPr>
        <w:t>2</w:t>
      </w:r>
      <w:r w:rsidRPr="000B5E50">
        <w:t xml:space="preserve">.2017 г. общата сума на вземанията по продажби е 14 </w:t>
      </w:r>
      <w:r w:rsidRPr="000B5E50">
        <w:rPr>
          <w:lang w:val="en-US"/>
        </w:rPr>
        <w:t>946</w:t>
      </w:r>
      <w:r w:rsidRPr="000B5E50">
        <w:t xml:space="preserve"> хил. лева, от които до 3 месеца са с най-голям относителен дял спрямо общия размер на вземанията 7</w:t>
      </w:r>
      <w:r w:rsidRPr="000B5E50">
        <w:rPr>
          <w:lang w:val="en-US"/>
        </w:rPr>
        <w:t>7</w:t>
      </w:r>
      <w:r w:rsidRPr="000B5E50">
        <w:t xml:space="preserve">%; до една година са с относителен дял </w:t>
      </w:r>
      <w:r w:rsidRPr="000B5E50">
        <w:rPr>
          <w:lang w:val="en-US"/>
        </w:rPr>
        <w:t>2</w:t>
      </w:r>
      <w:r w:rsidRPr="000B5E50">
        <w:t xml:space="preserve">%; </w:t>
      </w:r>
    </w:p>
    <w:p w:rsidR="00C75A88" w:rsidRDefault="00C75A88" w:rsidP="00C75A88">
      <w:pPr>
        <w:shd w:val="clear" w:color="auto" w:fill="FFFFFF"/>
        <w:jc w:val="both"/>
      </w:pPr>
      <w:r w:rsidRPr="000B5E50">
        <w:t xml:space="preserve">В следващата таблица са показани по-големите вземания по контрагенти на „БДЖ – Товарни превози” ЕООД. </w:t>
      </w:r>
    </w:p>
    <w:p w:rsidR="00C75A88" w:rsidRPr="000B5E50" w:rsidRDefault="00C75A88" w:rsidP="00C75A88">
      <w:pPr>
        <w:shd w:val="clear" w:color="auto" w:fill="FFFFFF"/>
        <w:jc w:val="both"/>
      </w:pPr>
    </w:p>
    <w:tbl>
      <w:tblPr>
        <w:tblW w:w="9809" w:type="dxa"/>
        <w:tblInd w:w="58" w:type="dxa"/>
        <w:tblCellMar>
          <w:left w:w="70" w:type="dxa"/>
          <w:right w:w="70" w:type="dxa"/>
        </w:tblCellMar>
        <w:tblLook w:val="04A0" w:firstRow="1" w:lastRow="0" w:firstColumn="1" w:lastColumn="0" w:noHBand="0" w:noVBand="1"/>
      </w:tblPr>
      <w:tblGrid>
        <w:gridCol w:w="3534"/>
        <w:gridCol w:w="1779"/>
        <w:gridCol w:w="1112"/>
        <w:gridCol w:w="1112"/>
        <w:gridCol w:w="1068"/>
        <w:gridCol w:w="1204"/>
      </w:tblGrid>
      <w:tr w:rsidR="00C75A88" w:rsidRPr="000305CC" w:rsidTr="00C75A88">
        <w:trPr>
          <w:trHeight w:val="208"/>
        </w:trPr>
        <w:tc>
          <w:tcPr>
            <w:tcW w:w="3534" w:type="dxa"/>
            <w:vMerge w:val="restart"/>
            <w:tcBorders>
              <w:top w:val="single" w:sz="4" w:space="0" w:color="auto"/>
              <w:left w:val="single" w:sz="4" w:space="0" w:color="auto"/>
              <w:bottom w:val="double" w:sz="6" w:space="0" w:color="000000"/>
              <w:right w:val="nil"/>
            </w:tcBorders>
            <w:shd w:val="clear" w:color="auto" w:fill="auto"/>
            <w:noWrap/>
            <w:vAlign w:val="center"/>
            <w:hideMark/>
          </w:tcPr>
          <w:p w:rsidR="00C75A88" w:rsidRPr="000305CC" w:rsidRDefault="00C75A88" w:rsidP="00C75A88">
            <w:pPr>
              <w:rPr>
                <w:rFonts w:ascii="Calibri" w:eastAsia="Times New Roman" w:hAnsi="Calibri" w:cs="Calibri"/>
                <w:b/>
                <w:bCs/>
                <w:sz w:val="18"/>
                <w:szCs w:val="18"/>
                <w:lang w:eastAsia="bg-BG"/>
              </w:rPr>
            </w:pPr>
            <w:r w:rsidRPr="000305CC">
              <w:rPr>
                <w:rFonts w:ascii="Calibri" w:eastAsia="Times New Roman" w:hAnsi="Calibri" w:cs="Calibri"/>
                <w:b/>
                <w:bCs/>
                <w:sz w:val="18"/>
                <w:szCs w:val="18"/>
                <w:lang w:eastAsia="bg-BG"/>
              </w:rPr>
              <w:t>Вземания по контрагенти</w:t>
            </w:r>
          </w:p>
        </w:tc>
        <w:tc>
          <w:tcPr>
            <w:tcW w:w="1779" w:type="dxa"/>
            <w:tcBorders>
              <w:top w:val="single" w:sz="4" w:space="0" w:color="auto"/>
              <w:left w:val="nil"/>
              <w:bottom w:val="nil"/>
              <w:right w:val="nil"/>
            </w:tcBorders>
            <w:shd w:val="clear" w:color="auto" w:fill="auto"/>
            <w:noWrap/>
            <w:vAlign w:val="bottom"/>
            <w:hideMark/>
          </w:tcPr>
          <w:p w:rsidR="00C75A88" w:rsidRPr="000305CC" w:rsidRDefault="00C75A88" w:rsidP="00C75A88">
            <w:pPr>
              <w:jc w:val="center"/>
              <w:rPr>
                <w:rFonts w:ascii="Calibri" w:eastAsia="Times New Roman" w:hAnsi="Calibri" w:cs="Calibri"/>
                <w:b/>
                <w:bCs/>
                <w:sz w:val="18"/>
                <w:szCs w:val="18"/>
                <w:lang w:eastAsia="bg-BG"/>
              </w:rPr>
            </w:pPr>
            <w:r w:rsidRPr="000305CC">
              <w:rPr>
                <w:rFonts w:ascii="Calibri" w:eastAsia="Times New Roman" w:hAnsi="Calibri" w:cs="Calibri"/>
                <w:b/>
                <w:bCs/>
                <w:sz w:val="18"/>
                <w:szCs w:val="18"/>
                <w:lang w:eastAsia="bg-BG"/>
              </w:rPr>
              <w:t>Общ размер</w:t>
            </w:r>
          </w:p>
        </w:tc>
        <w:tc>
          <w:tcPr>
            <w:tcW w:w="4496" w:type="dxa"/>
            <w:gridSpan w:val="4"/>
            <w:tcBorders>
              <w:top w:val="single" w:sz="4" w:space="0" w:color="auto"/>
              <w:left w:val="nil"/>
              <w:bottom w:val="nil"/>
              <w:right w:val="single" w:sz="4" w:space="0" w:color="000000"/>
            </w:tcBorders>
            <w:shd w:val="clear" w:color="auto" w:fill="auto"/>
            <w:noWrap/>
            <w:vAlign w:val="bottom"/>
            <w:hideMark/>
          </w:tcPr>
          <w:p w:rsidR="00C75A88" w:rsidRPr="000305CC" w:rsidRDefault="00C75A88" w:rsidP="00C75A88">
            <w:pPr>
              <w:jc w:val="center"/>
              <w:rPr>
                <w:rFonts w:ascii="Calibri" w:eastAsia="Times New Roman" w:hAnsi="Calibri" w:cs="Calibri"/>
                <w:b/>
                <w:bCs/>
                <w:sz w:val="18"/>
                <w:szCs w:val="18"/>
                <w:lang w:eastAsia="bg-BG"/>
              </w:rPr>
            </w:pPr>
            <w:r w:rsidRPr="000305CC">
              <w:rPr>
                <w:rFonts w:ascii="Calibri" w:eastAsia="Times New Roman" w:hAnsi="Calibri" w:cs="Calibri"/>
                <w:b/>
                <w:bCs/>
                <w:sz w:val="18"/>
                <w:szCs w:val="18"/>
                <w:lang w:eastAsia="bg-BG"/>
              </w:rPr>
              <w:t>Възраст на вземанията</w:t>
            </w:r>
          </w:p>
        </w:tc>
      </w:tr>
      <w:tr w:rsidR="00C75A88" w:rsidRPr="000305CC" w:rsidTr="00C75A88">
        <w:trPr>
          <w:trHeight w:val="217"/>
        </w:trPr>
        <w:tc>
          <w:tcPr>
            <w:tcW w:w="3534" w:type="dxa"/>
            <w:vMerge/>
            <w:tcBorders>
              <w:top w:val="single" w:sz="4" w:space="0" w:color="auto"/>
              <w:left w:val="single" w:sz="4" w:space="0" w:color="auto"/>
              <w:bottom w:val="double" w:sz="6" w:space="0" w:color="000000"/>
              <w:right w:val="nil"/>
            </w:tcBorders>
            <w:vAlign w:val="center"/>
            <w:hideMark/>
          </w:tcPr>
          <w:p w:rsidR="00C75A88" w:rsidRPr="000305CC" w:rsidRDefault="00C75A88" w:rsidP="00C75A88">
            <w:pPr>
              <w:rPr>
                <w:rFonts w:ascii="Calibri" w:eastAsia="Times New Roman" w:hAnsi="Calibri" w:cs="Calibri"/>
                <w:b/>
                <w:bCs/>
                <w:sz w:val="18"/>
                <w:szCs w:val="18"/>
                <w:lang w:eastAsia="bg-BG"/>
              </w:rPr>
            </w:pPr>
          </w:p>
        </w:tc>
        <w:tc>
          <w:tcPr>
            <w:tcW w:w="1779" w:type="dxa"/>
            <w:tcBorders>
              <w:top w:val="nil"/>
              <w:left w:val="nil"/>
              <w:bottom w:val="double" w:sz="6" w:space="0" w:color="auto"/>
              <w:right w:val="nil"/>
            </w:tcBorders>
            <w:shd w:val="clear" w:color="auto" w:fill="auto"/>
            <w:noWrap/>
            <w:vAlign w:val="bottom"/>
            <w:hideMark/>
          </w:tcPr>
          <w:p w:rsidR="00C75A88" w:rsidRPr="000305CC" w:rsidRDefault="00C75A88" w:rsidP="00C75A88">
            <w:pPr>
              <w:jc w:val="center"/>
              <w:rPr>
                <w:rFonts w:ascii="Calibri" w:eastAsia="Times New Roman" w:hAnsi="Calibri" w:cs="Calibri"/>
                <w:b/>
                <w:bCs/>
                <w:sz w:val="18"/>
                <w:szCs w:val="18"/>
                <w:lang w:eastAsia="bg-BG"/>
              </w:rPr>
            </w:pPr>
            <w:r w:rsidRPr="000305CC">
              <w:rPr>
                <w:rFonts w:ascii="Calibri" w:eastAsia="Times New Roman" w:hAnsi="Calibri" w:cs="Calibri"/>
                <w:b/>
                <w:bCs/>
                <w:sz w:val="18"/>
                <w:szCs w:val="18"/>
                <w:lang w:eastAsia="bg-BG"/>
              </w:rPr>
              <w:t>31.12.2017 г.</w:t>
            </w:r>
          </w:p>
        </w:tc>
        <w:tc>
          <w:tcPr>
            <w:tcW w:w="1112" w:type="dxa"/>
            <w:tcBorders>
              <w:top w:val="nil"/>
              <w:left w:val="nil"/>
              <w:bottom w:val="double" w:sz="6" w:space="0" w:color="auto"/>
              <w:right w:val="nil"/>
            </w:tcBorders>
            <w:shd w:val="clear" w:color="auto" w:fill="auto"/>
            <w:noWrap/>
            <w:vAlign w:val="bottom"/>
            <w:hideMark/>
          </w:tcPr>
          <w:p w:rsidR="00C75A88" w:rsidRPr="000305CC" w:rsidRDefault="00C75A88" w:rsidP="00C75A88">
            <w:pPr>
              <w:jc w:val="center"/>
              <w:rPr>
                <w:rFonts w:ascii="Calibri" w:eastAsia="Times New Roman" w:hAnsi="Calibri" w:cs="Calibri"/>
                <w:b/>
                <w:bCs/>
                <w:sz w:val="18"/>
                <w:szCs w:val="18"/>
                <w:lang w:eastAsia="bg-BG"/>
              </w:rPr>
            </w:pPr>
            <w:r w:rsidRPr="000305CC">
              <w:rPr>
                <w:rFonts w:ascii="Calibri" w:eastAsia="Times New Roman" w:hAnsi="Calibri" w:cs="Calibri"/>
                <w:b/>
                <w:bCs/>
                <w:sz w:val="18"/>
                <w:szCs w:val="18"/>
                <w:lang w:eastAsia="bg-BG"/>
              </w:rPr>
              <w:t>до 3 мес.</w:t>
            </w:r>
          </w:p>
        </w:tc>
        <w:tc>
          <w:tcPr>
            <w:tcW w:w="1112" w:type="dxa"/>
            <w:tcBorders>
              <w:top w:val="nil"/>
              <w:left w:val="nil"/>
              <w:bottom w:val="double" w:sz="6" w:space="0" w:color="auto"/>
              <w:right w:val="nil"/>
            </w:tcBorders>
            <w:shd w:val="clear" w:color="auto" w:fill="auto"/>
            <w:noWrap/>
            <w:vAlign w:val="bottom"/>
            <w:hideMark/>
          </w:tcPr>
          <w:p w:rsidR="00C75A88" w:rsidRPr="000305CC" w:rsidRDefault="00C75A88" w:rsidP="00C75A88">
            <w:pPr>
              <w:jc w:val="center"/>
              <w:rPr>
                <w:rFonts w:ascii="Calibri" w:eastAsia="Times New Roman" w:hAnsi="Calibri" w:cs="Calibri"/>
                <w:b/>
                <w:bCs/>
                <w:sz w:val="18"/>
                <w:szCs w:val="18"/>
                <w:lang w:eastAsia="bg-BG"/>
              </w:rPr>
            </w:pPr>
            <w:r w:rsidRPr="000305CC">
              <w:rPr>
                <w:rFonts w:ascii="Calibri" w:eastAsia="Times New Roman" w:hAnsi="Calibri" w:cs="Calibri"/>
                <w:b/>
                <w:bCs/>
                <w:sz w:val="18"/>
                <w:szCs w:val="18"/>
                <w:lang w:eastAsia="bg-BG"/>
              </w:rPr>
              <w:t>до 6 мес.</w:t>
            </w:r>
          </w:p>
        </w:tc>
        <w:tc>
          <w:tcPr>
            <w:tcW w:w="1068" w:type="dxa"/>
            <w:tcBorders>
              <w:top w:val="nil"/>
              <w:left w:val="nil"/>
              <w:bottom w:val="double" w:sz="6" w:space="0" w:color="auto"/>
              <w:right w:val="nil"/>
            </w:tcBorders>
            <w:shd w:val="clear" w:color="auto" w:fill="auto"/>
            <w:noWrap/>
            <w:vAlign w:val="bottom"/>
            <w:hideMark/>
          </w:tcPr>
          <w:p w:rsidR="00C75A88" w:rsidRPr="000305CC" w:rsidRDefault="00C75A88" w:rsidP="00C75A88">
            <w:pPr>
              <w:jc w:val="center"/>
              <w:rPr>
                <w:rFonts w:ascii="Calibri" w:eastAsia="Times New Roman" w:hAnsi="Calibri" w:cs="Calibri"/>
                <w:b/>
                <w:bCs/>
                <w:sz w:val="18"/>
                <w:szCs w:val="18"/>
                <w:lang w:eastAsia="bg-BG"/>
              </w:rPr>
            </w:pPr>
            <w:r w:rsidRPr="000305CC">
              <w:rPr>
                <w:rFonts w:ascii="Calibri" w:eastAsia="Times New Roman" w:hAnsi="Calibri" w:cs="Calibri"/>
                <w:b/>
                <w:bCs/>
                <w:sz w:val="18"/>
                <w:szCs w:val="18"/>
                <w:lang w:eastAsia="bg-BG"/>
              </w:rPr>
              <w:t>до 1 год.</w:t>
            </w:r>
          </w:p>
        </w:tc>
        <w:tc>
          <w:tcPr>
            <w:tcW w:w="1204" w:type="dxa"/>
            <w:tcBorders>
              <w:top w:val="nil"/>
              <w:left w:val="nil"/>
              <w:bottom w:val="double" w:sz="6" w:space="0" w:color="auto"/>
              <w:right w:val="single" w:sz="4" w:space="0" w:color="auto"/>
            </w:tcBorders>
            <w:shd w:val="clear" w:color="auto" w:fill="auto"/>
            <w:noWrap/>
            <w:vAlign w:val="bottom"/>
            <w:hideMark/>
          </w:tcPr>
          <w:p w:rsidR="00C75A88" w:rsidRPr="000305CC" w:rsidRDefault="00C75A88" w:rsidP="00C75A88">
            <w:pPr>
              <w:jc w:val="center"/>
              <w:rPr>
                <w:rFonts w:ascii="Calibri" w:eastAsia="Times New Roman" w:hAnsi="Calibri" w:cs="Calibri"/>
                <w:b/>
                <w:bCs/>
                <w:sz w:val="18"/>
                <w:szCs w:val="18"/>
                <w:lang w:eastAsia="bg-BG"/>
              </w:rPr>
            </w:pPr>
            <w:r w:rsidRPr="000305CC">
              <w:rPr>
                <w:rFonts w:ascii="Calibri" w:eastAsia="Times New Roman" w:hAnsi="Calibri" w:cs="Calibri"/>
                <w:b/>
                <w:bCs/>
                <w:sz w:val="18"/>
                <w:szCs w:val="18"/>
                <w:lang w:eastAsia="bg-BG"/>
              </w:rPr>
              <w:t>над 1 год.</w:t>
            </w:r>
          </w:p>
        </w:tc>
      </w:tr>
      <w:tr w:rsidR="00C75A88" w:rsidRPr="000305CC" w:rsidTr="00C75A88">
        <w:trPr>
          <w:trHeight w:val="217"/>
        </w:trPr>
        <w:tc>
          <w:tcPr>
            <w:tcW w:w="3534" w:type="dxa"/>
            <w:tcBorders>
              <w:top w:val="nil"/>
              <w:left w:val="single" w:sz="4" w:space="0" w:color="auto"/>
              <w:bottom w:val="nil"/>
              <w:right w:val="nil"/>
            </w:tcBorders>
            <w:shd w:val="clear" w:color="auto" w:fill="auto"/>
            <w:noWrap/>
            <w:vAlign w:val="bottom"/>
            <w:hideMark/>
          </w:tcPr>
          <w:p w:rsidR="00C75A88" w:rsidRPr="000305CC" w:rsidRDefault="00C75A88" w:rsidP="00C75A88">
            <w:pPr>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ТИ</w:t>
            </w:r>
            <w:r>
              <w:rPr>
                <w:rFonts w:ascii="Calibri" w:eastAsia="Times New Roman" w:hAnsi="Calibri" w:cs="Calibri"/>
                <w:sz w:val="18"/>
                <w:szCs w:val="18"/>
                <w:lang w:val="en-US" w:eastAsia="bg-BG"/>
              </w:rPr>
              <w:t xml:space="preserve"> </w:t>
            </w:r>
            <w:r w:rsidRPr="000305CC">
              <w:rPr>
                <w:rFonts w:ascii="Calibri" w:eastAsia="Times New Roman" w:hAnsi="Calibri" w:cs="Calibri"/>
                <w:sz w:val="18"/>
                <w:szCs w:val="18"/>
                <w:lang w:eastAsia="bg-BG"/>
              </w:rPr>
              <w:t>БИ</w:t>
            </w:r>
            <w:r>
              <w:rPr>
                <w:rFonts w:ascii="Calibri" w:eastAsia="Times New Roman" w:hAnsi="Calibri" w:cs="Calibri"/>
                <w:sz w:val="18"/>
                <w:szCs w:val="18"/>
                <w:lang w:val="en-US" w:eastAsia="bg-BG"/>
              </w:rPr>
              <w:t xml:space="preserve"> </w:t>
            </w:r>
            <w:r w:rsidRPr="000305CC">
              <w:rPr>
                <w:rFonts w:ascii="Calibri" w:eastAsia="Times New Roman" w:hAnsi="Calibri" w:cs="Calibri"/>
                <w:sz w:val="18"/>
                <w:szCs w:val="18"/>
                <w:lang w:eastAsia="bg-BG"/>
              </w:rPr>
              <w:t>ЕЛ ЕООД ПЕРНИК</w:t>
            </w:r>
          </w:p>
        </w:tc>
        <w:tc>
          <w:tcPr>
            <w:tcW w:w="1779"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538</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447</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p>
        </w:tc>
        <w:tc>
          <w:tcPr>
            <w:tcW w:w="1068"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p>
        </w:tc>
        <w:tc>
          <w:tcPr>
            <w:tcW w:w="1204" w:type="dxa"/>
            <w:tcBorders>
              <w:top w:val="nil"/>
              <w:left w:val="nil"/>
              <w:bottom w:val="nil"/>
              <w:right w:val="single" w:sz="4" w:space="0" w:color="auto"/>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91</w:t>
            </w:r>
          </w:p>
        </w:tc>
      </w:tr>
      <w:tr w:rsidR="00C75A88" w:rsidRPr="000305CC" w:rsidTr="00C75A88">
        <w:trPr>
          <w:trHeight w:val="208"/>
        </w:trPr>
        <w:tc>
          <w:tcPr>
            <w:tcW w:w="3534" w:type="dxa"/>
            <w:tcBorders>
              <w:top w:val="nil"/>
              <w:left w:val="single" w:sz="4" w:space="0" w:color="auto"/>
              <w:bottom w:val="nil"/>
              <w:right w:val="nil"/>
            </w:tcBorders>
            <w:shd w:val="clear" w:color="auto" w:fill="auto"/>
            <w:noWrap/>
            <w:vAlign w:val="bottom"/>
            <w:hideMark/>
          </w:tcPr>
          <w:p w:rsidR="00C75A88" w:rsidRPr="000305CC" w:rsidRDefault="00C75A88" w:rsidP="00C75A88">
            <w:pPr>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ТТЛ ЕООД</w:t>
            </w:r>
          </w:p>
        </w:tc>
        <w:tc>
          <w:tcPr>
            <w:tcW w:w="1779"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546</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529</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p>
        </w:tc>
        <w:tc>
          <w:tcPr>
            <w:tcW w:w="1068"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17</w:t>
            </w:r>
          </w:p>
        </w:tc>
        <w:tc>
          <w:tcPr>
            <w:tcW w:w="1204" w:type="dxa"/>
            <w:tcBorders>
              <w:top w:val="nil"/>
              <w:left w:val="nil"/>
              <w:bottom w:val="nil"/>
              <w:right w:val="single" w:sz="4" w:space="0" w:color="auto"/>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0</w:t>
            </w:r>
          </w:p>
        </w:tc>
      </w:tr>
      <w:tr w:rsidR="00C75A88" w:rsidRPr="000305CC" w:rsidTr="00C75A88">
        <w:trPr>
          <w:trHeight w:val="208"/>
        </w:trPr>
        <w:tc>
          <w:tcPr>
            <w:tcW w:w="3534" w:type="dxa"/>
            <w:tcBorders>
              <w:top w:val="nil"/>
              <w:left w:val="single" w:sz="4" w:space="0" w:color="auto"/>
              <w:bottom w:val="nil"/>
              <w:right w:val="nil"/>
            </w:tcBorders>
            <w:shd w:val="clear" w:color="auto" w:fill="auto"/>
            <w:noWrap/>
            <w:vAlign w:val="bottom"/>
            <w:hideMark/>
          </w:tcPr>
          <w:p w:rsidR="00C75A88" w:rsidRPr="000305CC" w:rsidRDefault="00C75A88" w:rsidP="00C75A88">
            <w:pPr>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Лукойл Нефтохим Бургас АД</w:t>
            </w:r>
          </w:p>
        </w:tc>
        <w:tc>
          <w:tcPr>
            <w:tcW w:w="1779"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961</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961</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p>
        </w:tc>
        <w:tc>
          <w:tcPr>
            <w:tcW w:w="1068"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p>
        </w:tc>
        <w:tc>
          <w:tcPr>
            <w:tcW w:w="1204" w:type="dxa"/>
            <w:tcBorders>
              <w:top w:val="nil"/>
              <w:left w:val="nil"/>
              <w:bottom w:val="nil"/>
              <w:right w:val="single" w:sz="4" w:space="0" w:color="auto"/>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0</w:t>
            </w:r>
          </w:p>
        </w:tc>
      </w:tr>
      <w:tr w:rsidR="00C75A88" w:rsidRPr="000305CC" w:rsidTr="00C75A88">
        <w:trPr>
          <w:trHeight w:val="208"/>
        </w:trPr>
        <w:tc>
          <w:tcPr>
            <w:tcW w:w="3534" w:type="dxa"/>
            <w:tcBorders>
              <w:top w:val="nil"/>
              <w:left w:val="single" w:sz="4" w:space="0" w:color="auto"/>
              <w:bottom w:val="nil"/>
              <w:right w:val="nil"/>
            </w:tcBorders>
            <w:shd w:val="clear" w:color="auto" w:fill="auto"/>
            <w:noWrap/>
            <w:vAlign w:val="bottom"/>
            <w:hideMark/>
          </w:tcPr>
          <w:p w:rsidR="00C75A88" w:rsidRPr="000305CC" w:rsidRDefault="00C75A88" w:rsidP="00C75A88">
            <w:pPr>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Стомана индъстри АД</w:t>
            </w:r>
          </w:p>
        </w:tc>
        <w:tc>
          <w:tcPr>
            <w:tcW w:w="1779"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457</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457</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p>
        </w:tc>
        <w:tc>
          <w:tcPr>
            <w:tcW w:w="1068"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p>
        </w:tc>
        <w:tc>
          <w:tcPr>
            <w:tcW w:w="1204" w:type="dxa"/>
            <w:tcBorders>
              <w:top w:val="nil"/>
              <w:left w:val="nil"/>
              <w:bottom w:val="nil"/>
              <w:right w:val="single" w:sz="4" w:space="0" w:color="auto"/>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0</w:t>
            </w:r>
          </w:p>
        </w:tc>
      </w:tr>
      <w:tr w:rsidR="00C75A88" w:rsidRPr="000305CC" w:rsidTr="00C75A88">
        <w:trPr>
          <w:trHeight w:val="208"/>
        </w:trPr>
        <w:tc>
          <w:tcPr>
            <w:tcW w:w="3534" w:type="dxa"/>
            <w:tcBorders>
              <w:top w:val="nil"/>
              <w:left w:val="single" w:sz="4" w:space="0" w:color="auto"/>
              <w:bottom w:val="nil"/>
              <w:right w:val="nil"/>
            </w:tcBorders>
            <w:shd w:val="clear" w:color="auto" w:fill="auto"/>
            <w:noWrap/>
            <w:vAlign w:val="bottom"/>
            <w:hideMark/>
          </w:tcPr>
          <w:p w:rsidR="00C75A88" w:rsidRPr="000305CC" w:rsidRDefault="00C75A88" w:rsidP="00C75A88">
            <w:pPr>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Каолин АД</w:t>
            </w:r>
          </w:p>
        </w:tc>
        <w:tc>
          <w:tcPr>
            <w:tcW w:w="1779"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1 206</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1 206</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p>
        </w:tc>
        <w:tc>
          <w:tcPr>
            <w:tcW w:w="1068"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p>
        </w:tc>
        <w:tc>
          <w:tcPr>
            <w:tcW w:w="1204" w:type="dxa"/>
            <w:tcBorders>
              <w:top w:val="nil"/>
              <w:left w:val="nil"/>
              <w:bottom w:val="nil"/>
              <w:right w:val="single" w:sz="4" w:space="0" w:color="auto"/>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0</w:t>
            </w:r>
          </w:p>
        </w:tc>
      </w:tr>
      <w:tr w:rsidR="00C75A88" w:rsidRPr="000305CC" w:rsidTr="00C75A88">
        <w:trPr>
          <w:trHeight w:val="208"/>
        </w:trPr>
        <w:tc>
          <w:tcPr>
            <w:tcW w:w="3534" w:type="dxa"/>
            <w:tcBorders>
              <w:top w:val="nil"/>
              <w:left w:val="single" w:sz="4" w:space="0" w:color="auto"/>
              <w:bottom w:val="nil"/>
              <w:right w:val="nil"/>
            </w:tcBorders>
            <w:shd w:val="clear" w:color="auto" w:fill="auto"/>
            <w:noWrap/>
            <w:vAlign w:val="bottom"/>
            <w:hideMark/>
          </w:tcPr>
          <w:p w:rsidR="00C75A88" w:rsidRPr="000305CC" w:rsidRDefault="00C75A88" w:rsidP="00C75A88">
            <w:pPr>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НК ЖИ ЦУ</w:t>
            </w:r>
          </w:p>
        </w:tc>
        <w:tc>
          <w:tcPr>
            <w:tcW w:w="1779"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393</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390</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1</w:t>
            </w:r>
          </w:p>
        </w:tc>
        <w:tc>
          <w:tcPr>
            <w:tcW w:w="1068"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2</w:t>
            </w:r>
          </w:p>
        </w:tc>
        <w:tc>
          <w:tcPr>
            <w:tcW w:w="1204" w:type="dxa"/>
            <w:tcBorders>
              <w:top w:val="nil"/>
              <w:left w:val="nil"/>
              <w:bottom w:val="nil"/>
              <w:right w:val="single" w:sz="4" w:space="0" w:color="auto"/>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0</w:t>
            </w:r>
          </w:p>
        </w:tc>
      </w:tr>
      <w:tr w:rsidR="00C75A88" w:rsidRPr="000305CC" w:rsidTr="00C75A88">
        <w:trPr>
          <w:trHeight w:val="208"/>
        </w:trPr>
        <w:tc>
          <w:tcPr>
            <w:tcW w:w="3534" w:type="dxa"/>
            <w:tcBorders>
              <w:top w:val="nil"/>
              <w:left w:val="single" w:sz="4" w:space="0" w:color="auto"/>
              <w:bottom w:val="nil"/>
              <w:right w:val="nil"/>
            </w:tcBorders>
            <w:shd w:val="clear" w:color="auto" w:fill="auto"/>
            <w:noWrap/>
            <w:vAlign w:val="bottom"/>
            <w:hideMark/>
          </w:tcPr>
          <w:p w:rsidR="00C75A88" w:rsidRPr="000305CC" w:rsidRDefault="00C75A88" w:rsidP="00C75A88">
            <w:pPr>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Чужди ж.п. администрации</w:t>
            </w:r>
          </w:p>
        </w:tc>
        <w:tc>
          <w:tcPr>
            <w:tcW w:w="1779"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4 044</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1 289</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62</w:t>
            </w:r>
          </w:p>
        </w:tc>
        <w:tc>
          <w:tcPr>
            <w:tcW w:w="1068"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144</w:t>
            </w:r>
          </w:p>
        </w:tc>
        <w:tc>
          <w:tcPr>
            <w:tcW w:w="1204" w:type="dxa"/>
            <w:tcBorders>
              <w:top w:val="nil"/>
              <w:left w:val="nil"/>
              <w:bottom w:val="nil"/>
              <w:right w:val="single" w:sz="4" w:space="0" w:color="auto"/>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2 549</w:t>
            </w:r>
          </w:p>
        </w:tc>
      </w:tr>
      <w:tr w:rsidR="00C75A88" w:rsidRPr="000305CC" w:rsidTr="00C75A88">
        <w:trPr>
          <w:trHeight w:val="208"/>
        </w:trPr>
        <w:tc>
          <w:tcPr>
            <w:tcW w:w="3534" w:type="dxa"/>
            <w:tcBorders>
              <w:top w:val="nil"/>
              <w:left w:val="single" w:sz="4" w:space="0" w:color="auto"/>
              <w:bottom w:val="nil"/>
              <w:right w:val="nil"/>
            </w:tcBorders>
            <w:shd w:val="clear" w:color="auto" w:fill="auto"/>
            <w:noWrap/>
            <w:vAlign w:val="bottom"/>
            <w:hideMark/>
          </w:tcPr>
          <w:p w:rsidR="00C75A88" w:rsidRPr="000305CC" w:rsidRDefault="00C75A88" w:rsidP="00C75A88">
            <w:pPr>
              <w:rPr>
                <w:rFonts w:ascii="Calibri" w:eastAsia="Times New Roman" w:hAnsi="Calibri" w:cs="Calibri"/>
                <w:i/>
                <w:iCs/>
                <w:color w:val="000000"/>
                <w:sz w:val="18"/>
                <w:szCs w:val="18"/>
                <w:lang w:eastAsia="bg-BG"/>
              </w:rPr>
            </w:pPr>
            <w:r w:rsidRPr="000305CC">
              <w:rPr>
                <w:rFonts w:ascii="Calibri" w:eastAsia="Times New Roman" w:hAnsi="Calibri" w:cs="Calibri"/>
                <w:i/>
                <w:iCs/>
                <w:color w:val="000000"/>
                <w:sz w:val="18"/>
                <w:szCs w:val="18"/>
                <w:lang w:eastAsia="bg-BG"/>
              </w:rPr>
              <w:t>в т.ч. Югославия</w:t>
            </w:r>
          </w:p>
        </w:tc>
        <w:tc>
          <w:tcPr>
            <w:tcW w:w="1779"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i/>
                <w:iCs/>
                <w:sz w:val="18"/>
                <w:szCs w:val="18"/>
                <w:lang w:eastAsia="bg-BG"/>
              </w:rPr>
            </w:pPr>
            <w:r w:rsidRPr="000305CC">
              <w:rPr>
                <w:rFonts w:ascii="Calibri" w:eastAsia="Times New Roman" w:hAnsi="Calibri" w:cs="Calibri"/>
                <w:i/>
                <w:iCs/>
                <w:sz w:val="18"/>
                <w:szCs w:val="18"/>
                <w:lang w:eastAsia="bg-BG"/>
              </w:rPr>
              <w:t>1 482</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i/>
                <w:iCs/>
                <w:sz w:val="18"/>
                <w:szCs w:val="18"/>
                <w:lang w:eastAsia="bg-BG"/>
              </w:rPr>
            </w:pP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i/>
                <w:iCs/>
                <w:sz w:val="18"/>
                <w:szCs w:val="18"/>
                <w:lang w:eastAsia="bg-BG"/>
              </w:rPr>
            </w:pPr>
          </w:p>
        </w:tc>
        <w:tc>
          <w:tcPr>
            <w:tcW w:w="1068"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i/>
                <w:iCs/>
                <w:sz w:val="18"/>
                <w:szCs w:val="18"/>
                <w:lang w:eastAsia="bg-BG"/>
              </w:rPr>
            </w:pPr>
          </w:p>
        </w:tc>
        <w:tc>
          <w:tcPr>
            <w:tcW w:w="1204" w:type="dxa"/>
            <w:tcBorders>
              <w:top w:val="nil"/>
              <w:left w:val="nil"/>
              <w:bottom w:val="nil"/>
              <w:right w:val="single" w:sz="4" w:space="0" w:color="auto"/>
            </w:tcBorders>
            <w:shd w:val="clear" w:color="auto" w:fill="auto"/>
            <w:noWrap/>
            <w:vAlign w:val="bottom"/>
            <w:hideMark/>
          </w:tcPr>
          <w:p w:rsidR="00C75A88" w:rsidRPr="000305CC" w:rsidRDefault="00C75A88" w:rsidP="00C75A88">
            <w:pPr>
              <w:jc w:val="right"/>
              <w:rPr>
                <w:rFonts w:ascii="Calibri" w:eastAsia="Times New Roman" w:hAnsi="Calibri" w:cs="Calibri"/>
                <w:i/>
                <w:iCs/>
                <w:sz w:val="18"/>
                <w:szCs w:val="18"/>
                <w:lang w:eastAsia="bg-BG"/>
              </w:rPr>
            </w:pPr>
            <w:r w:rsidRPr="000305CC">
              <w:rPr>
                <w:rFonts w:ascii="Calibri" w:eastAsia="Times New Roman" w:hAnsi="Calibri" w:cs="Calibri"/>
                <w:i/>
                <w:iCs/>
                <w:sz w:val="18"/>
                <w:szCs w:val="18"/>
                <w:lang w:eastAsia="bg-BG"/>
              </w:rPr>
              <w:t>1 482</w:t>
            </w:r>
          </w:p>
        </w:tc>
      </w:tr>
      <w:tr w:rsidR="00C75A88" w:rsidRPr="000305CC" w:rsidTr="00C75A88">
        <w:trPr>
          <w:trHeight w:val="208"/>
        </w:trPr>
        <w:tc>
          <w:tcPr>
            <w:tcW w:w="3534" w:type="dxa"/>
            <w:tcBorders>
              <w:top w:val="nil"/>
              <w:left w:val="single" w:sz="4" w:space="0" w:color="auto"/>
              <w:bottom w:val="nil"/>
              <w:right w:val="nil"/>
            </w:tcBorders>
            <w:shd w:val="clear" w:color="auto" w:fill="auto"/>
            <w:noWrap/>
            <w:vAlign w:val="bottom"/>
            <w:hideMark/>
          </w:tcPr>
          <w:p w:rsidR="00C75A88" w:rsidRPr="000305CC" w:rsidRDefault="00C75A88" w:rsidP="00C75A88">
            <w:pPr>
              <w:rPr>
                <w:rFonts w:ascii="Calibri" w:eastAsia="Times New Roman" w:hAnsi="Calibri" w:cs="Calibri"/>
                <w:i/>
                <w:iCs/>
                <w:color w:val="000000"/>
                <w:sz w:val="18"/>
                <w:szCs w:val="18"/>
                <w:lang w:eastAsia="bg-BG"/>
              </w:rPr>
            </w:pPr>
            <w:r w:rsidRPr="000305CC">
              <w:rPr>
                <w:rFonts w:ascii="Calibri" w:eastAsia="Times New Roman" w:hAnsi="Calibri" w:cs="Calibri"/>
                <w:i/>
                <w:iCs/>
                <w:color w:val="000000"/>
                <w:sz w:val="18"/>
                <w:szCs w:val="18"/>
                <w:lang w:eastAsia="bg-BG"/>
              </w:rPr>
              <w:t xml:space="preserve">          Македония</w:t>
            </w:r>
          </w:p>
        </w:tc>
        <w:tc>
          <w:tcPr>
            <w:tcW w:w="1779"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i/>
                <w:iCs/>
                <w:sz w:val="18"/>
                <w:szCs w:val="18"/>
                <w:lang w:eastAsia="bg-BG"/>
              </w:rPr>
            </w:pPr>
            <w:r w:rsidRPr="000305CC">
              <w:rPr>
                <w:rFonts w:ascii="Calibri" w:eastAsia="Times New Roman" w:hAnsi="Calibri" w:cs="Calibri"/>
                <w:i/>
                <w:iCs/>
                <w:sz w:val="18"/>
                <w:szCs w:val="18"/>
                <w:lang w:eastAsia="bg-BG"/>
              </w:rPr>
              <w:t>415</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i/>
                <w:iCs/>
                <w:sz w:val="18"/>
                <w:szCs w:val="18"/>
                <w:lang w:eastAsia="bg-BG"/>
              </w:rPr>
            </w:pPr>
            <w:r w:rsidRPr="000305CC">
              <w:rPr>
                <w:rFonts w:ascii="Calibri" w:eastAsia="Times New Roman" w:hAnsi="Calibri" w:cs="Calibri"/>
                <w:i/>
                <w:iCs/>
                <w:sz w:val="18"/>
                <w:szCs w:val="18"/>
                <w:lang w:eastAsia="bg-BG"/>
              </w:rPr>
              <w:t>23</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i/>
                <w:iCs/>
                <w:sz w:val="18"/>
                <w:szCs w:val="18"/>
                <w:lang w:eastAsia="bg-BG"/>
              </w:rPr>
            </w:pPr>
          </w:p>
        </w:tc>
        <w:tc>
          <w:tcPr>
            <w:tcW w:w="1068"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i/>
                <w:iCs/>
                <w:sz w:val="18"/>
                <w:szCs w:val="18"/>
                <w:lang w:eastAsia="bg-BG"/>
              </w:rPr>
            </w:pPr>
            <w:r w:rsidRPr="000305CC">
              <w:rPr>
                <w:rFonts w:ascii="Calibri" w:eastAsia="Times New Roman" w:hAnsi="Calibri" w:cs="Calibri"/>
                <w:i/>
                <w:iCs/>
                <w:sz w:val="18"/>
                <w:szCs w:val="18"/>
                <w:lang w:eastAsia="bg-BG"/>
              </w:rPr>
              <w:t>45</w:t>
            </w:r>
          </w:p>
        </w:tc>
        <w:tc>
          <w:tcPr>
            <w:tcW w:w="1204" w:type="dxa"/>
            <w:tcBorders>
              <w:top w:val="nil"/>
              <w:left w:val="nil"/>
              <w:bottom w:val="nil"/>
              <w:right w:val="single" w:sz="4" w:space="0" w:color="auto"/>
            </w:tcBorders>
            <w:shd w:val="clear" w:color="auto" w:fill="auto"/>
            <w:noWrap/>
            <w:vAlign w:val="bottom"/>
            <w:hideMark/>
          </w:tcPr>
          <w:p w:rsidR="00C75A88" w:rsidRPr="000305CC" w:rsidRDefault="00C75A88" w:rsidP="00C75A88">
            <w:pPr>
              <w:jc w:val="right"/>
              <w:rPr>
                <w:rFonts w:ascii="Calibri" w:eastAsia="Times New Roman" w:hAnsi="Calibri" w:cs="Calibri"/>
                <w:i/>
                <w:iCs/>
                <w:sz w:val="18"/>
                <w:szCs w:val="18"/>
                <w:lang w:eastAsia="bg-BG"/>
              </w:rPr>
            </w:pPr>
            <w:r w:rsidRPr="000305CC">
              <w:rPr>
                <w:rFonts w:ascii="Calibri" w:eastAsia="Times New Roman" w:hAnsi="Calibri" w:cs="Calibri"/>
                <w:i/>
                <w:iCs/>
                <w:sz w:val="18"/>
                <w:szCs w:val="18"/>
                <w:lang w:eastAsia="bg-BG"/>
              </w:rPr>
              <w:t>347</w:t>
            </w:r>
          </w:p>
        </w:tc>
      </w:tr>
      <w:tr w:rsidR="00C75A88" w:rsidRPr="000305CC" w:rsidTr="00C75A88">
        <w:trPr>
          <w:trHeight w:val="208"/>
        </w:trPr>
        <w:tc>
          <w:tcPr>
            <w:tcW w:w="3534" w:type="dxa"/>
            <w:tcBorders>
              <w:top w:val="nil"/>
              <w:left w:val="single" w:sz="4" w:space="0" w:color="auto"/>
              <w:bottom w:val="nil"/>
              <w:right w:val="nil"/>
            </w:tcBorders>
            <w:shd w:val="clear" w:color="auto" w:fill="auto"/>
            <w:noWrap/>
            <w:vAlign w:val="bottom"/>
            <w:hideMark/>
          </w:tcPr>
          <w:p w:rsidR="00C75A88" w:rsidRPr="000305CC" w:rsidRDefault="00C75A88" w:rsidP="00C75A88">
            <w:pPr>
              <w:rPr>
                <w:rFonts w:ascii="Calibri" w:eastAsia="Times New Roman" w:hAnsi="Calibri" w:cs="Calibri"/>
                <w:color w:val="000000"/>
                <w:sz w:val="18"/>
                <w:szCs w:val="18"/>
                <w:lang w:eastAsia="bg-BG"/>
              </w:rPr>
            </w:pPr>
            <w:r w:rsidRPr="000305CC">
              <w:rPr>
                <w:rFonts w:ascii="Calibri" w:eastAsia="Times New Roman" w:hAnsi="Calibri" w:cs="Calibri"/>
                <w:color w:val="000000"/>
                <w:sz w:val="18"/>
                <w:szCs w:val="18"/>
                <w:lang w:eastAsia="bg-BG"/>
              </w:rPr>
              <w:t>Вземания от свързани лица</w:t>
            </w:r>
          </w:p>
        </w:tc>
        <w:tc>
          <w:tcPr>
            <w:tcW w:w="1779"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405</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393</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8</w:t>
            </w:r>
          </w:p>
        </w:tc>
        <w:tc>
          <w:tcPr>
            <w:tcW w:w="1068"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p>
        </w:tc>
        <w:tc>
          <w:tcPr>
            <w:tcW w:w="1204" w:type="dxa"/>
            <w:tcBorders>
              <w:top w:val="nil"/>
              <w:left w:val="nil"/>
              <w:bottom w:val="nil"/>
              <w:right w:val="single" w:sz="4" w:space="0" w:color="auto"/>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4</w:t>
            </w:r>
          </w:p>
        </w:tc>
      </w:tr>
      <w:tr w:rsidR="00C75A88" w:rsidRPr="000305CC" w:rsidTr="00C75A88">
        <w:trPr>
          <w:trHeight w:val="208"/>
        </w:trPr>
        <w:tc>
          <w:tcPr>
            <w:tcW w:w="3534" w:type="dxa"/>
            <w:tcBorders>
              <w:top w:val="nil"/>
              <w:left w:val="single" w:sz="4" w:space="0" w:color="auto"/>
              <w:bottom w:val="nil"/>
              <w:right w:val="nil"/>
            </w:tcBorders>
            <w:shd w:val="clear" w:color="auto" w:fill="auto"/>
            <w:noWrap/>
            <w:vAlign w:val="bottom"/>
            <w:hideMark/>
          </w:tcPr>
          <w:p w:rsidR="00C75A88" w:rsidRPr="000305CC" w:rsidRDefault="00C75A88" w:rsidP="00C75A88">
            <w:pPr>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Други</w:t>
            </w:r>
          </w:p>
        </w:tc>
        <w:tc>
          <w:tcPr>
            <w:tcW w:w="1779"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6 396</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5 794</w:t>
            </w:r>
          </w:p>
        </w:tc>
        <w:tc>
          <w:tcPr>
            <w:tcW w:w="1112"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222</w:t>
            </w:r>
          </w:p>
        </w:tc>
        <w:tc>
          <w:tcPr>
            <w:tcW w:w="1068" w:type="dxa"/>
            <w:tcBorders>
              <w:top w:val="nil"/>
              <w:left w:val="nil"/>
              <w:bottom w:val="nil"/>
              <w:right w:val="nil"/>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65</w:t>
            </w:r>
          </w:p>
        </w:tc>
        <w:tc>
          <w:tcPr>
            <w:tcW w:w="1204" w:type="dxa"/>
            <w:tcBorders>
              <w:top w:val="nil"/>
              <w:left w:val="nil"/>
              <w:bottom w:val="single" w:sz="4" w:space="0" w:color="auto"/>
              <w:right w:val="single" w:sz="4" w:space="0" w:color="auto"/>
            </w:tcBorders>
            <w:shd w:val="clear" w:color="auto" w:fill="auto"/>
            <w:noWrap/>
            <w:vAlign w:val="bottom"/>
            <w:hideMark/>
          </w:tcPr>
          <w:p w:rsidR="00C75A88" w:rsidRPr="000305CC" w:rsidRDefault="00C75A88" w:rsidP="00C75A88">
            <w:pPr>
              <w:jc w:val="right"/>
              <w:rPr>
                <w:rFonts w:ascii="Calibri" w:eastAsia="Times New Roman" w:hAnsi="Calibri" w:cs="Calibri"/>
                <w:sz w:val="18"/>
                <w:szCs w:val="18"/>
                <w:lang w:eastAsia="bg-BG"/>
              </w:rPr>
            </w:pPr>
            <w:r w:rsidRPr="000305CC">
              <w:rPr>
                <w:rFonts w:ascii="Calibri" w:eastAsia="Times New Roman" w:hAnsi="Calibri" w:cs="Calibri"/>
                <w:sz w:val="18"/>
                <w:szCs w:val="18"/>
                <w:lang w:eastAsia="bg-BG"/>
              </w:rPr>
              <w:t>315</w:t>
            </w:r>
          </w:p>
        </w:tc>
      </w:tr>
      <w:tr w:rsidR="00C75A88" w:rsidRPr="000305CC" w:rsidTr="00C75A88">
        <w:trPr>
          <w:trHeight w:val="208"/>
        </w:trPr>
        <w:tc>
          <w:tcPr>
            <w:tcW w:w="3534" w:type="dxa"/>
            <w:tcBorders>
              <w:top w:val="single" w:sz="4" w:space="0" w:color="auto"/>
              <w:left w:val="single" w:sz="4" w:space="0" w:color="auto"/>
              <w:bottom w:val="single" w:sz="4" w:space="0" w:color="auto"/>
              <w:right w:val="nil"/>
            </w:tcBorders>
            <w:shd w:val="clear" w:color="auto" w:fill="auto"/>
            <w:noWrap/>
            <w:vAlign w:val="bottom"/>
            <w:hideMark/>
          </w:tcPr>
          <w:p w:rsidR="00C75A88" w:rsidRPr="000305CC" w:rsidRDefault="00C75A88" w:rsidP="00C75A88">
            <w:pPr>
              <w:rPr>
                <w:rFonts w:ascii="Calibri" w:eastAsia="Times New Roman" w:hAnsi="Calibri" w:cs="Calibri"/>
                <w:b/>
                <w:bCs/>
                <w:sz w:val="18"/>
                <w:szCs w:val="18"/>
                <w:lang w:eastAsia="bg-BG"/>
              </w:rPr>
            </w:pPr>
            <w:r w:rsidRPr="000305CC">
              <w:rPr>
                <w:rFonts w:ascii="Calibri" w:eastAsia="Times New Roman" w:hAnsi="Calibri" w:cs="Calibri"/>
                <w:b/>
                <w:bCs/>
                <w:sz w:val="18"/>
                <w:szCs w:val="18"/>
                <w:lang w:eastAsia="bg-BG"/>
              </w:rPr>
              <w:t>Обща сума - в хил. лева</w:t>
            </w:r>
          </w:p>
        </w:tc>
        <w:tc>
          <w:tcPr>
            <w:tcW w:w="1779" w:type="dxa"/>
            <w:tcBorders>
              <w:top w:val="single" w:sz="4" w:space="0" w:color="auto"/>
              <w:left w:val="nil"/>
              <w:bottom w:val="single" w:sz="4" w:space="0" w:color="auto"/>
              <w:right w:val="nil"/>
            </w:tcBorders>
            <w:shd w:val="clear" w:color="auto" w:fill="auto"/>
            <w:noWrap/>
            <w:vAlign w:val="bottom"/>
            <w:hideMark/>
          </w:tcPr>
          <w:p w:rsidR="00C75A88" w:rsidRPr="000305CC" w:rsidRDefault="00C75A88" w:rsidP="00C75A88">
            <w:pPr>
              <w:jc w:val="right"/>
              <w:rPr>
                <w:rFonts w:ascii="Calibri" w:eastAsia="Times New Roman" w:hAnsi="Calibri" w:cs="Calibri"/>
                <w:b/>
                <w:bCs/>
                <w:sz w:val="18"/>
                <w:szCs w:val="18"/>
                <w:lang w:eastAsia="bg-BG"/>
              </w:rPr>
            </w:pPr>
            <w:r w:rsidRPr="000305CC">
              <w:rPr>
                <w:rFonts w:ascii="Calibri" w:eastAsia="Times New Roman" w:hAnsi="Calibri" w:cs="Calibri"/>
                <w:b/>
                <w:bCs/>
                <w:sz w:val="18"/>
                <w:szCs w:val="18"/>
                <w:lang w:eastAsia="bg-BG"/>
              </w:rPr>
              <w:t>14 946</w:t>
            </w:r>
          </w:p>
        </w:tc>
        <w:tc>
          <w:tcPr>
            <w:tcW w:w="1112" w:type="dxa"/>
            <w:tcBorders>
              <w:top w:val="single" w:sz="4" w:space="0" w:color="auto"/>
              <w:left w:val="nil"/>
              <w:bottom w:val="single" w:sz="4" w:space="0" w:color="auto"/>
              <w:right w:val="nil"/>
            </w:tcBorders>
            <w:shd w:val="clear" w:color="auto" w:fill="auto"/>
            <w:noWrap/>
            <w:vAlign w:val="bottom"/>
            <w:hideMark/>
          </w:tcPr>
          <w:p w:rsidR="00C75A88" w:rsidRPr="000305CC" w:rsidRDefault="00C75A88" w:rsidP="00C75A88">
            <w:pPr>
              <w:jc w:val="right"/>
              <w:rPr>
                <w:rFonts w:ascii="Calibri" w:eastAsia="Times New Roman" w:hAnsi="Calibri" w:cs="Calibri"/>
                <w:b/>
                <w:bCs/>
                <w:sz w:val="18"/>
                <w:szCs w:val="18"/>
                <w:lang w:eastAsia="bg-BG"/>
              </w:rPr>
            </w:pPr>
            <w:r w:rsidRPr="000305CC">
              <w:rPr>
                <w:rFonts w:ascii="Calibri" w:eastAsia="Times New Roman" w:hAnsi="Calibri" w:cs="Calibri"/>
                <w:b/>
                <w:bCs/>
                <w:sz w:val="18"/>
                <w:szCs w:val="18"/>
                <w:lang w:eastAsia="bg-BG"/>
              </w:rPr>
              <w:t>11 466</w:t>
            </w:r>
          </w:p>
        </w:tc>
        <w:tc>
          <w:tcPr>
            <w:tcW w:w="1112" w:type="dxa"/>
            <w:tcBorders>
              <w:top w:val="single" w:sz="4" w:space="0" w:color="auto"/>
              <w:left w:val="nil"/>
              <w:bottom w:val="single" w:sz="4" w:space="0" w:color="auto"/>
              <w:right w:val="nil"/>
            </w:tcBorders>
            <w:shd w:val="clear" w:color="auto" w:fill="auto"/>
            <w:noWrap/>
            <w:vAlign w:val="bottom"/>
            <w:hideMark/>
          </w:tcPr>
          <w:p w:rsidR="00C75A88" w:rsidRPr="000305CC" w:rsidRDefault="00C75A88" w:rsidP="00C75A88">
            <w:pPr>
              <w:jc w:val="right"/>
              <w:rPr>
                <w:rFonts w:ascii="Calibri" w:eastAsia="Times New Roman" w:hAnsi="Calibri" w:cs="Calibri"/>
                <w:b/>
                <w:bCs/>
                <w:sz w:val="18"/>
                <w:szCs w:val="18"/>
                <w:lang w:eastAsia="bg-BG"/>
              </w:rPr>
            </w:pPr>
            <w:r w:rsidRPr="000305CC">
              <w:rPr>
                <w:rFonts w:ascii="Calibri" w:eastAsia="Times New Roman" w:hAnsi="Calibri" w:cs="Calibri"/>
                <w:b/>
                <w:bCs/>
                <w:sz w:val="18"/>
                <w:szCs w:val="18"/>
                <w:lang w:eastAsia="bg-BG"/>
              </w:rPr>
              <w:t>293</w:t>
            </w:r>
          </w:p>
        </w:tc>
        <w:tc>
          <w:tcPr>
            <w:tcW w:w="1068" w:type="dxa"/>
            <w:tcBorders>
              <w:top w:val="single" w:sz="4" w:space="0" w:color="auto"/>
              <w:left w:val="nil"/>
              <w:bottom w:val="single" w:sz="4" w:space="0" w:color="auto"/>
              <w:right w:val="nil"/>
            </w:tcBorders>
            <w:shd w:val="clear" w:color="auto" w:fill="auto"/>
            <w:noWrap/>
            <w:vAlign w:val="bottom"/>
            <w:hideMark/>
          </w:tcPr>
          <w:p w:rsidR="00C75A88" w:rsidRPr="000305CC" w:rsidRDefault="00C75A88" w:rsidP="00C75A88">
            <w:pPr>
              <w:jc w:val="right"/>
              <w:rPr>
                <w:rFonts w:ascii="Calibri" w:eastAsia="Times New Roman" w:hAnsi="Calibri" w:cs="Calibri"/>
                <w:b/>
                <w:bCs/>
                <w:sz w:val="18"/>
                <w:szCs w:val="18"/>
                <w:lang w:eastAsia="bg-BG"/>
              </w:rPr>
            </w:pPr>
            <w:r w:rsidRPr="000305CC">
              <w:rPr>
                <w:rFonts w:ascii="Calibri" w:eastAsia="Times New Roman" w:hAnsi="Calibri" w:cs="Calibri"/>
                <w:b/>
                <w:bCs/>
                <w:sz w:val="18"/>
                <w:szCs w:val="18"/>
                <w:lang w:eastAsia="bg-BG"/>
              </w:rPr>
              <w:t>228</w:t>
            </w:r>
          </w:p>
        </w:tc>
        <w:tc>
          <w:tcPr>
            <w:tcW w:w="1204" w:type="dxa"/>
            <w:tcBorders>
              <w:top w:val="nil"/>
              <w:left w:val="nil"/>
              <w:bottom w:val="single" w:sz="4" w:space="0" w:color="auto"/>
              <w:right w:val="single" w:sz="4" w:space="0" w:color="auto"/>
            </w:tcBorders>
            <w:shd w:val="clear" w:color="auto" w:fill="auto"/>
            <w:noWrap/>
            <w:vAlign w:val="bottom"/>
            <w:hideMark/>
          </w:tcPr>
          <w:p w:rsidR="00C75A88" w:rsidRPr="000305CC" w:rsidRDefault="00C75A88" w:rsidP="00C75A88">
            <w:pPr>
              <w:jc w:val="right"/>
              <w:rPr>
                <w:rFonts w:ascii="Calibri" w:eastAsia="Times New Roman" w:hAnsi="Calibri" w:cs="Calibri"/>
                <w:b/>
                <w:bCs/>
                <w:sz w:val="18"/>
                <w:szCs w:val="18"/>
                <w:lang w:eastAsia="bg-BG"/>
              </w:rPr>
            </w:pPr>
            <w:r w:rsidRPr="000305CC">
              <w:rPr>
                <w:rFonts w:ascii="Calibri" w:eastAsia="Times New Roman" w:hAnsi="Calibri" w:cs="Calibri"/>
                <w:b/>
                <w:bCs/>
                <w:sz w:val="18"/>
                <w:szCs w:val="18"/>
                <w:lang w:eastAsia="bg-BG"/>
              </w:rPr>
              <w:t>2 959</w:t>
            </w:r>
          </w:p>
        </w:tc>
      </w:tr>
    </w:tbl>
    <w:p w:rsidR="00C75A88" w:rsidRPr="000B5E50" w:rsidRDefault="00C75A88" w:rsidP="00C75A88">
      <w:pPr>
        <w:shd w:val="clear" w:color="auto" w:fill="FFFFFF"/>
        <w:jc w:val="both"/>
      </w:pPr>
      <w:r w:rsidRPr="000B5E50">
        <w:lastRenderedPageBreak/>
        <w:t>По-големи вземания „БДЖ –Товарни превози” ЕООД има от:</w:t>
      </w:r>
    </w:p>
    <w:p w:rsidR="00C75A88" w:rsidRPr="000B5E50" w:rsidRDefault="00C75A88" w:rsidP="00C75A88">
      <w:pPr>
        <w:numPr>
          <w:ilvl w:val="0"/>
          <w:numId w:val="18"/>
        </w:numPr>
        <w:shd w:val="clear" w:color="auto" w:fill="FFFFFF"/>
        <w:ind w:left="714" w:hanging="357"/>
        <w:jc w:val="both"/>
      </w:pPr>
      <w:r w:rsidRPr="000B5E50">
        <w:t xml:space="preserve">„ТИ БИ ЕЛ” ЕООД – </w:t>
      </w:r>
      <w:r w:rsidRPr="000B5E50">
        <w:rPr>
          <w:lang w:val="en-US"/>
        </w:rPr>
        <w:t>538</w:t>
      </w:r>
      <w:r w:rsidRPr="000B5E50">
        <w:t xml:space="preserve"> хил. лева, като най-голямата част (</w:t>
      </w:r>
      <w:r w:rsidRPr="000B5E50">
        <w:rPr>
          <w:lang w:val="en-US"/>
        </w:rPr>
        <w:t>8</w:t>
      </w:r>
      <w:r w:rsidRPr="000B5E50">
        <w:t>3%) са до 3 месеца;</w:t>
      </w:r>
    </w:p>
    <w:p w:rsidR="00C75A88" w:rsidRPr="000B5E50" w:rsidRDefault="00C75A88" w:rsidP="00C75A88">
      <w:pPr>
        <w:numPr>
          <w:ilvl w:val="0"/>
          <w:numId w:val="18"/>
        </w:numPr>
        <w:shd w:val="clear" w:color="auto" w:fill="FFFFFF"/>
        <w:ind w:left="714" w:hanging="357"/>
        <w:jc w:val="both"/>
      </w:pPr>
      <w:r w:rsidRPr="000B5E50">
        <w:t xml:space="preserve">Каолин” АД – 1 </w:t>
      </w:r>
      <w:r w:rsidRPr="000B5E50">
        <w:rPr>
          <w:lang w:val="en-US"/>
        </w:rPr>
        <w:t>206</w:t>
      </w:r>
      <w:r w:rsidRPr="000B5E50">
        <w:t xml:space="preserve"> хил. лева, като всички вземания са до 3 месеца;</w:t>
      </w:r>
    </w:p>
    <w:p w:rsidR="00C75A88" w:rsidRPr="000B5E50" w:rsidRDefault="00C75A88" w:rsidP="00C75A88">
      <w:pPr>
        <w:numPr>
          <w:ilvl w:val="0"/>
          <w:numId w:val="18"/>
        </w:numPr>
        <w:shd w:val="clear" w:color="auto" w:fill="FFFFFF"/>
        <w:ind w:left="714" w:hanging="357"/>
        <w:jc w:val="both"/>
      </w:pPr>
      <w:r w:rsidRPr="000B5E50">
        <w:t xml:space="preserve">„Лукойл Нефтохим Бургас” АД – </w:t>
      </w:r>
      <w:r w:rsidRPr="000B5E50">
        <w:rPr>
          <w:lang w:val="en-US"/>
        </w:rPr>
        <w:t>961</w:t>
      </w:r>
      <w:r w:rsidRPr="000B5E50">
        <w:t xml:space="preserve"> хил. лева, като всички вземания са до 3 месеца;</w:t>
      </w:r>
    </w:p>
    <w:p w:rsidR="00C75A88" w:rsidRPr="000B5E50" w:rsidRDefault="00C75A88" w:rsidP="00C75A88">
      <w:pPr>
        <w:numPr>
          <w:ilvl w:val="0"/>
          <w:numId w:val="18"/>
        </w:numPr>
        <w:shd w:val="clear" w:color="auto" w:fill="FFFFFF"/>
        <w:ind w:left="714" w:hanging="357"/>
        <w:jc w:val="both"/>
      </w:pPr>
      <w:r w:rsidRPr="000B5E50">
        <w:t xml:space="preserve">„ДП „НКЖИ” – </w:t>
      </w:r>
      <w:r w:rsidRPr="000B5E50">
        <w:rPr>
          <w:lang w:val="en-US"/>
        </w:rPr>
        <w:t xml:space="preserve">393 </w:t>
      </w:r>
      <w:r w:rsidRPr="000B5E50">
        <w:t>хил. лева;</w:t>
      </w:r>
    </w:p>
    <w:p w:rsidR="00C75A88" w:rsidRPr="000B5E50" w:rsidRDefault="00C75A88" w:rsidP="00C75A88">
      <w:pPr>
        <w:numPr>
          <w:ilvl w:val="0"/>
          <w:numId w:val="18"/>
        </w:numPr>
        <w:shd w:val="clear" w:color="auto" w:fill="FFFFFF"/>
        <w:spacing w:after="120"/>
        <w:jc w:val="both"/>
      </w:pPr>
      <w:r w:rsidRPr="000B5E50">
        <w:t>„Стомана индъстри” АД –</w:t>
      </w:r>
      <w:r w:rsidRPr="000B5E50">
        <w:rPr>
          <w:lang w:val="en-US"/>
        </w:rPr>
        <w:t xml:space="preserve"> 457</w:t>
      </w:r>
      <w:r w:rsidRPr="000B5E50">
        <w:t xml:space="preserve"> хил. лева, като всички вземания са до 3 месеца.</w:t>
      </w:r>
    </w:p>
    <w:p w:rsidR="00C75A88" w:rsidRPr="000B5E50" w:rsidRDefault="00C75A88" w:rsidP="00C75A88">
      <w:pPr>
        <w:numPr>
          <w:ilvl w:val="0"/>
          <w:numId w:val="18"/>
        </w:numPr>
        <w:shd w:val="clear" w:color="auto" w:fill="FFFFFF"/>
        <w:spacing w:after="120"/>
        <w:ind w:left="567" w:hanging="207"/>
        <w:jc w:val="both"/>
      </w:pPr>
      <w:r w:rsidRPr="000B5E50">
        <w:t>Вземанията от чужди ж.п. администрации са в размер на 4 0</w:t>
      </w:r>
      <w:r w:rsidRPr="000B5E50">
        <w:rPr>
          <w:lang w:val="en-US"/>
        </w:rPr>
        <w:t>44</w:t>
      </w:r>
      <w:r w:rsidRPr="000B5E50">
        <w:t xml:space="preserve"> хил. лева и представляват 27% от общата сума на вземанията по продажби. Най-големите вземания на дружеството са от Югославия - 1 </w:t>
      </w:r>
      <w:r w:rsidRPr="000B5E50">
        <w:rPr>
          <w:lang w:val="en-US"/>
        </w:rPr>
        <w:t>482</w:t>
      </w:r>
      <w:r w:rsidRPr="000B5E50">
        <w:t xml:space="preserve"> хил. лева и Македония - 4</w:t>
      </w:r>
      <w:r w:rsidRPr="000B5E50">
        <w:rPr>
          <w:lang w:val="en-US"/>
        </w:rPr>
        <w:t>05</w:t>
      </w:r>
      <w:r w:rsidRPr="000B5E50">
        <w:t xml:space="preserve"> хил. лева.</w:t>
      </w:r>
    </w:p>
    <w:p w:rsidR="00C75A88" w:rsidRDefault="00C75A88" w:rsidP="00C75A88">
      <w:pPr>
        <w:shd w:val="clear" w:color="auto" w:fill="FFFFFF"/>
        <w:jc w:val="both"/>
        <w:rPr>
          <w:b/>
          <w:lang w:val="en-US"/>
        </w:rPr>
      </w:pPr>
    </w:p>
    <w:p w:rsidR="00C75A88" w:rsidRPr="00C75A88" w:rsidRDefault="00C75A88" w:rsidP="00C75A88">
      <w:pPr>
        <w:shd w:val="clear" w:color="auto" w:fill="FFFFFF"/>
        <w:jc w:val="both"/>
        <w:rPr>
          <w:b/>
          <w:color w:val="0070C0"/>
          <w:lang w:val="en-US"/>
        </w:rPr>
      </w:pPr>
      <w:r w:rsidRPr="00C75A88">
        <w:rPr>
          <w:b/>
          <w:color w:val="0070C0"/>
        </w:rPr>
        <w:t>Задължения на „БДЖ – Товарни превози” ЕООД</w:t>
      </w:r>
    </w:p>
    <w:p w:rsidR="00C75A88" w:rsidRPr="00353032" w:rsidRDefault="00C75A88" w:rsidP="00C75A88">
      <w:pPr>
        <w:shd w:val="clear" w:color="auto" w:fill="FFFFFF"/>
        <w:jc w:val="both"/>
        <w:rPr>
          <w:b/>
          <w:highlight w:val="yellow"/>
          <w:lang w:val="en-US"/>
        </w:rPr>
      </w:pPr>
    </w:p>
    <w:p w:rsidR="00C75A88" w:rsidRPr="000B5E50" w:rsidRDefault="00C75A88" w:rsidP="00C75A88">
      <w:pPr>
        <w:shd w:val="clear" w:color="auto" w:fill="FFFFFF"/>
        <w:jc w:val="both"/>
      </w:pPr>
      <w:r w:rsidRPr="000B5E50">
        <w:t>Общата сума на задълженията на дружеството към 3</w:t>
      </w:r>
      <w:r w:rsidRPr="000B5E50">
        <w:rPr>
          <w:lang w:val="en-US"/>
        </w:rPr>
        <w:t>1</w:t>
      </w:r>
      <w:r w:rsidRPr="000B5E50">
        <w:t>.1</w:t>
      </w:r>
      <w:r w:rsidRPr="000B5E50">
        <w:rPr>
          <w:lang w:val="en-US"/>
        </w:rPr>
        <w:t>2</w:t>
      </w:r>
      <w:r w:rsidRPr="000B5E50">
        <w:t xml:space="preserve">.2017 г. е в размер на </w:t>
      </w:r>
      <w:r w:rsidRPr="000B5E50">
        <w:rPr>
          <w:b/>
        </w:rPr>
        <w:t>10</w:t>
      </w:r>
      <w:r w:rsidRPr="000B5E50">
        <w:rPr>
          <w:b/>
          <w:lang w:val="en-US"/>
        </w:rPr>
        <w:t>5</w:t>
      </w:r>
      <w:r w:rsidRPr="000B5E50">
        <w:rPr>
          <w:b/>
        </w:rPr>
        <w:t xml:space="preserve"> </w:t>
      </w:r>
      <w:r w:rsidRPr="000B5E50">
        <w:rPr>
          <w:b/>
          <w:lang w:val="en-US"/>
        </w:rPr>
        <w:t>540</w:t>
      </w:r>
      <w:r w:rsidRPr="000B5E50">
        <w:t xml:space="preserve"> хил. лева, от които </w:t>
      </w:r>
      <w:r w:rsidRPr="000B5E50">
        <w:rPr>
          <w:b/>
        </w:rPr>
        <w:t>2</w:t>
      </w:r>
      <w:r w:rsidRPr="000B5E50">
        <w:rPr>
          <w:b/>
          <w:lang w:val="en-US"/>
        </w:rPr>
        <w:t>5</w:t>
      </w:r>
      <w:r w:rsidRPr="000B5E50">
        <w:rPr>
          <w:b/>
        </w:rPr>
        <w:t xml:space="preserve"> </w:t>
      </w:r>
      <w:r w:rsidRPr="000B5E50">
        <w:rPr>
          <w:b/>
          <w:lang w:val="en-US"/>
        </w:rPr>
        <w:t>402</w:t>
      </w:r>
      <w:r w:rsidRPr="000B5E50">
        <w:t xml:space="preserve"> хил. лева дългосрочни. Спрямо същия период на предходната година задълженията / краткосрочни + дългосрочни / се увеличават с </w:t>
      </w:r>
      <w:r w:rsidRPr="000B5E50">
        <w:rPr>
          <w:lang w:val="en-US"/>
        </w:rPr>
        <w:t>5 430</w:t>
      </w:r>
      <w:r w:rsidRPr="000B5E50">
        <w:t xml:space="preserve"> хил. лева.</w:t>
      </w:r>
    </w:p>
    <w:p w:rsidR="00C75A88" w:rsidRPr="000B5E50" w:rsidRDefault="00C75A88" w:rsidP="00C75A88">
      <w:pPr>
        <w:shd w:val="clear" w:color="auto" w:fill="FFFFFF"/>
        <w:jc w:val="both"/>
      </w:pPr>
      <w:r w:rsidRPr="000B5E50">
        <w:t>По-големи краткосрочните задължения дружеството има към:</w:t>
      </w:r>
    </w:p>
    <w:p w:rsidR="00C75A88" w:rsidRPr="000D3AFB" w:rsidRDefault="00C75A88" w:rsidP="00C75A88">
      <w:pPr>
        <w:numPr>
          <w:ilvl w:val="0"/>
          <w:numId w:val="19"/>
        </w:numPr>
        <w:shd w:val="clear" w:color="auto" w:fill="FFFFFF"/>
        <w:ind w:left="714" w:hanging="357"/>
        <w:jc w:val="both"/>
      </w:pPr>
      <w:r w:rsidRPr="000D3AFB">
        <w:t>Доставчици – 6 </w:t>
      </w:r>
      <w:r w:rsidRPr="000D3AFB">
        <w:rPr>
          <w:lang w:val="en-US"/>
        </w:rPr>
        <w:t>095</w:t>
      </w:r>
      <w:r w:rsidRPr="000D3AFB">
        <w:t xml:space="preserve"> хил. лева</w:t>
      </w:r>
    </w:p>
    <w:p w:rsidR="000E7584" w:rsidRDefault="00C75A88" w:rsidP="00C75A88">
      <w:pPr>
        <w:numPr>
          <w:ilvl w:val="0"/>
          <w:numId w:val="19"/>
        </w:numPr>
        <w:shd w:val="clear" w:color="auto" w:fill="FFFFFF"/>
        <w:ind w:left="714" w:hanging="357"/>
        <w:jc w:val="both"/>
      </w:pPr>
      <w:r w:rsidRPr="000D3AFB">
        <w:t xml:space="preserve">Към свързани лица – </w:t>
      </w:r>
      <w:r w:rsidR="000E7584">
        <w:t>5869 хил. лева;</w:t>
      </w:r>
    </w:p>
    <w:p w:rsidR="000E7584" w:rsidRDefault="000E7584" w:rsidP="00C75A88">
      <w:pPr>
        <w:numPr>
          <w:ilvl w:val="0"/>
          <w:numId w:val="19"/>
        </w:numPr>
        <w:shd w:val="clear" w:color="auto" w:fill="FFFFFF"/>
        <w:ind w:left="714" w:hanging="357"/>
        <w:jc w:val="both"/>
      </w:pPr>
      <w:r>
        <w:t xml:space="preserve">Към </w:t>
      </w:r>
      <w:r w:rsidR="00C75A88" w:rsidRPr="000D3AFB">
        <w:t>НК „ЖИ” – 5</w:t>
      </w:r>
      <w:r w:rsidR="00C75A88" w:rsidRPr="000D3AFB">
        <w:rPr>
          <w:lang w:val="en-US"/>
        </w:rPr>
        <w:t>7</w:t>
      </w:r>
      <w:r w:rsidR="00C75A88" w:rsidRPr="000D3AFB">
        <w:t xml:space="preserve"> </w:t>
      </w:r>
      <w:r w:rsidR="00C75A88" w:rsidRPr="000D3AFB">
        <w:rPr>
          <w:lang w:val="en-US"/>
        </w:rPr>
        <w:t>141</w:t>
      </w:r>
      <w:r>
        <w:t xml:space="preserve"> хил. лева;</w:t>
      </w:r>
    </w:p>
    <w:p w:rsidR="00C75A88" w:rsidRPr="000D3AFB" w:rsidRDefault="000E7584" w:rsidP="00C75A88">
      <w:pPr>
        <w:numPr>
          <w:ilvl w:val="0"/>
          <w:numId w:val="19"/>
        </w:numPr>
        <w:shd w:val="clear" w:color="auto" w:fill="FFFFFF"/>
        <w:ind w:left="714" w:hanging="357"/>
        <w:jc w:val="both"/>
      </w:pPr>
      <w:r>
        <w:t xml:space="preserve">Към </w:t>
      </w:r>
      <w:r w:rsidR="00C75A88" w:rsidRPr="000D3AFB">
        <w:t>чужди жп администрации</w:t>
      </w:r>
      <w:r>
        <w:t xml:space="preserve"> -</w:t>
      </w:r>
      <w:r w:rsidR="00C75A88" w:rsidRPr="000D3AFB">
        <w:t xml:space="preserve"> 3 </w:t>
      </w:r>
      <w:r w:rsidR="00C75A88" w:rsidRPr="000D3AFB">
        <w:rPr>
          <w:lang w:val="en-US"/>
        </w:rPr>
        <w:t>847</w:t>
      </w:r>
      <w:r>
        <w:t xml:space="preserve"> хил. лева;</w:t>
      </w:r>
    </w:p>
    <w:p w:rsidR="00C75A88" w:rsidRPr="000D3AFB" w:rsidRDefault="000E7584" w:rsidP="00C75A88">
      <w:pPr>
        <w:numPr>
          <w:ilvl w:val="0"/>
          <w:numId w:val="19"/>
        </w:numPr>
        <w:shd w:val="clear" w:color="auto" w:fill="FFFFFF"/>
        <w:ind w:left="714" w:hanging="357"/>
        <w:jc w:val="both"/>
      </w:pPr>
      <w:r>
        <w:t>К</w:t>
      </w:r>
      <w:r w:rsidR="00C75A88" w:rsidRPr="000D3AFB">
        <w:t>ъм персонала за 2017 г. задълженията са в размер на 5 031 хил. лева;</w:t>
      </w:r>
    </w:p>
    <w:p w:rsidR="00C75A88" w:rsidRPr="000D3AFB" w:rsidRDefault="000E7584" w:rsidP="00C75A88">
      <w:pPr>
        <w:numPr>
          <w:ilvl w:val="0"/>
          <w:numId w:val="19"/>
        </w:numPr>
        <w:shd w:val="clear" w:color="auto" w:fill="FFFFFF"/>
        <w:ind w:left="714" w:hanging="357"/>
        <w:jc w:val="both"/>
      </w:pPr>
      <w:r>
        <w:t>К</w:t>
      </w:r>
      <w:r w:rsidR="00C75A88" w:rsidRPr="000D3AFB">
        <w:t xml:space="preserve">ъм осигурителни предприятия – 2 321 хил. лева и др. </w:t>
      </w:r>
    </w:p>
    <w:p w:rsidR="00C75A88" w:rsidRPr="00353032" w:rsidRDefault="00C75A88" w:rsidP="00C75A88">
      <w:pPr>
        <w:shd w:val="clear" w:color="auto" w:fill="FFFFFF"/>
        <w:ind w:left="714"/>
        <w:jc w:val="both"/>
        <w:rPr>
          <w:highlight w:val="yellow"/>
        </w:rPr>
      </w:pPr>
    </w:p>
    <w:tbl>
      <w:tblPr>
        <w:tblW w:w="9855" w:type="dxa"/>
        <w:tblInd w:w="58" w:type="dxa"/>
        <w:tblCellMar>
          <w:left w:w="70" w:type="dxa"/>
          <w:right w:w="70" w:type="dxa"/>
        </w:tblCellMar>
        <w:tblLook w:val="04A0" w:firstRow="1" w:lastRow="0" w:firstColumn="1" w:lastColumn="0" w:noHBand="0" w:noVBand="1"/>
      </w:tblPr>
      <w:tblGrid>
        <w:gridCol w:w="3721"/>
        <w:gridCol w:w="1355"/>
        <w:gridCol w:w="1182"/>
        <w:gridCol w:w="1182"/>
        <w:gridCol w:w="1136"/>
        <w:gridCol w:w="1279"/>
      </w:tblGrid>
      <w:tr w:rsidR="00C75A88" w:rsidRPr="000D3AFB" w:rsidTr="00C75A88">
        <w:trPr>
          <w:trHeight w:val="306"/>
        </w:trPr>
        <w:tc>
          <w:tcPr>
            <w:tcW w:w="3721" w:type="dxa"/>
            <w:vMerge w:val="restart"/>
            <w:tcBorders>
              <w:top w:val="single" w:sz="4" w:space="0" w:color="auto"/>
              <w:left w:val="single" w:sz="4" w:space="0" w:color="auto"/>
              <w:bottom w:val="single" w:sz="4" w:space="0" w:color="000000"/>
              <w:right w:val="nil"/>
            </w:tcBorders>
            <w:shd w:val="clear" w:color="auto" w:fill="auto"/>
            <w:noWrap/>
            <w:vAlign w:val="center"/>
            <w:hideMark/>
          </w:tcPr>
          <w:p w:rsidR="00C75A88" w:rsidRPr="000D3AFB" w:rsidRDefault="00C75A88" w:rsidP="00C75A88">
            <w:pPr>
              <w:rPr>
                <w:rFonts w:ascii="Calibri" w:eastAsia="Times New Roman" w:hAnsi="Calibri" w:cs="Calibri"/>
                <w:b/>
                <w:bCs/>
                <w:sz w:val="18"/>
                <w:szCs w:val="18"/>
                <w:lang w:eastAsia="bg-BG"/>
              </w:rPr>
            </w:pPr>
            <w:r w:rsidRPr="000D3AFB">
              <w:rPr>
                <w:rFonts w:ascii="Calibri" w:eastAsia="Times New Roman" w:hAnsi="Calibri" w:cs="Calibri"/>
                <w:b/>
                <w:bCs/>
                <w:sz w:val="18"/>
                <w:szCs w:val="18"/>
                <w:lang w:eastAsia="bg-BG"/>
              </w:rPr>
              <w:t>Задължения по контрагенти</w:t>
            </w:r>
          </w:p>
        </w:tc>
        <w:tc>
          <w:tcPr>
            <w:tcW w:w="1355" w:type="dxa"/>
            <w:tcBorders>
              <w:top w:val="single" w:sz="4" w:space="0" w:color="auto"/>
              <w:left w:val="nil"/>
              <w:bottom w:val="nil"/>
              <w:right w:val="nil"/>
            </w:tcBorders>
            <w:shd w:val="clear" w:color="auto" w:fill="auto"/>
            <w:noWrap/>
            <w:vAlign w:val="bottom"/>
            <w:hideMark/>
          </w:tcPr>
          <w:p w:rsidR="00C75A88" w:rsidRPr="000D3AFB" w:rsidRDefault="00C75A88" w:rsidP="00C75A88">
            <w:pPr>
              <w:jc w:val="center"/>
              <w:rPr>
                <w:rFonts w:ascii="Calibri" w:eastAsia="Times New Roman" w:hAnsi="Calibri" w:cs="Calibri"/>
                <w:b/>
                <w:bCs/>
                <w:sz w:val="18"/>
                <w:szCs w:val="18"/>
                <w:lang w:eastAsia="bg-BG"/>
              </w:rPr>
            </w:pPr>
            <w:r w:rsidRPr="000D3AFB">
              <w:rPr>
                <w:rFonts w:ascii="Calibri" w:eastAsia="Times New Roman" w:hAnsi="Calibri" w:cs="Calibri"/>
                <w:b/>
                <w:bCs/>
                <w:sz w:val="18"/>
                <w:szCs w:val="18"/>
                <w:lang w:eastAsia="bg-BG"/>
              </w:rPr>
              <w:t>Общ размер</w:t>
            </w:r>
          </w:p>
        </w:tc>
        <w:tc>
          <w:tcPr>
            <w:tcW w:w="4779" w:type="dxa"/>
            <w:gridSpan w:val="4"/>
            <w:tcBorders>
              <w:top w:val="single" w:sz="4" w:space="0" w:color="auto"/>
              <w:left w:val="nil"/>
              <w:bottom w:val="nil"/>
              <w:right w:val="single" w:sz="4" w:space="0" w:color="000000"/>
            </w:tcBorders>
            <w:shd w:val="clear" w:color="auto" w:fill="auto"/>
            <w:noWrap/>
            <w:vAlign w:val="bottom"/>
            <w:hideMark/>
          </w:tcPr>
          <w:p w:rsidR="00C75A88" w:rsidRPr="000D3AFB" w:rsidRDefault="00C75A88" w:rsidP="00C75A88">
            <w:pPr>
              <w:jc w:val="center"/>
              <w:rPr>
                <w:rFonts w:ascii="Calibri" w:eastAsia="Times New Roman" w:hAnsi="Calibri" w:cs="Calibri"/>
                <w:b/>
                <w:bCs/>
                <w:sz w:val="18"/>
                <w:szCs w:val="18"/>
                <w:lang w:eastAsia="bg-BG"/>
              </w:rPr>
            </w:pPr>
            <w:r w:rsidRPr="000D3AFB">
              <w:rPr>
                <w:rFonts w:ascii="Calibri" w:eastAsia="Times New Roman" w:hAnsi="Calibri" w:cs="Calibri"/>
                <w:b/>
                <w:bCs/>
                <w:sz w:val="18"/>
                <w:szCs w:val="18"/>
                <w:lang w:eastAsia="bg-BG"/>
              </w:rPr>
              <w:t>Възраст на задължението</w:t>
            </w:r>
          </w:p>
        </w:tc>
      </w:tr>
      <w:tr w:rsidR="00C75A88" w:rsidRPr="000D3AFB" w:rsidTr="00C75A88">
        <w:trPr>
          <w:trHeight w:val="306"/>
        </w:trPr>
        <w:tc>
          <w:tcPr>
            <w:tcW w:w="3721" w:type="dxa"/>
            <w:vMerge/>
            <w:tcBorders>
              <w:top w:val="single" w:sz="4" w:space="0" w:color="auto"/>
              <w:left w:val="single" w:sz="4" w:space="0" w:color="auto"/>
              <w:bottom w:val="single" w:sz="4" w:space="0" w:color="000000"/>
              <w:right w:val="nil"/>
            </w:tcBorders>
            <w:vAlign w:val="center"/>
            <w:hideMark/>
          </w:tcPr>
          <w:p w:rsidR="00C75A88" w:rsidRPr="000D3AFB" w:rsidRDefault="00C75A88" w:rsidP="00C75A88">
            <w:pPr>
              <w:rPr>
                <w:rFonts w:ascii="Calibri" w:eastAsia="Times New Roman" w:hAnsi="Calibri" w:cs="Calibri"/>
                <w:b/>
                <w:bCs/>
                <w:sz w:val="18"/>
                <w:szCs w:val="18"/>
                <w:lang w:eastAsia="bg-BG"/>
              </w:rPr>
            </w:pPr>
          </w:p>
        </w:tc>
        <w:tc>
          <w:tcPr>
            <w:tcW w:w="1355" w:type="dxa"/>
            <w:tcBorders>
              <w:top w:val="nil"/>
              <w:left w:val="nil"/>
              <w:bottom w:val="single" w:sz="4" w:space="0" w:color="auto"/>
              <w:right w:val="nil"/>
            </w:tcBorders>
            <w:shd w:val="clear" w:color="auto" w:fill="auto"/>
            <w:noWrap/>
            <w:vAlign w:val="bottom"/>
            <w:hideMark/>
          </w:tcPr>
          <w:p w:rsidR="00C75A88" w:rsidRPr="000D3AFB" w:rsidRDefault="00C75A88" w:rsidP="00C75A88">
            <w:pPr>
              <w:jc w:val="center"/>
              <w:rPr>
                <w:rFonts w:ascii="Calibri" w:eastAsia="Times New Roman" w:hAnsi="Calibri" w:cs="Calibri"/>
                <w:b/>
                <w:bCs/>
                <w:sz w:val="18"/>
                <w:szCs w:val="18"/>
                <w:lang w:eastAsia="bg-BG"/>
              </w:rPr>
            </w:pPr>
            <w:r w:rsidRPr="000D3AFB">
              <w:rPr>
                <w:rFonts w:ascii="Calibri" w:eastAsia="Times New Roman" w:hAnsi="Calibri" w:cs="Calibri"/>
                <w:b/>
                <w:bCs/>
                <w:sz w:val="18"/>
                <w:szCs w:val="18"/>
                <w:lang w:eastAsia="bg-BG"/>
              </w:rPr>
              <w:t>31.12.2017 г.</w:t>
            </w:r>
          </w:p>
        </w:tc>
        <w:tc>
          <w:tcPr>
            <w:tcW w:w="1182" w:type="dxa"/>
            <w:tcBorders>
              <w:top w:val="nil"/>
              <w:left w:val="nil"/>
              <w:bottom w:val="single" w:sz="4" w:space="0" w:color="auto"/>
              <w:right w:val="nil"/>
            </w:tcBorders>
            <w:shd w:val="clear" w:color="auto" w:fill="auto"/>
            <w:noWrap/>
            <w:vAlign w:val="bottom"/>
            <w:hideMark/>
          </w:tcPr>
          <w:p w:rsidR="00C75A88" w:rsidRPr="000D3AFB" w:rsidRDefault="00C75A88" w:rsidP="00C75A88">
            <w:pPr>
              <w:jc w:val="center"/>
              <w:rPr>
                <w:rFonts w:ascii="Calibri" w:eastAsia="Times New Roman" w:hAnsi="Calibri" w:cs="Calibri"/>
                <w:b/>
                <w:bCs/>
                <w:sz w:val="18"/>
                <w:szCs w:val="18"/>
                <w:lang w:eastAsia="bg-BG"/>
              </w:rPr>
            </w:pPr>
            <w:r w:rsidRPr="000D3AFB">
              <w:rPr>
                <w:rFonts w:ascii="Calibri" w:eastAsia="Times New Roman" w:hAnsi="Calibri" w:cs="Calibri"/>
                <w:b/>
                <w:bCs/>
                <w:sz w:val="18"/>
                <w:szCs w:val="18"/>
                <w:lang w:eastAsia="bg-BG"/>
              </w:rPr>
              <w:t>до 3 мес.</w:t>
            </w:r>
          </w:p>
        </w:tc>
        <w:tc>
          <w:tcPr>
            <w:tcW w:w="1182" w:type="dxa"/>
            <w:tcBorders>
              <w:top w:val="nil"/>
              <w:left w:val="nil"/>
              <w:bottom w:val="single" w:sz="4" w:space="0" w:color="auto"/>
              <w:right w:val="nil"/>
            </w:tcBorders>
            <w:shd w:val="clear" w:color="auto" w:fill="auto"/>
            <w:noWrap/>
            <w:vAlign w:val="bottom"/>
            <w:hideMark/>
          </w:tcPr>
          <w:p w:rsidR="00C75A88" w:rsidRPr="000D3AFB" w:rsidRDefault="00C75A88" w:rsidP="00C75A88">
            <w:pPr>
              <w:jc w:val="center"/>
              <w:rPr>
                <w:rFonts w:ascii="Calibri" w:eastAsia="Times New Roman" w:hAnsi="Calibri" w:cs="Calibri"/>
                <w:b/>
                <w:bCs/>
                <w:sz w:val="18"/>
                <w:szCs w:val="18"/>
                <w:lang w:eastAsia="bg-BG"/>
              </w:rPr>
            </w:pPr>
            <w:r w:rsidRPr="000D3AFB">
              <w:rPr>
                <w:rFonts w:ascii="Calibri" w:eastAsia="Times New Roman" w:hAnsi="Calibri" w:cs="Calibri"/>
                <w:b/>
                <w:bCs/>
                <w:sz w:val="18"/>
                <w:szCs w:val="18"/>
                <w:lang w:eastAsia="bg-BG"/>
              </w:rPr>
              <w:t>до 6 мес.</w:t>
            </w:r>
          </w:p>
        </w:tc>
        <w:tc>
          <w:tcPr>
            <w:tcW w:w="1136" w:type="dxa"/>
            <w:tcBorders>
              <w:top w:val="nil"/>
              <w:left w:val="nil"/>
              <w:bottom w:val="single" w:sz="4" w:space="0" w:color="auto"/>
              <w:right w:val="nil"/>
            </w:tcBorders>
            <w:shd w:val="clear" w:color="auto" w:fill="auto"/>
            <w:noWrap/>
            <w:vAlign w:val="bottom"/>
            <w:hideMark/>
          </w:tcPr>
          <w:p w:rsidR="00C75A88" w:rsidRPr="000D3AFB" w:rsidRDefault="00C75A88" w:rsidP="00C75A88">
            <w:pPr>
              <w:jc w:val="center"/>
              <w:rPr>
                <w:rFonts w:ascii="Calibri" w:eastAsia="Times New Roman" w:hAnsi="Calibri" w:cs="Calibri"/>
                <w:b/>
                <w:bCs/>
                <w:sz w:val="18"/>
                <w:szCs w:val="18"/>
                <w:lang w:eastAsia="bg-BG"/>
              </w:rPr>
            </w:pPr>
            <w:r w:rsidRPr="000D3AFB">
              <w:rPr>
                <w:rFonts w:ascii="Calibri" w:eastAsia="Times New Roman" w:hAnsi="Calibri" w:cs="Calibri"/>
                <w:b/>
                <w:bCs/>
                <w:sz w:val="18"/>
                <w:szCs w:val="18"/>
                <w:lang w:eastAsia="bg-BG"/>
              </w:rPr>
              <w:t>до 1 год.</w:t>
            </w:r>
          </w:p>
        </w:tc>
        <w:tc>
          <w:tcPr>
            <w:tcW w:w="1279" w:type="dxa"/>
            <w:tcBorders>
              <w:top w:val="nil"/>
              <w:left w:val="nil"/>
              <w:bottom w:val="single" w:sz="4" w:space="0" w:color="auto"/>
              <w:right w:val="single" w:sz="4" w:space="0" w:color="auto"/>
            </w:tcBorders>
            <w:shd w:val="clear" w:color="auto" w:fill="auto"/>
            <w:noWrap/>
            <w:vAlign w:val="bottom"/>
            <w:hideMark/>
          </w:tcPr>
          <w:p w:rsidR="00C75A88" w:rsidRPr="000D3AFB" w:rsidRDefault="00C75A88" w:rsidP="00C75A88">
            <w:pPr>
              <w:jc w:val="center"/>
              <w:rPr>
                <w:rFonts w:ascii="Calibri" w:eastAsia="Times New Roman" w:hAnsi="Calibri" w:cs="Calibri"/>
                <w:b/>
                <w:bCs/>
                <w:sz w:val="18"/>
                <w:szCs w:val="18"/>
                <w:lang w:eastAsia="bg-BG"/>
              </w:rPr>
            </w:pPr>
            <w:r w:rsidRPr="000D3AFB">
              <w:rPr>
                <w:rFonts w:ascii="Calibri" w:eastAsia="Times New Roman" w:hAnsi="Calibri" w:cs="Calibri"/>
                <w:b/>
                <w:bCs/>
                <w:sz w:val="18"/>
                <w:szCs w:val="18"/>
                <w:lang w:eastAsia="bg-BG"/>
              </w:rPr>
              <w:t>над 1 год.</w:t>
            </w:r>
          </w:p>
        </w:tc>
      </w:tr>
      <w:tr w:rsidR="00C75A88" w:rsidRPr="000D3AFB" w:rsidTr="00C75A88">
        <w:trPr>
          <w:trHeight w:val="306"/>
        </w:trPr>
        <w:tc>
          <w:tcPr>
            <w:tcW w:w="3721" w:type="dxa"/>
            <w:tcBorders>
              <w:top w:val="nil"/>
              <w:left w:val="single" w:sz="4" w:space="0" w:color="auto"/>
              <w:bottom w:val="nil"/>
              <w:right w:val="nil"/>
            </w:tcBorders>
            <w:shd w:val="clear" w:color="auto" w:fill="auto"/>
            <w:noWrap/>
            <w:vAlign w:val="bottom"/>
            <w:hideMark/>
          </w:tcPr>
          <w:p w:rsidR="00C75A88" w:rsidRPr="000D3AFB" w:rsidRDefault="00C75A88" w:rsidP="00C75A88">
            <w:pPr>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 xml:space="preserve">НК ЖИ </w:t>
            </w:r>
          </w:p>
        </w:tc>
        <w:tc>
          <w:tcPr>
            <w:tcW w:w="1355"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57 141</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4 890</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p>
        </w:tc>
        <w:tc>
          <w:tcPr>
            <w:tcW w:w="1136"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7870</w:t>
            </w:r>
          </w:p>
        </w:tc>
        <w:tc>
          <w:tcPr>
            <w:tcW w:w="1279" w:type="dxa"/>
            <w:tcBorders>
              <w:top w:val="nil"/>
              <w:left w:val="nil"/>
              <w:bottom w:val="nil"/>
              <w:right w:val="single" w:sz="4" w:space="0" w:color="auto"/>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44 381</w:t>
            </w:r>
          </w:p>
        </w:tc>
      </w:tr>
      <w:tr w:rsidR="00C75A88" w:rsidRPr="000D3AFB" w:rsidTr="00C75A88">
        <w:trPr>
          <w:trHeight w:val="306"/>
        </w:trPr>
        <w:tc>
          <w:tcPr>
            <w:tcW w:w="3721" w:type="dxa"/>
            <w:tcBorders>
              <w:top w:val="nil"/>
              <w:left w:val="single" w:sz="4" w:space="0" w:color="auto"/>
              <w:bottom w:val="nil"/>
              <w:right w:val="nil"/>
            </w:tcBorders>
            <w:shd w:val="clear" w:color="auto" w:fill="auto"/>
            <w:noWrap/>
            <w:vAlign w:val="bottom"/>
            <w:hideMark/>
          </w:tcPr>
          <w:p w:rsidR="00C75A88" w:rsidRPr="000D3AFB" w:rsidRDefault="00C75A88" w:rsidP="00C75A88">
            <w:pPr>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Трен ЕООД</w:t>
            </w:r>
          </w:p>
        </w:tc>
        <w:tc>
          <w:tcPr>
            <w:tcW w:w="1355"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819</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819</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p>
        </w:tc>
        <w:tc>
          <w:tcPr>
            <w:tcW w:w="1136"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p>
        </w:tc>
        <w:tc>
          <w:tcPr>
            <w:tcW w:w="1279" w:type="dxa"/>
            <w:tcBorders>
              <w:top w:val="nil"/>
              <w:left w:val="nil"/>
              <w:bottom w:val="nil"/>
              <w:right w:val="single" w:sz="4" w:space="0" w:color="auto"/>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0</w:t>
            </w:r>
          </w:p>
        </w:tc>
      </w:tr>
      <w:tr w:rsidR="00C75A88" w:rsidRPr="000D3AFB" w:rsidTr="00C75A88">
        <w:trPr>
          <w:trHeight w:val="306"/>
        </w:trPr>
        <w:tc>
          <w:tcPr>
            <w:tcW w:w="3721" w:type="dxa"/>
            <w:tcBorders>
              <w:top w:val="nil"/>
              <w:left w:val="single" w:sz="4" w:space="0" w:color="auto"/>
              <w:bottom w:val="nil"/>
              <w:right w:val="nil"/>
            </w:tcBorders>
            <w:shd w:val="clear" w:color="auto" w:fill="auto"/>
            <w:noWrap/>
            <w:vAlign w:val="bottom"/>
            <w:hideMark/>
          </w:tcPr>
          <w:p w:rsidR="00C75A88" w:rsidRPr="000D3AFB" w:rsidRDefault="00C75A88" w:rsidP="00C75A88">
            <w:pPr>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Лукойл България ЕООД</w:t>
            </w:r>
          </w:p>
        </w:tc>
        <w:tc>
          <w:tcPr>
            <w:tcW w:w="1355"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295</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295</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p>
        </w:tc>
        <w:tc>
          <w:tcPr>
            <w:tcW w:w="1136"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p>
        </w:tc>
        <w:tc>
          <w:tcPr>
            <w:tcW w:w="1279" w:type="dxa"/>
            <w:tcBorders>
              <w:top w:val="nil"/>
              <w:left w:val="nil"/>
              <w:bottom w:val="nil"/>
              <w:right w:val="single" w:sz="4" w:space="0" w:color="auto"/>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0</w:t>
            </w:r>
          </w:p>
        </w:tc>
      </w:tr>
      <w:tr w:rsidR="00C75A88" w:rsidRPr="000D3AFB" w:rsidTr="00C75A88">
        <w:trPr>
          <w:trHeight w:val="306"/>
        </w:trPr>
        <w:tc>
          <w:tcPr>
            <w:tcW w:w="3721" w:type="dxa"/>
            <w:tcBorders>
              <w:top w:val="nil"/>
              <w:left w:val="single" w:sz="4" w:space="0" w:color="auto"/>
              <w:bottom w:val="nil"/>
              <w:right w:val="nil"/>
            </w:tcBorders>
            <w:shd w:val="clear" w:color="auto" w:fill="auto"/>
            <w:noWrap/>
            <w:vAlign w:val="bottom"/>
            <w:hideMark/>
          </w:tcPr>
          <w:p w:rsidR="00C75A88" w:rsidRPr="000D3AFB" w:rsidRDefault="00C75A88" w:rsidP="00C75A88">
            <w:pPr>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Трансленд ООД</w:t>
            </w:r>
          </w:p>
        </w:tc>
        <w:tc>
          <w:tcPr>
            <w:tcW w:w="1355"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109</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109</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p>
        </w:tc>
        <w:tc>
          <w:tcPr>
            <w:tcW w:w="1136"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p>
        </w:tc>
        <w:tc>
          <w:tcPr>
            <w:tcW w:w="1279" w:type="dxa"/>
            <w:tcBorders>
              <w:top w:val="nil"/>
              <w:left w:val="nil"/>
              <w:bottom w:val="nil"/>
              <w:right w:val="single" w:sz="4" w:space="0" w:color="auto"/>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0</w:t>
            </w:r>
          </w:p>
        </w:tc>
      </w:tr>
      <w:tr w:rsidR="00C75A88" w:rsidRPr="000D3AFB" w:rsidTr="00C75A88">
        <w:trPr>
          <w:trHeight w:val="306"/>
        </w:trPr>
        <w:tc>
          <w:tcPr>
            <w:tcW w:w="3721" w:type="dxa"/>
            <w:tcBorders>
              <w:top w:val="nil"/>
              <w:left w:val="single" w:sz="4" w:space="0" w:color="auto"/>
              <w:bottom w:val="nil"/>
              <w:right w:val="nil"/>
            </w:tcBorders>
            <w:shd w:val="clear" w:color="auto" w:fill="auto"/>
            <w:noWrap/>
            <w:vAlign w:val="bottom"/>
            <w:hideMark/>
          </w:tcPr>
          <w:p w:rsidR="00C75A88" w:rsidRPr="000D3AFB" w:rsidRDefault="00C75A88" w:rsidP="00C75A88">
            <w:pPr>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Чужди ж.п. администрации</w:t>
            </w:r>
          </w:p>
        </w:tc>
        <w:tc>
          <w:tcPr>
            <w:tcW w:w="1355"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3 847</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923</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236</w:t>
            </w:r>
          </w:p>
        </w:tc>
        <w:tc>
          <w:tcPr>
            <w:tcW w:w="1136"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808</w:t>
            </w:r>
          </w:p>
        </w:tc>
        <w:tc>
          <w:tcPr>
            <w:tcW w:w="1279" w:type="dxa"/>
            <w:tcBorders>
              <w:top w:val="nil"/>
              <w:left w:val="nil"/>
              <w:bottom w:val="nil"/>
              <w:right w:val="single" w:sz="4" w:space="0" w:color="auto"/>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1 880</w:t>
            </w:r>
          </w:p>
        </w:tc>
      </w:tr>
      <w:tr w:rsidR="00C75A88" w:rsidRPr="000D3AFB" w:rsidTr="00C75A88">
        <w:trPr>
          <w:trHeight w:val="306"/>
        </w:trPr>
        <w:tc>
          <w:tcPr>
            <w:tcW w:w="3721" w:type="dxa"/>
            <w:tcBorders>
              <w:top w:val="nil"/>
              <w:left w:val="single" w:sz="4" w:space="0" w:color="auto"/>
              <w:bottom w:val="nil"/>
              <w:right w:val="nil"/>
            </w:tcBorders>
            <w:shd w:val="clear" w:color="auto" w:fill="auto"/>
            <w:noWrap/>
            <w:vAlign w:val="bottom"/>
            <w:hideMark/>
          </w:tcPr>
          <w:p w:rsidR="00C75A88" w:rsidRPr="000D3AFB" w:rsidRDefault="00C75A88" w:rsidP="00C75A88">
            <w:pPr>
              <w:rPr>
                <w:rFonts w:ascii="Calibri" w:eastAsia="Times New Roman" w:hAnsi="Calibri" w:cs="Calibri"/>
                <w:color w:val="000000"/>
                <w:sz w:val="18"/>
                <w:szCs w:val="18"/>
                <w:lang w:eastAsia="bg-BG"/>
              </w:rPr>
            </w:pPr>
            <w:r w:rsidRPr="000D3AFB">
              <w:rPr>
                <w:rFonts w:ascii="Calibri" w:eastAsia="Times New Roman" w:hAnsi="Calibri" w:cs="Calibri"/>
                <w:color w:val="000000"/>
                <w:sz w:val="18"/>
                <w:szCs w:val="18"/>
                <w:lang w:eastAsia="bg-BG"/>
              </w:rPr>
              <w:t>в т.ч. Харватска карго</w:t>
            </w:r>
          </w:p>
        </w:tc>
        <w:tc>
          <w:tcPr>
            <w:tcW w:w="1355"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911</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31</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21</w:t>
            </w:r>
          </w:p>
        </w:tc>
        <w:tc>
          <w:tcPr>
            <w:tcW w:w="1136"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56</w:t>
            </w:r>
          </w:p>
        </w:tc>
        <w:tc>
          <w:tcPr>
            <w:tcW w:w="1279" w:type="dxa"/>
            <w:tcBorders>
              <w:top w:val="nil"/>
              <w:left w:val="nil"/>
              <w:bottom w:val="nil"/>
              <w:right w:val="single" w:sz="4" w:space="0" w:color="auto"/>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803</w:t>
            </w:r>
          </w:p>
        </w:tc>
      </w:tr>
      <w:tr w:rsidR="00C75A88" w:rsidRPr="000D3AFB" w:rsidTr="00C75A88">
        <w:trPr>
          <w:trHeight w:val="306"/>
        </w:trPr>
        <w:tc>
          <w:tcPr>
            <w:tcW w:w="3721" w:type="dxa"/>
            <w:tcBorders>
              <w:top w:val="nil"/>
              <w:left w:val="single" w:sz="4" w:space="0" w:color="auto"/>
              <w:bottom w:val="nil"/>
              <w:right w:val="nil"/>
            </w:tcBorders>
            <w:shd w:val="clear" w:color="auto" w:fill="auto"/>
            <w:noWrap/>
            <w:vAlign w:val="bottom"/>
            <w:hideMark/>
          </w:tcPr>
          <w:p w:rsidR="00C75A88" w:rsidRPr="000D3AFB" w:rsidRDefault="00C75A88" w:rsidP="00C75A88">
            <w:pPr>
              <w:rPr>
                <w:rFonts w:ascii="Calibri" w:eastAsia="Times New Roman" w:hAnsi="Calibri" w:cs="Calibri"/>
                <w:color w:val="000000"/>
                <w:sz w:val="18"/>
                <w:szCs w:val="18"/>
                <w:lang w:eastAsia="bg-BG"/>
              </w:rPr>
            </w:pPr>
            <w:r w:rsidRPr="000D3AFB">
              <w:rPr>
                <w:rFonts w:ascii="Calibri" w:eastAsia="Times New Roman" w:hAnsi="Calibri" w:cs="Calibri"/>
                <w:color w:val="000000"/>
                <w:sz w:val="18"/>
                <w:szCs w:val="18"/>
                <w:lang w:eastAsia="bg-BG"/>
              </w:rPr>
              <w:t xml:space="preserve">          Германия</w:t>
            </w:r>
          </w:p>
        </w:tc>
        <w:tc>
          <w:tcPr>
            <w:tcW w:w="1355"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674</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23</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15</w:t>
            </w:r>
          </w:p>
        </w:tc>
        <w:tc>
          <w:tcPr>
            <w:tcW w:w="1136"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33</w:t>
            </w:r>
          </w:p>
        </w:tc>
        <w:tc>
          <w:tcPr>
            <w:tcW w:w="1279" w:type="dxa"/>
            <w:tcBorders>
              <w:top w:val="nil"/>
              <w:left w:val="nil"/>
              <w:bottom w:val="nil"/>
              <w:right w:val="single" w:sz="4" w:space="0" w:color="auto"/>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603</w:t>
            </w:r>
          </w:p>
        </w:tc>
      </w:tr>
      <w:tr w:rsidR="00C75A88" w:rsidRPr="000D3AFB" w:rsidTr="00C75A88">
        <w:trPr>
          <w:trHeight w:val="306"/>
        </w:trPr>
        <w:tc>
          <w:tcPr>
            <w:tcW w:w="3721" w:type="dxa"/>
            <w:tcBorders>
              <w:top w:val="nil"/>
              <w:left w:val="single" w:sz="4" w:space="0" w:color="auto"/>
              <w:bottom w:val="nil"/>
              <w:right w:val="nil"/>
            </w:tcBorders>
            <w:shd w:val="clear" w:color="auto" w:fill="auto"/>
            <w:noWrap/>
            <w:vAlign w:val="bottom"/>
            <w:hideMark/>
          </w:tcPr>
          <w:p w:rsidR="00C75A88" w:rsidRPr="000D3AFB" w:rsidRDefault="00C75A88" w:rsidP="00C75A88">
            <w:pPr>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Задължения от свързани лица</w:t>
            </w:r>
          </w:p>
        </w:tc>
        <w:tc>
          <w:tcPr>
            <w:tcW w:w="1355"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5 869</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2 456</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723</w:t>
            </w:r>
          </w:p>
        </w:tc>
        <w:tc>
          <w:tcPr>
            <w:tcW w:w="1136"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1 698</w:t>
            </w:r>
          </w:p>
        </w:tc>
        <w:tc>
          <w:tcPr>
            <w:tcW w:w="1279" w:type="dxa"/>
            <w:tcBorders>
              <w:top w:val="nil"/>
              <w:left w:val="nil"/>
              <w:bottom w:val="nil"/>
              <w:right w:val="single" w:sz="4" w:space="0" w:color="auto"/>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992</w:t>
            </w:r>
          </w:p>
        </w:tc>
      </w:tr>
      <w:tr w:rsidR="00C75A88" w:rsidRPr="000D3AFB" w:rsidTr="00C75A88">
        <w:trPr>
          <w:trHeight w:val="306"/>
        </w:trPr>
        <w:tc>
          <w:tcPr>
            <w:tcW w:w="3721" w:type="dxa"/>
            <w:tcBorders>
              <w:top w:val="nil"/>
              <w:left w:val="single" w:sz="4" w:space="0" w:color="auto"/>
              <w:bottom w:val="nil"/>
              <w:right w:val="nil"/>
            </w:tcBorders>
            <w:shd w:val="clear" w:color="auto" w:fill="auto"/>
            <w:noWrap/>
            <w:vAlign w:val="bottom"/>
            <w:hideMark/>
          </w:tcPr>
          <w:p w:rsidR="00C75A88" w:rsidRPr="000D3AFB" w:rsidRDefault="00C75A88" w:rsidP="00C75A88">
            <w:pPr>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Други</w:t>
            </w:r>
          </w:p>
        </w:tc>
        <w:tc>
          <w:tcPr>
            <w:tcW w:w="1355"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1 137</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1 136</w:t>
            </w:r>
          </w:p>
        </w:tc>
        <w:tc>
          <w:tcPr>
            <w:tcW w:w="1182"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1</w:t>
            </w:r>
          </w:p>
        </w:tc>
        <w:tc>
          <w:tcPr>
            <w:tcW w:w="1136" w:type="dxa"/>
            <w:tcBorders>
              <w:top w:val="nil"/>
              <w:left w:val="nil"/>
              <w:bottom w:val="nil"/>
              <w:right w:val="nil"/>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0</w:t>
            </w:r>
          </w:p>
        </w:tc>
        <w:tc>
          <w:tcPr>
            <w:tcW w:w="1279" w:type="dxa"/>
            <w:tcBorders>
              <w:top w:val="nil"/>
              <w:left w:val="nil"/>
              <w:bottom w:val="nil"/>
              <w:right w:val="single" w:sz="4" w:space="0" w:color="auto"/>
            </w:tcBorders>
            <w:shd w:val="clear" w:color="auto" w:fill="auto"/>
            <w:noWrap/>
            <w:vAlign w:val="bottom"/>
            <w:hideMark/>
          </w:tcPr>
          <w:p w:rsidR="00C75A88" w:rsidRPr="000D3AFB" w:rsidRDefault="00C75A88" w:rsidP="00C75A88">
            <w:pPr>
              <w:jc w:val="right"/>
              <w:rPr>
                <w:rFonts w:ascii="Calibri" w:eastAsia="Times New Roman" w:hAnsi="Calibri" w:cs="Calibri"/>
                <w:sz w:val="18"/>
                <w:szCs w:val="18"/>
                <w:lang w:eastAsia="bg-BG"/>
              </w:rPr>
            </w:pPr>
            <w:r w:rsidRPr="000D3AFB">
              <w:rPr>
                <w:rFonts w:ascii="Calibri" w:eastAsia="Times New Roman" w:hAnsi="Calibri" w:cs="Calibri"/>
                <w:sz w:val="18"/>
                <w:szCs w:val="18"/>
                <w:lang w:eastAsia="bg-BG"/>
              </w:rPr>
              <w:t>0</w:t>
            </w:r>
          </w:p>
        </w:tc>
      </w:tr>
      <w:tr w:rsidR="00C75A88" w:rsidRPr="000D3AFB" w:rsidTr="00C75A88">
        <w:trPr>
          <w:trHeight w:val="306"/>
        </w:trPr>
        <w:tc>
          <w:tcPr>
            <w:tcW w:w="3721" w:type="dxa"/>
            <w:tcBorders>
              <w:top w:val="single" w:sz="4" w:space="0" w:color="auto"/>
              <w:left w:val="single" w:sz="4" w:space="0" w:color="auto"/>
              <w:bottom w:val="single" w:sz="4" w:space="0" w:color="auto"/>
              <w:right w:val="nil"/>
            </w:tcBorders>
            <w:shd w:val="clear" w:color="auto" w:fill="auto"/>
            <w:noWrap/>
            <w:vAlign w:val="bottom"/>
            <w:hideMark/>
          </w:tcPr>
          <w:p w:rsidR="00C75A88" w:rsidRPr="000D3AFB" w:rsidRDefault="00C75A88" w:rsidP="00C75A88">
            <w:pPr>
              <w:rPr>
                <w:rFonts w:ascii="Calibri" w:eastAsia="Times New Roman" w:hAnsi="Calibri" w:cs="Calibri"/>
                <w:b/>
                <w:bCs/>
                <w:sz w:val="18"/>
                <w:szCs w:val="18"/>
                <w:lang w:eastAsia="bg-BG"/>
              </w:rPr>
            </w:pPr>
            <w:r w:rsidRPr="000D3AFB">
              <w:rPr>
                <w:rFonts w:ascii="Calibri" w:eastAsia="Times New Roman" w:hAnsi="Calibri" w:cs="Calibri"/>
                <w:b/>
                <w:bCs/>
                <w:sz w:val="18"/>
                <w:szCs w:val="18"/>
                <w:lang w:eastAsia="bg-BG"/>
              </w:rPr>
              <w:t>Обща сума - в хил. лева</w:t>
            </w:r>
          </w:p>
        </w:tc>
        <w:tc>
          <w:tcPr>
            <w:tcW w:w="1355" w:type="dxa"/>
            <w:tcBorders>
              <w:top w:val="single" w:sz="4" w:space="0" w:color="auto"/>
              <w:left w:val="nil"/>
              <w:bottom w:val="single" w:sz="4" w:space="0" w:color="auto"/>
              <w:right w:val="nil"/>
            </w:tcBorders>
            <w:shd w:val="clear" w:color="auto" w:fill="auto"/>
            <w:noWrap/>
            <w:vAlign w:val="bottom"/>
            <w:hideMark/>
          </w:tcPr>
          <w:p w:rsidR="00C75A88" w:rsidRPr="000D3AFB" w:rsidRDefault="00C75A88" w:rsidP="00C75A88">
            <w:pPr>
              <w:jc w:val="right"/>
              <w:rPr>
                <w:rFonts w:ascii="Calibri" w:eastAsia="Times New Roman" w:hAnsi="Calibri" w:cs="Calibri"/>
                <w:b/>
                <w:bCs/>
                <w:sz w:val="18"/>
                <w:szCs w:val="18"/>
                <w:lang w:eastAsia="bg-BG"/>
              </w:rPr>
            </w:pPr>
            <w:r w:rsidRPr="000D3AFB">
              <w:rPr>
                <w:rFonts w:ascii="Calibri" w:eastAsia="Times New Roman" w:hAnsi="Calibri" w:cs="Calibri"/>
                <w:b/>
                <w:bCs/>
                <w:sz w:val="18"/>
                <w:szCs w:val="18"/>
                <w:lang w:eastAsia="bg-BG"/>
              </w:rPr>
              <w:t>69 108</w:t>
            </w:r>
          </w:p>
        </w:tc>
        <w:tc>
          <w:tcPr>
            <w:tcW w:w="1182" w:type="dxa"/>
            <w:tcBorders>
              <w:top w:val="single" w:sz="4" w:space="0" w:color="auto"/>
              <w:left w:val="nil"/>
              <w:bottom w:val="single" w:sz="4" w:space="0" w:color="auto"/>
              <w:right w:val="nil"/>
            </w:tcBorders>
            <w:shd w:val="clear" w:color="auto" w:fill="auto"/>
            <w:noWrap/>
            <w:vAlign w:val="bottom"/>
            <w:hideMark/>
          </w:tcPr>
          <w:p w:rsidR="00C75A88" w:rsidRPr="000D3AFB" w:rsidRDefault="00C75A88" w:rsidP="00C75A88">
            <w:pPr>
              <w:jc w:val="right"/>
              <w:rPr>
                <w:rFonts w:ascii="Calibri" w:eastAsia="Times New Roman" w:hAnsi="Calibri" w:cs="Calibri"/>
                <w:b/>
                <w:bCs/>
                <w:sz w:val="18"/>
                <w:szCs w:val="18"/>
                <w:lang w:eastAsia="bg-BG"/>
              </w:rPr>
            </w:pPr>
            <w:r w:rsidRPr="000D3AFB">
              <w:rPr>
                <w:rFonts w:ascii="Calibri" w:eastAsia="Times New Roman" w:hAnsi="Calibri" w:cs="Calibri"/>
                <w:b/>
                <w:bCs/>
                <w:sz w:val="18"/>
                <w:szCs w:val="18"/>
                <w:lang w:eastAsia="bg-BG"/>
              </w:rPr>
              <w:t>10 519</w:t>
            </w:r>
          </w:p>
        </w:tc>
        <w:tc>
          <w:tcPr>
            <w:tcW w:w="1182" w:type="dxa"/>
            <w:tcBorders>
              <w:top w:val="single" w:sz="4" w:space="0" w:color="auto"/>
              <w:left w:val="nil"/>
              <w:bottom w:val="single" w:sz="4" w:space="0" w:color="auto"/>
              <w:right w:val="nil"/>
            </w:tcBorders>
            <w:shd w:val="clear" w:color="auto" w:fill="auto"/>
            <w:noWrap/>
            <w:vAlign w:val="bottom"/>
            <w:hideMark/>
          </w:tcPr>
          <w:p w:rsidR="00C75A88" w:rsidRPr="000D3AFB" w:rsidRDefault="00C75A88" w:rsidP="00C75A88">
            <w:pPr>
              <w:jc w:val="right"/>
              <w:rPr>
                <w:rFonts w:ascii="Calibri" w:eastAsia="Times New Roman" w:hAnsi="Calibri" w:cs="Calibri"/>
                <w:b/>
                <w:bCs/>
                <w:sz w:val="18"/>
                <w:szCs w:val="18"/>
                <w:lang w:eastAsia="bg-BG"/>
              </w:rPr>
            </w:pPr>
            <w:r w:rsidRPr="000D3AFB">
              <w:rPr>
                <w:rFonts w:ascii="Calibri" w:eastAsia="Times New Roman" w:hAnsi="Calibri" w:cs="Calibri"/>
                <w:b/>
                <w:bCs/>
                <w:sz w:val="18"/>
                <w:szCs w:val="18"/>
                <w:lang w:eastAsia="bg-BG"/>
              </w:rPr>
              <w:t>960</w:t>
            </w:r>
          </w:p>
        </w:tc>
        <w:tc>
          <w:tcPr>
            <w:tcW w:w="1136" w:type="dxa"/>
            <w:tcBorders>
              <w:top w:val="single" w:sz="4" w:space="0" w:color="auto"/>
              <w:left w:val="nil"/>
              <w:bottom w:val="single" w:sz="4" w:space="0" w:color="auto"/>
              <w:right w:val="nil"/>
            </w:tcBorders>
            <w:shd w:val="clear" w:color="auto" w:fill="auto"/>
            <w:noWrap/>
            <w:vAlign w:val="bottom"/>
            <w:hideMark/>
          </w:tcPr>
          <w:p w:rsidR="00C75A88" w:rsidRPr="000D3AFB" w:rsidRDefault="00C75A88" w:rsidP="00C75A88">
            <w:pPr>
              <w:jc w:val="right"/>
              <w:rPr>
                <w:rFonts w:ascii="Calibri" w:eastAsia="Times New Roman" w:hAnsi="Calibri" w:cs="Calibri"/>
                <w:b/>
                <w:bCs/>
                <w:sz w:val="18"/>
                <w:szCs w:val="18"/>
                <w:lang w:eastAsia="bg-BG"/>
              </w:rPr>
            </w:pPr>
            <w:r w:rsidRPr="000D3AFB">
              <w:rPr>
                <w:rFonts w:ascii="Calibri" w:eastAsia="Times New Roman" w:hAnsi="Calibri" w:cs="Calibri"/>
                <w:b/>
                <w:bCs/>
                <w:sz w:val="18"/>
                <w:szCs w:val="18"/>
                <w:lang w:eastAsia="bg-BG"/>
              </w:rPr>
              <w:t>10 366</w:t>
            </w:r>
          </w:p>
        </w:tc>
        <w:tc>
          <w:tcPr>
            <w:tcW w:w="1279" w:type="dxa"/>
            <w:tcBorders>
              <w:top w:val="single" w:sz="4" w:space="0" w:color="auto"/>
              <w:left w:val="nil"/>
              <w:bottom w:val="single" w:sz="4" w:space="0" w:color="auto"/>
              <w:right w:val="single" w:sz="4" w:space="0" w:color="auto"/>
            </w:tcBorders>
            <w:shd w:val="clear" w:color="auto" w:fill="auto"/>
            <w:noWrap/>
            <w:vAlign w:val="bottom"/>
            <w:hideMark/>
          </w:tcPr>
          <w:p w:rsidR="00C75A88" w:rsidRPr="000D3AFB" w:rsidRDefault="00C75A88" w:rsidP="00C75A88">
            <w:pPr>
              <w:jc w:val="right"/>
              <w:rPr>
                <w:rFonts w:ascii="Calibri" w:eastAsia="Times New Roman" w:hAnsi="Calibri" w:cs="Calibri"/>
                <w:b/>
                <w:bCs/>
                <w:sz w:val="18"/>
                <w:szCs w:val="18"/>
                <w:lang w:eastAsia="bg-BG"/>
              </w:rPr>
            </w:pPr>
            <w:r w:rsidRPr="000D3AFB">
              <w:rPr>
                <w:rFonts w:ascii="Calibri" w:eastAsia="Times New Roman" w:hAnsi="Calibri" w:cs="Calibri"/>
                <w:b/>
                <w:bCs/>
                <w:sz w:val="18"/>
                <w:szCs w:val="18"/>
                <w:lang w:eastAsia="bg-BG"/>
              </w:rPr>
              <w:t>47 263</w:t>
            </w:r>
          </w:p>
        </w:tc>
      </w:tr>
    </w:tbl>
    <w:p w:rsidR="00C75A88" w:rsidRDefault="00C75A88" w:rsidP="00C75A88">
      <w:pPr>
        <w:shd w:val="clear" w:color="auto" w:fill="FFFFFF"/>
        <w:spacing w:after="120"/>
        <w:jc w:val="both"/>
        <w:rPr>
          <w:highlight w:val="yellow"/>
          <w:lang w:val="en-US"/>
        </w:rPr>
      </w:pPr>
    </w:p>
    <w:p w:rsidR="00C75A88" w:rsidRPr="000D3AFB" w:rsidRDefault="00C75A88" w:rsidP="00C75A88">
      <w:pPr>
        <w:shd w:val="clear" w:color="auto" w:fill="FFFFFF"/>
        <w:spacing w:after="120"/>
        <w:jc w:val="both"/>
      </w:pPr>
      <w:r w:rsidRPr="000D3AFB">
        <w:t>Задълженията към доставчици са разпределени както следва: до 3 месеца – 10 519 хил. лева или 15%; до 6 месеца – 960 хил. лева или 1%; до 1 година –10 366 хил. лева или 15%; над 1 година 47 263 хил. лева или 68%.</w:t>
      </w:r>
    </w:p>
    <w:p w:rsidR="00C75A88" w:rsidRPr="000A73FE" w:rsidRDefault="00C75A88" w:rsidP="00C75A88">
      <w:pPr>
        <w:shd w:val="clear" w:color="auto" w:fill="FFFFFF"/>
        <w:spacing w:after="120"/>
        <w:jc w:val="both"/>
      </w:pPr>
      <w:r w:rsidRPr="000A73FE">
        <w:t>Задълженията към чужди ж.п. администрации са в размер на 3 847 хил. лева. Най-големи задължения дружеството има към Хърватска – 911 хил. лева и Германия – 674 хил. лева.</w:t>
      </w:r>
    </w:p>
    <w:p w:rsidR="00C75A88" w:rsidRPr="000A73FE" w:rsidRDefault="00C75A88" w:rsidP="00C75A88">
      <w:pPr>
        <w:jc w:val="both"/>
        <w:rPr>
          <w:i/>
          <w:lang w:val="en-US"/>
        </w:rPr>
      </w:pPr>
    </w:p>
    <w:p w:rsidR="00C75A88" w:rsidRDefault="00C75A88" w:rsidP="00C75A88">
      <w:pPr>
        <w:rPr>
          <w:rFonts w:ascii="Arial" w:hAnsi="Arial" w:cs="Arial"/>
          <w:b/>
          <w:color w:val="0000CC"/>
        </w:rPr>
      </w:pPr>
      <w:r>
        <w:rPr>
          <w:rFonts w:ascii="Arial" w:hAnsi="Arial" w:cs="Arial"/>
          <w:b/>
          <w:color w:val="0000CC"/>
        </w:rPr>
        <w:br w:type="page"/>
      </w:r>
    </w:p>
    <w:p w:rsidR="00C75A88" w:rsidRDefault="00C75A88" w:rsidP="00C75A88">
      <w:pPr>
        <w:spacing w:after="120"/>
        <w:jc w:val="both"/>
        <w:rPr>
          <w:rFonts w:ascii="Arial" w:hAnsi="Arial" w:cs="Arial"/>
          <w:b/>
          <w:color w:val="0000CC"/>
        </w:rPr>
      </w:pPr>
    </w:p>
    <w:p w:rsidR="00C75A88" w:rsidRPr="00DE0C77" w:rsidRDefault="00C75A88" w:rsidP="00C75A88">
      <w:pPr>
        <w:numPr>
          <w:ilvl w:val="0"/>
          <w:numId w:val="1"/>
        </w:numPr>
        <w:spacing w:after="120"/>
        <w:ind w:hanging="181"/>
        <w:jc w:val="both"/>
        <w:rPr>
          <w:rFonts w:ascii="Arial" w:hAnsi="Arial" w:cs="Arial"/>
          <w:b/>
          <w:color w:val="0000CC"/>
        </w:rPr>
      </w:pPr>
      <w:r w:rsidRPr="00DE0C77">
        <w:rPr>
          <w:rFonts w:ascii="Arial" w:hAnsi="Arial" w:cs="Arial"/>
          <w:b/>
          <w:color w:val="0000CC"/>
        </w:rPr>
        <w:t>Ремонтна дейност</w:t>
      </w:r>
    </w:p>
    <w:p w:rsidR="00C75A88" w:rsidRPr="008120DB" w:rsidRDefault="00C75A88" w:rsidP="00C75A88">
      <w:pPr>
        <w:numPr>
          <w:ilvl w:val="0"/>
          <w:numId w:val="13"/>
        </w:numPr>
        <w:spacing w:after="120"/>
        <w:rPr>
          <w:b/>
          <w:i/>
        </w:rPr>
      </w:pPr>
      <w:r w:rsidRPr="008120DB">
        <w:rPr>
          <w:b/>
          <w:i/>
        </w:rPr>
        <w:t xml:space="preserve">Ремонт на товарни вагони </w:t>
      </w:r>
    </w:p>
    <w:p w:rsidR="00C75A88" w:rsidRDefault="00C75A88" w:rsidP="00C75A88">
      <w:pPr>
        <w:spacing w:after="120"/>
        <w:jc w:val="both"/>
        <w:rPr>
          <w:b/>
        </w:rPr>
      </w:pPr>
      <w:r w:rsidRPr="001016EA">
        <w:rPr>
          <w:b/>
        </w:rPr>
        <w:t xml:space="preserve">Изпълнение на БП за текущ ремонт на товарни вагони </w:t>
      </w:r>
    </w:p>
    <w:p w:rsidR="00C75A88" w:rsidRDefault="00C75A88" w:rsidP="00C75A88">
      <w:pPr>
        <w:spacing w:after="120"/>
        <w:jc w:val="both"/>
        <w:rPr>
          <w:b/>
        </w:rPr>
      </w:pPr>
    </w:p>
    <w:tbl>
      <w:tblPr>
        <w:tblpPr w:leftFromText="141" w:rightFromText="141" w:vertAnchor="text" w:horzAnchor="margin" w:tblpXSpec="center" w:tblpY="-50"/>
        <w:tblW w:w="10843" w:type="dxa"/>
        <w:tblCellMar>
          <w:left w:w="70" w:type="dxa"/>
          <w:right w:w="70" w:type="dxa"/>
        </w:tblCellMar>
        <w:tblLook w:val="04A0" w:firstRow="1" w:lastRow="0" w:firstColumn="1" w:lastColumn="0" w:noHBand="0" w:noVBand="1"/>
      </w:tblPr>
      <w:tblGrid>
        <w:gridCol w:w="2570"/>
        <w:gridCol w:w="627"/>
        <w:gridCol w:w="1082"/>
        <w:gridCol w:w="620"/>
        <w:gridCol w:w="1069"/>
        <w:gridCol w:w="620"/>
        <w:gridCol w:w="1069"/>
        <w:gridCol w:w="659"/>
        <w:gridCol w:w="1060"/>
        <w:gridCol w:w="659"/>
        <w:gridCol w:w="808"/>
      </w:tblGrid>
      <w:tr w:rsidR="00C75A88" w:rsidRPr="0001493E" w:rsidTr="00C75A88">
        <w:trPr>
          <w:trHeight w:val="270"/>
        </w:trPr>
        <w:tc>
          <w:tcPr>
            <w:tcW w:w="2570" w:type="dxa"/>
            <w:vMerge w:val="restart"/>
            <w:tcBorders>
              <w:top w:val="single" w:sz="8" w:space="0" w:color="auto"/>
              <w:left w:val="single" w:sz="8" w:space="0" w:color="auto"/>
              <w:bottom w:val="single" w:sz="8" w:space="0" w:color="000000"/>
              <w:right w:val="single" w:sz="8" w:space="0" w:color="auto"/>
            </w:tcBorders>
            <w:shd w:val="clear" w:color="auto" w:fill="auto"/>
            <w:noWrap/>
            <w:vAlign w:val="bottom"/>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Вид на вагона</w:t>
            </w:r>
          </w:p>
        </w:tc>
        <w:tc>
          <w:tcPr>
            <w:tcW w:w="1709" w:type="dxa"/>
            <w:gridSpan w:val="2"/>
            <w:tcBorders>
              <w:top w:val="single" w:sz="8" w:space="0" w:color="auto"/>
              <w:left w:val="nil"/>
              <w:bottom w:val="nil"/>
              <w:right w:val="single" w:sz="8" w:space="0" w:color="000000"/>
            </w:tcBorders>
            <w:shd w:val="clear" w:color="auto" w:fill="auto"/>
            <w:noWrap/>
            <w:vAlign w:val="bottom"/>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Отчет</w:t>
            </w:r>
          </w:p>
        </w:tc>
        <w:tc>
          <w:tcPr>
            <w:tcW w:w="1689" w:type="dxa"/>
            <w:gridSpan w:val="2"/>
            <w:tcBorders>
              <w:top w:val="single" w:sz="8" w:space="0" w:color="auto"/>
              <w:left w:val="nil"/>
              <w:bottom w:val="nil"/>
              <w:right w:val="single" w:sz="8" w:space="0" w:color="000000"/>
            </w:tcBorders>
            <w:shd w:val="clear" w:color="auto" w:fill="auto"/>
            <w:noWrap/>
            <w:vAlign w:val="bottom"/>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Бюджет</w:t>
            </w:r>
          </w:p>
        </w:tc>
        <w:tc>
          <w:tcPr>
            <w:tcW w:w="1689" w:type="dxa"/>
            <w:gridSpan w:val="2"/>
            <w:tcBorders>
              <w:top w:val="single" w:sz="8" w:space="0" w:color="auto"/>
              <w:left w:val="nil"/>
              <w:bottom w:val="nil"/>
              <w:right w:val="single" w:sz="8" w:space="0" w:color="000000"/>
            </w:tcBorders>
            <w:shd w:val="clear" w:color="auto" w:fill="auto"/>
            <w:noWrap/>
            <w:vAlign w:val="bottom"/>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Отчет</w:t>
            </w:r>
          </w:p>
        </w:tc>
        <w:tc>
          <w:tcPr>
            <w:tcW w:w="3186" w:type="dxa"/>
            <w:gridSpan w:val="4"/>
            <w:tcBorders>
              <w:top w:val="single" w:sz="8" w:space="0" w:color="auto"/>
              <w:left w:val="nil"/>
              <w:bottom w:val="single" w:sz="8" w:space="0" w:color="auto"/>
              <w:right w:val="single" w:sz="8" w:space="0" w:color="000000"/>
            </w:tcBorders>
            <w:shd w:val="clear" w:color="auto" w:fill="auto"/>
            <w:noWrap/>
            <w:vAlign w:val="bottom"/>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изпълн. +/-</w:t>
            </w:r>
          </w:p>
        </w:tc>
      </w:tr>
      <w:tr w:rsidR="00C75A88" w:rsidRPr="0001493E" w:rsidTr="00C75A88">
        <w:trPr>
          <w:trHeight w:val="270"/>
        </w:trPr>
        <w:tc>
          <w:tcPr>
            <w:tcW w:w="2570" w:type="dxa"/>
            <w:vMerge/>
            <w:tcBorders>
              <w:top w:val="single" w:sz="8" w:space="0" w:color="auto"/>
              <w:left w:val="single" w:sz="8" w:space="0" w:color="auto"/>
              <w:bottom w:val="single" w:sz="8" w:space="0" w:color="000000"/>
              <w:right w:val="single" w:sz="8" w:space="0" w:color="auto"/>
            </w:tcBorders>
            <w:vAlign w:val="center"/>
            <w:hideMark/>
          </w:tcPr>
          <w:p w:rsidR="00C75A88" w:rsidRPr="00DD66C2" w:rsidRDefault="00C75A88" w:rsidP="00C75A88">
            <w:pPr>
              <w:rPr>
                <w:rFonts w:asciiTheme="minorHAnsi" w:eastAsia="Times New Roman" w:hAnsiTheme="minorHAnsi" w:cstheme="minorHAnsi"/>
                <w:b/>
                <w:bCs/>
                <w:color w:val="000000"/>
                <w:sz w:val="18"/>
                <w:szCs w:val="18"/>
                <w:lang w:eastAsia="bg-BG"/>
              </w:rPr>
            </w:pPr>
          </w:p>
        </w:tc>
        <w:tc>
          <w:tcPr>
            <w:tcW w:w="1709" w:type="dxa"/>
            <w:gridSpan w:val="2"/>
            <w:tcBorders>
              <w:top w:val="nil"/>
              <w:left w:val="nil"/>
              <w:bottom w:val="single" w:sz="8" w:space="0" w:color="auto"/>
              <w:right w:val="single" w:sz="8" w:space="0" w:color="000000"/>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 xml:space="preserve"> 2017 г.</w:t>
            </w:r>
          </w:p>
        </w:tc>
        <w:tc>
          <w:tcPr>
            <w:tcW w:w="1689" w:type="dxa"/>
            <w:gridSpan w:val="2"/>
            <w:tcBorders>
              <w:top w:val="nil"/>
              <w:left w:val="nil"/>
              <w:bottom w:val="single" w:sz="8" w:space="0" w:color="auto"/>
              <w:right w:val="single" w:sz="8" w:space="0" w:color="000000"/>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 xml:space="preserve"> 2017 г.</w:t>
            </w:r>
          </w:p>
        </w:tc>
        <w:tc>
          <w:tcPr>
            <w:tcW w:w="1689" w:type="dxa"/>
            <w:gridSpan w:val="2"/>
            <w:tcBorders>
              <w:top w:val="nil"/>
              <w:left w:val="nil"/>
              <w:bottom w:val="single" w:sz="8" w:space="0" w:color="auto"/>
              <w:right w:val="single" w:sz="8" w:space="0" w:color="000000"/>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 xml:space="preserve"> 2016 г.</w:t>
            </w:r>
          </w:p>
        </w:tc>
        <w:tc>
          <w:tcPr>
            <w:tcW w:w="1719" w:type="dxa"/>
            <w:gridSpan w:val="2"/>
            <w:tcBorders>
              <w:top w:val="single" w:sz="8" w:space="0" w:color="auto"/>
              <w:left w:val="nil"/>
              <w:bottom w:val="single" w:sz="8" w:space="0" w:color="auto"/>
              <w:right w:val="single" w:sz="8" w:space="0" w:color="000000"/>
            </w:tcBorders>
            <w:shd w:val="clear" w:color="auto" w:fill="auto"/>
            <w:vAlign w:val="bottom"/>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отчет/бюджет</w:t>
            </w:r>
          </w:p>
        </w:tc>
        <w:tc>
          <w:tcPr>
            <w:tcW w:w="1467" w:type="dxa"/>
            <w:gridSpan w:val="2"/>
            <w:tcBorders>
              <w:top w:val="single" w:sz="8" w:space="0" w:color="auto"/>
              <w:left w:val="nil"/>
              <w:bottom w:val="single" w:sz="8" w:space="0" w:color="auto"/>
              <w:right w:val="single" w:sz="8" w:space="0" w:color="000000"/>
            </w:tcBorders>
            <w:shd w:val="clear" w:color="auto" w:fill="auto"/>
            <w:vAlign w:val="bottom"/>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 xml:space="preserve">отчет /отчет </w:t>
            </w:r>
          </w:p>
        </w:tc>
      </w:tr>
      <w:tr w:rsidR="00C75A88" w:rsidRPr="0001493E" w:rsidTr="00C75A88">
        <w:trPr>
          <w:trHeight w:val="270"/>
        </w:trPr>
        <w:tc>
          <w:tcPr>
            <w:tcW w:w="2570" w:type="dxa"/>
            <w:vMerge/>
            <w:tcBorders>
              <w:top w:val="single" w:sz="8" w:space="0" w:color="auto"/>
              <w:left w:val="single" w:sz="8" w:space="0" w:color="auto"/>
              <w:bottom w:val="single" w:sz="8" w:space="0" w:color="000000"/>
              <w:right w:val="single" w:sz="8" w:space="0" w:color="auto"/>
            </w:tcBorders>
            <w:vAlign w:val="center"/>
            <w:hideMark/>
          </w:tcPr>
          <w:p w:rsidR="00C75A88" w:rsidRPr="00DD66C2" w:rsidRDefault="00C75A88" w:rsidP="00C75A88">
            <w:pPr>
              <w:rPr>
                <w:rFonts w:asciiTheme="minorHAnsi" w:eastAsia="Times New Roman" w:hAnsiTheme="minorHAnsi" w:cstheme="minorHAnsi"/>
                <w:b/>
                <w:bCs/>
                <w:color w:val="000000"/>
                <w:sz w:val="18"/>
                <w:szCs w:val="18"/>
                <w:lang w:eastAsia="bg-BG"/>
              </w:rPr>
            </w:pPr>
          </w:p>
        </w:tc>
        <w:tc>
          <w:tcPr>
            <w:tcW w:w="627" w:type="dxa"/>
            <w:tcBorders>
              <w:top w:val="nil"/>
              <w:left w:val="nil"/>
              <w:bottom w:val="single" w:sz="8"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брой</w:t>
            </w:r>
          </w:p>
        </w:tc>
        <w:tc>
          <w:tcPr>
            <w:tcW w:w="1082" w:type="dxa"/>
            <w:tcBorders>
              <w:top w:val="nil"/>
              <w:left w:val="nil"/>
              <w:bottom w:val="single" w:sz="8" w:space="0" w:color="auto"/>
              <w:right w:val="nil"/>
            </w:tcBorders>
            <w:shd w:val="clear" w:color="auto" w:fill="auto"/>
            <w:noWrap/>
            <w:vAlign w:val="bottom"/>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ст/т</w:t>
            </w:r>
          </w:p>
        </w:tc>
        <w:tc>
          <w:tcPr>
            <w:tcW w:w="620" w:type="dxa"/>
            <w:tcBorders>
              <w:top w:val="nil"/>
              <w:left w:val="single" w:sz="8" w:space="0" w:color="auto"/>
              <w:bottom w:val="single" w:sz="8" w:space="0" w:color="auto"/>
              <w:right w:val="single" w:sz="8" w:space="0" w:color="auto"/>
            </w:tcBorders>
            <w:shd w:val="clear" w:color="auto" w:fill="auto"/>
            <w:noWrap/>
            <w:vAlign w:val="bottom"/>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брой</w:t>
            </w:r>
          </w:p>
        </w:tc>
        <w:tc>
          <w:tcPr>
            <w:tcW w:w="1069" w:type="dxa"/>
            <w:tcBorders>
              <w:top w:val="nil"/>
              <w:left w:val="nil"/>
              <w:bottom w:val="single" w:sz="8" w:space="0" w:color="auto"/>
              <w:right w:val="single" w:sz="8" w:space="0" w:color="auto"/>
            </w:tcBorders>
            <w:shd w:val="clear" w:color="auto" w:fill="auto"/>
            <w:noWrap/>
            <w:vAlign w:val="bottom"/>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ст/т</w:t>
            </w:r>
          </w:p>
        </w:tc>
        <w:tc>
          <w:tcPr>
            <w:tcW w:w="620" w:type="dxa"/>
            <w:tcBorders>
              <w:top w:val="nil"/>
              <w:left w:val="nil"/>
              <w:bottom w:val="single" w:sz="8" w:space="0" w:color="auto"/>
              <w:right w:val="single" w:sz="8" w:space="0" w:color="auto"/>
            </w:tcBorders>
            <w:shd w:val="clear" w:color="auto" w:fill="auto"/>
            <w:noWrap/>
            <w:vAlign w:val="bottom"/>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брой</w:t>
            </w:r>
          </w:p>
        </w:tc>
        <w:tc>
          <w:tcPr>
            <w:tcW w:w="1069" w:type="dxa"/>
            <w:tcBorders>
              <w:top w:val="nil"/>
              <w:left w:val="nil"/>
              <w:bottom w:val="single" w:sz="8" w:space="0" w:color="auto"/>
              <w:right w:val="single" w:sz="8" w:space="0" w:color="auto"/>
            </w:tcBorders>
            <w:shd w:val="clear" w:color="auto" w:fill="auto"/>
            <w:noWrap/>
            <w:vAlign w:val="bottom"/>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ст/т</w:t>
            </w:r>
          </w:p>
        </w:tc>
        <w:tc>
          <w:tcPr>
            <w:tcW w:w="659" w:type="dxa"/>
            <w:tcBorders>
              <w:top w:val="nil"/>
              <w:left w:val="nil"/>
              <w:bottom w:val="single" w:sz="8" w:space="0" w:color="auto"/>
              <w:right w:val="single" w:sz="8" w:space="0" w:color="auto"/>
            </w:tcBorders>
            <w:shd w:val="clear" w:color="auto" w:fill="auto"/>
            <w:noWrap/>
            <w:vAlign w:val="bottom"/>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брой</w:t>
            </w:r>
          </w:p>
        </w:tc>
        <w:tc>
          <w:tcPr>
            <w:tcW w:w="1060" w:type="dxa"/>
            <w:tcBorders>
              <w:top w:val="nil"/>
              <w:left w:val="nil"/>
              <w:bottom w:val="single" w:sz="8" w:space="0" w:color="auto"/>
              <w:right w:val="single" w:sz="8" w:space="0" w:color="auto"/>
            </w:tcBorders>
            <w:shd w:val="clear" w:color="auto" w:fill="auto"/>
            <w:noWrap/>
            <w:vAlign w:val="bottom"/>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ст/т</w:t>
            </w:r>
          </w:p>
        </w:tc>
        <w:tc>
          <w:tcPr>
            <w:tcW w:w="659" w:type="dxa"/>
            <w:tcBorders>
              <w:top w:val="nil"/>
              <w:left w:val="nil"/>
              <w:bottom w:val="single" w:sz="8" w:space="0" w:color="auto"/>
              <w:right w:val="single" w:sz="8" w:space="0" w:color="auto"/>
            </w:tcBorders>
            <w:shd w:val="clear" w:color="auto" w:fill="auto"/>
            <w:noWrap/>
            <w:vAlign w:val="bottom"/>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брой</w:t>
            </w:r>
          </w:p>
        </w:tc>
        <w:tc>
          <w:tcPr>
            <w:tcW w:w="808" w:type="dxa"/>
            <w:tcBorders>
              <w:top w:val="nil"/>
              <w:left w:val="nil"/>
              <w:bottom w:val="single" w:sz="8" w:space="0" w:color="auto"/>
              <w:right w:val="single" w:sz="8" w:space="0" w:color="auto"/>
            </w:tcBorders>
            <w:shd w:val="clear" w:color="auto" w:fill="auto"/>
            <w:noWrap/>
            <w:vAlign w:val="bottom"/>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ст/т</w:t>
            </w:r>
          </w:p>
        </w:tc>
      </w:tr>
      <w:tr w:rsidR="00C75A88" w:rsidRPr="0001493E" w:rsidTr="00C75A88">
        <w:trPr>
          <w:trHeight w:val="255"/>
        </w:trPr>
        <w:tc>
          <w:tcPr>
            <w:tcW w:w="2570" w:type="dxa"/>
            <w:tcBorders>
              <w:top w:val="nil"/>
              <w:left w:val="single" w:sz="8" w:space="0" w:color="auto"/>
              <w:bottom w:val="nil"/>
              <w:right w:val="nil"/>
            </w:tcBorders>
            <w:shd w:val="clear" w:color="auto" w:fill="auto"/>
            <w:noWrap/>
            <w:vAlign w:val="bottom"/>
            <w:hideMark/>
          </w:tcPr>
          <w:p w:rsidR="00C75A88" w:rsidRPr="00DD66C2" w:rsidRDefault="00C75A88" w:rsidP="00C75A88">
            <w:pPr>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G  покрити</w:t>
            </w:r>
          </w:p>
        </w:tc>
        <w:tc>
          <w:tcPr>
            <w:tcW w:w="627" w:type="dxa"/>
            <w:tcBorders>
              <w:top w:val="nil"/>
              <w:left w:val="single" w:sz="8" w:space="0" w:color="auto"/>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325</w:t>
            </w:r>
          </w:p>
        </w:tc>
        <w:tc>
          <w:tcPr>
            <w:tcW w:w="108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109 919</w:t>
            </w:r>
          </w:p>
        </w:tc>
        <w:tc>
          <w:tcPr>
            <w:tcW w:w="620"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780</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271 440</w:t>
            </w:r>
          </w:p>
        </w:tc>
        <w:tc>
          <w:tcPr>
            <w:tcW w:w="62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350</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96 726</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-455</w:t>
            </w:r>
          </w:p>
        </w:tc>
        <w:tc>
          <w:tcPr>
            <w:tcW w:w="106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-161 521</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-25</w:t>
            </w:r>
          </w:p>
        </w:tc>
        <w:tc>
          <w:tcPr>
            <w:tcW w:w="808"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13 193</w:t>
            </w:r>
          </w:p>
        </w:tc>
      </w:tr>
      <w:tr w:rsidR="00C75A88" w:rsidRPr="0001493E" w:rsidTr="00C75A88">
        <w:trPr>
          <w:trHeight w:val="255"/>
        </w:trPr>
        <w:tc>
          <w:tcPr>
            <w:tcW w:w="2570" w:type="dxa"/>
            <w:tcBorders>
              <w:top w:val="nil"/>
              <w:left w:val="single" w:sz="8" w:space="0" w:color="auto"/>
              <w:bottom w:val="nil"/>
              <w:right w:val="nil"/>
            </w:tcBorders>
            <w:shd w:val="clear" w:color="auto" w:fill="auto"/>
            <w:noWrap/>
            <w:vAlign w:val="bottom"/>
            <w:hideMark/>
          </w:tcPr>
          <w:p w:rsidR="00C75A88" w:rsidRPr="00DD66C2" w:rsidRDefault="00C75A88" w:rsidP="00C75A88">
            <w:pPr>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Е   открити</w:t>
            </w:r>
          </w:p>
        </w:tc>
        <w:tc>
          <w:tcPr>
            <w:tcW w:w="627" w:type="dxa"/>
            <w:tcBorders>
              <w:top w:val="nil"/>
              <w:left w:val="single" w:sz="8" w:space="0" w:color="auto"/>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4 857</w:t>
            </w:r>
          </w:p>
        </w:tc>
        <w:tc>
          <w:tcPr>
            <w:tcW w:w="108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1 187 332</w:t>
            </w:r>
          </w:p>
        </w:tc>
        <w:tc>
          <w:tcPr>
            <w:tcW w:w="620"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4 440</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1 585 080</w:t>
            </w:r>
          </w:p>
        </w:tc>
        <w:tc>
          <w:tcPr>
            <w:tcW w:w="62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4 294</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908 864</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417</w:t>
            </w:r>
          </w:p>
        </w:tc>
        <w:tc>
          <w:tcPr>
            <w:tcW w:w="106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-397 748</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563</w:t>
            </w:r>
          </w:p>
        </w:tc>
        <w:tc>
          <w:tcPr>
            <w:tcW w:w="808"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278 468</w:t>
            </w:r>
          </w:p>
        </w:tc>
      </w:tr>
      <w:tr w:rsidR="00C75A88" w:rsidRPr="0001493E" w:rsidTr="00C75A88">
        <w:trPr>
          <w:trHeight w:val="255"/>
        </w:trPr>
        <w:tc>
          <w:tcPr>
            <w:tcW w:w="2570" w:type="dxa"/>
            <w:tcBorders>
              <w:top w:val="nil"/>
              <w:left w:val="single" w:sz="8" w:space="0" w:color="auto"/>
              <w:bottom w:val="nil"/>
              <w:right w:val="nil"/>
            </w:tcBorders>
            <w:shd w:val="clear" w:color="auto" w:fill="auto"/>
            <w:noWrap/>
            <w:vAlign w:val="bottom"/>
            <w:hideMark/>
          </w:tcPr>
          <w:p w:rsidR="00C75A88" w:rsidRPr="00DD66C2" w:rsidRDefault="00C75A88" w:rsidP="00C75A88">
            <w:pPr>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R платформени</w:t>
            </w:r>
          </w:p>
        </w:tc>
        <w:tc>
          <w:tcPr>
            <w:tcW w:w="627" w:type="dxa"/>
            <w:tcBorders>
              <w:top w:val="nil"/>
              <w:left w:val="single" w:sz="8" w:space="0" w:color="auto"/>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1 049</w:t>
            </w:r>
          </w:p>
        </w:tc>
        <w:tc>
          <w:tcPr>
            <w:tcW w:w="108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309 802</w:t>
            </w:r>
          </w:p>
        </w:tc>
        <w:tc>
          <w:tcPr>
            <w:tcW w:w="620"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984</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341 448</w:t>
            </w:r>
          </w:p>
        </w:tc>
        <w:tc>
          <w:tcPr>
            <w:tcW w:w="62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897</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232 617</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65</w:t>
            </w:r>
          </w:p>
        </w:tc>
        <w:tc>
          <w:tcPr>
            <w:tcW w:w="106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-31 646</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152</w:t>
            </w:r>
          </w:p>
        </w:tc>
        <w:tc>
          <w:tcPr>
            <w:tcW w:w="808"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77 185</w:t>
            </w:r>
          </w:p>
        </w:tc>
      </w:tr>
      <w:tr w:rsidR="00C75A88" w:rsidRPr="0001493E" w:rsidTr="00C75A88">
        <w:trPr>
          <w:trHeight w:val="255"/>
        </w:trPr>
        <w:tc>
          <w:tcPr>
            <w:tcW w:w="2570" w:type="dxa"/>
            <w:tcBorders>
              <w:top w:val="nil"/>
              <w:left w:val="single" w:sz="8" w:space="0" w:color="auto"/>
              <w:bottom w:val="nil"/>
              <w:right w:val="nil"/>
            </w:tcBorders>
            <w:shd w:val="clear" w:color="auto" w:fill="auto"/>
            <w:noWrap/>
            <w:vAlign w:val="bottom"/>
            <w:hideMark/>
          </w:tcPr>
          <w:p w:rsidR="00C75A88" w:rsidRPr="00DD66C2" w:rsidRDefault="00C75A88" w:rsidP="00C75A88">
            <w:pPr>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S платформени, тежковози</w:t>
            </w:r>
          </w:p>
        </w:tc>
        <w:tc>
          <w:tcPr>
            <w:tcW w:w="627" w:type="dxa"/>
            <w:tcBorders>
              <w:top w:val="nil"/>
              <w:left w:val="single" w:sz="8" w:space="0" w:color="auto"/>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172</w:t>
            </w:r>
          </w:p>
        </w:tc>
        <w:tc>
          <w:tcPr>
            <w:tcW w:w="108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63 371</w:t>
            </w:r>
          </w:p>
        </w:tc>
        <w:tc>
          <w:tcPr>
            <w:tcW w:w="620"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204</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70 380</w:t>
            </w:r>
          </w:p>
        </w:tc>
        <w:tc>
          <w:tcPr>
            <w:tcW w:w="62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187</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58 628</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-32</w:t>
            </w:r>
          </w:p>
        </w:tc>
        <w:tc>
          <w:tcPr>
            <w:tcW w:w="106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-7 009</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-15</w:t>
            </w:r>
          </w:p>
        </w:tc>
        <w:tc>
          <w:tcPr>
            <w:tcW w:w="808"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4 743</w:t>
            </w:r>
          </w:p>
        </w:tc>
      </w:tr>
      <w:tr w:rsidR="00C75A88" w:rsidRPr="0001493E" w:rsidTr="00C75A88">
        <w:trPr>
          <w:trHeight w:val="255"/>
        </w:trPr>
        <w:tc>
          <w:tcPr>
            <w:tcW w:w="2570" w:type="dxa"/>
            <w:tcBorders>
              <w:top w:val="nil"/>
              <w:left w:val="single" w:sz="8" w:space="0" w:color="auto"/>
              <w:bottom w:val="nil"/>
              <w:right w:val="nil"/>
            </w:tcBorders>
            <w:shd w:val="clear" w:color="auto" w:fill="auto"/>
            <w:noWrap/>
            <w:vAlign w:val="bottom"/>
            <w:hideMark/>
          </w:tcPr>
          <w:p w:rsidR="00C75A88" w:rsidRPr="00DD66C2" w:rsidRDefault="00C75A88" w:rsidP="00C75A88">
            <w:pPr>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F седловидни, хопери</w:t>
            </w:r>
          </w:p>
        </w:tc>
        <w:tc>
          <w:tcPr>
            <w:tcW w:w="627" w:type="dxa"/>
            <w:tcBorders>
              <w:top w:val="nil"/>
              <w:left w:val="single" w:sz="8" w:space="0" w:color="auto"/>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631</w:t>
            </w:r>
          </w:p>
        </w:tc>
        <w:tc>
          <w:tcPr>
            <w:tcW w:w="108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174 219</w:t>
            </w:r>
          </w:p>
        </w:tc>
        <w:tc>
          <w:tcPr>
            <w:tcW w:w="620"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1 116</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454 212</w:t>
            </w:r>
          </w:p>
        </w:tc>
        <w:tc>
          <w:tcPr>
            <w:tcW w:w="62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896</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197 460</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-485</w:t>
            </w:r>
          </w:p>
        </w:tc>
        <w:tc>
          <w:tcPr>
            <w:tcW w:w="106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-279 993</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-265</w:t>
            </w:r>
          </w:p>
        </w:tc>
        <w:tc>
          <w:tcPr>
            <w:tcW w:w="808"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-23 241</w:t>
            </w:r>
          </w:p>
        </w:tc>
      </w:tr>
      <w:tr w:rsidR="00C75A88" w:rsidRPr="0001493E" w:rsidTr="00C75A88">
        <w:trPr>
          <w:trHeight w:val="255"/>
        </w:trPr>
        <w:tc>
          <w:tcPr>
            <w:tcW w:w="2570" w:type="dxa"/>
            <w:tcBorders>
              <w:top w:val="nil"/>
              <w:left w:val="single" w:sz="8" w:space="0" w:color="auto"/>
              <w:bottom w:val="nil"/>
              <w:right w:val="nil"/>
            </w:tcBorders>
            <w:shd w:val="clear" w:color="auto" w:fill="auto"/>
            <w:noWrap/>
            <w:vAlign w:val="bottom"/>
            <w:hideMark/>
          </w:tcPr>
          <w:p w:rsidR="00C75A88" w:rsidRPr="00DD66C2" w:rsidRDefault="00C75A88" w:rsidP="00C75A88">
            <w:pPr>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U зърновози</w:t>
            </w:r>
          </w:p>
        </w:tc>
        <w:tc>
          <w:tcPr>
            <w:tcW w:w="627" w:type="dxa"/>
            <w:tcBorders>
              <w:top w:val="nil"/>
              <w:left w:val="single" w:sz="8" w:space="0" w:color="auto"/>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761</w:t>
            </w:r>
          </w:p>
        </w:tc>
        <w:tc>
          <w:tcPr>
            <w:tcW w:w="108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186 737</w:t>
            </w:r>
          </w:p>
        </w:tc>
        <w:tc>
          <w:tcPr>
            <w:tcW w:w="620"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1 116</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377 208</w:t>
            </w:r>
          </w:p>
        </w:tc>
        <w:tc>
          <w:tcPr>
            <w:tcW w:w="62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958</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307 438</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-355</w:t>
            </w:r>
          </w:p>
        </w:tc>
        <w:tc>
          <w:tcPr>
            <w:tcW w:w="106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-190 471</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-197</w:t>
            </w:r>
          </w:p>
        </w:tc>
        <w:tc>
          <w:tcPr>
            <w:tcW w:w="808"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-120 701</w:t>
            </w:r>
          </w:p>
        </w:tc>
      </w:tr>
      <w:tr w:rsidR="00C75A88" w:rsidRPr="0001493E" w:rsidTr="00C75A88">
        <w:trPr>
          <w:trHeight w:val="255"/>
        </w:trPr>
        <w:tc>
          <w:tcPr>
            <w:tcW w:w="2570" w:type="dxa"/>
            <w:tcBorders>
              <w:top w:val="nil"/>
              <w:left w:val="single" w:sz="8" w:space="0" w:color="auto"/>
              <w:bottom w:val="nil"/>
              <w:right w:val="nil"/>
            </w:tcBorders>
            <w:shd w:val="clear" w:color="auto" w:fill="auto"/>
            <w:noWrap/>
            <w:vAlign w:val="bottom"/>
            <w:hideMark/>
          </w:tcPr>
          <w:p w:rsidR="00C75A88" w:rsidRPr="00DD66C2" w:rsidRDefault="00C75A88" w:rsidP="00C75A88">
            <w:pPr>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Z цистерни</w:t>
            </w:r>
          </w:p>
        </w:tc>
        <w:tc>
          <w:tcPr>
            <w:tcW w:w="627" w:type="dxa"/>
            <w:tcBorders>
              <w:top w:val="nil"/>
              <w:left w:val="single" w:sz="8" w:space="0" w:color="auto"/>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1 084</w:t>
            </w:r>
          </w:p>
        </w:tc>
        <w:tc>
          <w:tcPr>
            <w:tcW w:w="108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336 285</w:t>
            </w:r>
          </w:p>
        </w:tc>
        <w:tc>
          <w:tcPr>
            <w:tcW w:w="620"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348</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138 156</w:t>
            </w:r>
          </w:p>
        </w:tc>
        <w:tc>
          <w:tcPr>
            <w:tcW w:w="62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636</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201 683</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736</w:t>
            </w:r>
          </w:p>
        </w:tc>
        <w:tc>
          <w:tcPr>
            <w:tcW w:w="106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198 129</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448</w:t>
            </w:r>
          </w:p>
        </w:tc>
        <w:tc>
          <w:tcPr>
            <w:tcW w:w="808"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134 602</w:t>
            </w:r>
          </w:p>
        </w:tc>
      </w:tr>
      <w:tr w:rsidR="00C75A88" w:rsidRPr="0001493E" w:rsidTr="00C75A88">
        <w:trPr>
          <w:trHeight w:val="255"/>
        </w:trPr>
        <w:tc>
          <w:tcPr>
            <w:tcW w:w="2570" w:type="dxa"/>
            <w:tcBorders>
              <w:top w:val="nil"/>
              <w:left w:val="single" w:sz="8" w:space="0" w:color="auto"/>
              <w:bottom w:val="nil"/>
              <w:right w:val="nil"/>
            </w:tcBorders>
            <w:shd w:val="clear" w:color="auto" w:fill="auto"/>
            <w:noWrap/>
            <w:vAlign w:val="bottom"/>
            <w:hideMark/>
          </w:tcPr>
          <w:p w:rsidR="00C75A88" w:rsidRPr="00DD66C2" w:rsidRDefault="00C75A88" w:rsidP="00C75A88">
            <w:pPr>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U 932</w:t>
            </w:r>
          </w:p>
        </w:tc>
        <w:tc>
          <w:tcPr>
            <w:tcW w:w="627" w:type="dxa"/>
            <w:tcBorders>
              <w:top w:val="nil"/>
              <w:left w:val="single" w:sz="8" w:space="0" w:color="auto"/>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107</w:t>
            </w:r>
          </w:p>
        </w:tc>
        <w:tc>
          <w:tcPr>
            <w:tcW w:w="108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37 281</w:t>
            </w:r>
          </w:p>
        </w:tc>
        <w:tc>
          <w:tcPr>
            <w:tcW w:w="620"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156</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53 040</w:t>
            </w:r>
          </w:p>
        </w:tc>
        <w:tc>
          <w:tcPr>
            <w:tcW w:w="62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127</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37 636</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-49</w:t>
            </w:r>
          </w:p>
        </w:tc>
        <w:tc>
          <w:tcPr>
            <w:tcW w:w="106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-15 759</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-20</w:t>
            </w:r>
          </w:p>
        </w:tc>
        <w:tc>
          <w:tcPr>
            <w:tcW w:w="808"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-355</w:t>
            </w:r>
          </w:p>
        </w:tc>
      </w:tr>
      <w:tr w:rsidR="00C75A88" w:rsidRPr="0001493E" w:rsidTr="00C75A88">
        <w:trPr>
          <w:trHeight w:val="255"/>
        </w:trPr>
        <w:tc>
          <w:tcPr>
            <w:tcW w:w="2570" w:type="dxa"/>
            <w:tcBorders>
              <w:top w:val="nil"/>
              <w:left w:val="single" w:sz="8" w:space="0" w:color="auto"/>
              <w:bottom w:val="nil"/>
              <w:right w:val="nil"/>
            </w:tcBorders>
            <w:shd w:val="clear" w:color="auto" w:fill="auto"/>
            <w:noWrap/>
            <w:vAlign w:val="bottom"/>
            <w:hideMark/>
          </w:tcPr>
          <w:p w:rsidR="00C75A88" w:rsidRPr="00DD66C2" w:rsidRDefault="00C75A88" w:rsidP="00C75A88">
            <w:pPr>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Н вагони с раздвижени стени</w:t>
            </w:r>
          </w:p>
        </w:tc>
        <w:tc>
          <w:tcPr>
            <w:tcW w:w="627" w:type="dxa"/>
            <w:tcBorders>
              <w:top w:val="nil"/>
              <w:left w:val="single" w:sz="8" w:space="0" w:color="auto"/>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100</w:t>
            </w:r>
          </w:p>
        </w:tc>
        <w:tc>
          <w:tcPr>
            <w:tcW w:w="108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34 094</w:t>
            </w:r>
          </w:p>
        </w:tc>
        <w:tc>
          <w:tcPr>
            <w:tcW w:w="620"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204</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84 660</w:t>
            </w:r>
          </w:p>
        </w:tc>
        <w:tc>
          <w:tcPr>
            <w:tcW w:w="62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191</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77 398</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-104</w:t>
            </w:r>
          </w:p>
        </w:tc>
        <w:tc>
          <w:tcPr>
            <w:tcW w:w="106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-50 566</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-91</w:t>
            </w:r>
          </w:p>
        </w:tc>
        <w:tc>
          <w:tcPr>
            <w:tcW w:w="808"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-43 304</w:t>
            </w:r>
          </w:p>
        </w:tc>
      </w:tr>
      <w:tr w:rsidR="00C75A88" w:rsidRPr="0001493E" w:rsidTr="00C75A88">
        <w:trPr>
          <w:trHeight w:val="270"/>
        </w:trPr>
        <w:tc>
          <w:tcPr>
            <w:tcW w:w="2570" w:type="dxa"/>
            <w:tcBorders>
              <w:top w:val="nil"/>
              <w:left w:val="single" w:sz="8" w:space="0" w:color="auto"/>
              <w:bottom w:val="nil"/>
              <w:right w:val="nil"/>
            </w:tcBorders>
            <w:shd w:val="clear" w:color="auto" w:fill="auto"/>
            <w:noWrap/>
            <w:vAlign w:val="bottom"/>
            <w:hideMark/>
          </w:tcPr>
          <w:p w:rsidR="00C75A88" w:rsidRPr="00DD66C2" w:rsidRDefault="00C75A88" w:rsidP="00C75A88">
            <w:pPr>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Пътнически вагони</w:t>
            </w:r>
          </w:p>
        </w:tc>
        <w:tc>
          <w:tcPr>
            <w:tcW w:w="627" w:type="dxa"/>
            <w:tcBorders>
              <w:top w:val="nil"/>
              <w:left w:val="single" w:sz="8" w:space="0" w:color="auto"/>
              <w:bottom w:val="single" w:sz="8" w:space="0" w:color="auto"/>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5</w:t>
            </w:r>
          </w:p>
        </w:tc>
        <w:tc>
          <w:tcPr>
            <w:tcW w:w="108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1 465</w:t>
            </w:r>
          </w:p>
        </w:tc>
        <w:tc>
          <w:tcPr>
            <w:tcW w:w="620"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84</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15 540</w:t>
            </w:r>
          </w:p>
        </w:tc>
        <w:tc>
          <w:tcPr>
            <w:tcW w:w="62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21</w:t>
            </w:r>
          </w:p>
        </w:tc>
        <w:tc>
          <w:tcPr>
            <w:tcW w:w="106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8 917</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-79</w:t>
            </w:r>
          </w:p>
        </w:tc>
        <w:tc>
          <w:tcPr>
            <w:tcW w:w="1060"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-14 075</w:t>
            </w:r>
          </w:p>
        </w:tc>
        <w:tc>
          <w:tcPr>
            <w:tcW w:w="659"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-16</w:t>
            </w:r>
          </w:p>
        </w:tc>
        <w:tc>
          <w:tcPr>
            <w:tcW w:w="808" w:type="dxa"/>
            <w:tcBorders>
              <w:top w:val="nil"/>
              <w:left w:val="nil"/>
              <w:bottom w:val="nil"/>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-7 452</w:t>
            </w:r>
          </w:p>
        </w:tc>
      </w:tr>
      <w:tr w:rsidR="00C75A88" w:rsidRPr="0001493E" w:rsidTr="00C75A88">
        <w:trPr>
          <w:trHeight w:val="270"/>
        </w:trPr>
        <w:tc>
          <w:tcPr>
            <w:tcW w:w="2570" w:type="dxa"/>
            <w:tcBorders>
              <w:top w:val="single" w:sz="8" w:space="0" w:color="auto"/>
              <w:left w:val="single" w:sz="8" w:space="0" w:color="auto"/>
              <w:bottom w:val="double" w:sz="6" w:space="0" w:color="auto"/>
              <w:right w:val="nil"/>
            </w:tcBorders>
            <w:shd w:val="clear" w:color="auto" w:fill="auto"/>
            <w:noWrap/>
            <w:vAlign w:val="bottom"/>
            <w:hideMark/>
          </w:tcPr>
          <w:p w:rsidR="00C75A88" w:rsidRPr="00DD66C2" w:rsidRDefault="00C75A88" w:rsidP="00C75A88">
            <w:pPr>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Общо</w:t>
            </w:r>
          </w:p>
        </w:tc>
        <w:tc>
          <w:tcPr>
            <w:tcW w:w="627" w:type="dxa"/>
            <w:tcBorders>
              <w:top w:val="nil"/>
              <w:left w:val="single" w:sz="8" w:space="0" w:color="auto"/>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9 091</w:t>
            </w:r>
          </w:p>
        </w:tc>
        <w:tc>
          <w:tcPr>
            <w:tcW w:w="1082"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2 440 504</w:t>
            </w:r>
          </w:p>
        </w:tc>
        <w:tc>
          <w:tcPr>
            <w:tcW w:w="620"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9 432</w:t>
            </w:r>
          </w:p>
        </w:tc>
        <w:tc>
          <w:tcPr>
            <w:tcW w:w="1069"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3 391 164</w:t>
            </w:r>
          </w:p>
        </w:tc>
        <w:tc>
          <w:tcPr>
            <w:tcW w:w="620"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8 557</w:t>
            </w:r>
          </w:p>
        </w:tc>
        <w:tc>
          <w:tcPr>
            <w:tcW w:w="1069"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2 127 367</w:t>
            </w:r>
          </w:p>
        </w:tc>
        <w:tc>
          <w:tcPr>
            <w:tcW w:w="659"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-341</w:t>
            </w:r>
          </w:p>
        </w:tc>
        <w:tc>
          <w:tcPr>
            <w:tcW w:w="1060"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-950 660</w:t>
            </w:r>
          </w:p>
        </w:tc>
        <w:tc>
          <w:tcPr>
            <w:tcW w:w="659"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534</w:t>
            </w:r>
          </w:p>
        </w:tc>
        <w:tc>
          <w:tcPr>
            <w:tcW w:w="808"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313 137</w:t>
            </w:r>
          </w:p>
        </w:tc>
      </w:tr>
    </w:tbl>
    <w:p w:rsidR="00C75A88" w:rsidRPr="00751745" w:rsidRDefault="00C75A88" w:rsidP="00C75A88">
      <w:pPr>
        <w:jc w:val="both"/>
        <w:rPr>
          <w:lang w:val="ru-RU"/>
        </w:rPr>
      </w:pPr>
      <w:r w:rsidRPr="0007185E">
        <w:t xml:space="preserve">От горната таблица е видно, че текущото поддържане на товарните вагони към </w:t>
      </w:r>
      <w:r>
        <w:t>31</w:t>
      </w:r>
      <w:r w:rsidRPr="00725718">
        <w:t>.</w:t>
      </w:r>
      <w:r>
        <w:t>12</w:t>
      </w:r>
      <w:r w:rsidRPr="00725718">
        <w:t>.201</w:t>
      </w:r>
      <w:r>
        <w:t>7</w:t>
      </w:r>
      <w:r w:rsidRPr="0007185E">
        <w:t xml:space="preserve"> година се изпълнява на </w:t>
      </w:r>
      <w:r>
        <w:t>96</w:t>
      </w:r>
      <w:r w:rsidRPr="00725718">
        <w:rPr>
          <w:lang w:val="ru-RU"/>
        </w:rPr>
        <w:t xml:space="preserve">% </w:t>
      </w:r>
      <w:r w:rsidRPr="00725718">
        <w:t>спрямо</w:t>
      </w:r>
      <w:r w:rsidRPr="0007185E">
        <w:t xml:space="preserve"> бюджета за същия период на 201</w:t>
      </w:r>
      <w:r w:rsidRPr="0051312C">
        <w:rPr>
          <w:lang w:val="ru-RU"/>
        </w:rPr>
        <w:t>7</w:t>
      </w:r>
      <w:r>
        <w:rPr>
          <w:lang w:val="ru-RU"/>
        </w:rPr>
        <w:t xml:space="preserve"> </w:t>
      </w:r>
      <w:r w:rsidRPr="0007185E">
        <w:t>г. Отремонтирани са</w:t>
      </w:r>
      <w:r>
        <w:t xml:space="preserve"> </w:t>
      </w:r>
      <w:r>
        <w:br/>
      </w:r>
      <w:r>
        <w:rPr>
          <w:lang w:val="ru-RU"/>
        </w:rPr>
        <w:t>9 091</w:t>
      </w:r>
      <w:r w:rsidRPr="0007185E">
        <w:t xml:space="preserve"> вагона, които са с </w:t>
      </w:r>
      <w:r>
        <w:t>341</w:t>
      </w:r>
      <w:r w:rsidRPr="00725718">
        <w:rPr>
          <w:lang w:val="ru-RU"/>
        </w:rPr>
        <w:t xml:space="preserve"> </w:t>
      </w:r>
      <w:r w:rsidRPr="00725718">
        <w:t>броя</w:t>
      </w:r>
      <w:r w:rsidRPr="0007185E">
        <w:t xml:space="preserve"> по-малко вагони</w:t>
      </w:r>
      <w:r w:rsidRPr="0007185E">
        <w:rPr>
          <w:lang w:val="ru-RU"/>
        </w:rPr>
        <w:t xml:space="preserve"> </w:t>
      </w:r>
      <w:r w:rsidRPr="0007185E">
        <w:t xml:space="preserve">от предвидените </w:t>
      </w:r>
      <w:r>
        <w:t>в</w:t>
      </w:r>
      <w:r w:rsidRPr="0007185E">
        <w:t xml:space="preserve"> бюджета. Спрямо отчета за предходната година изпълнението е </w:t>
      </w:r>
      <w:r>
        <w:t>106</w:t>
      </w:r>
      <w:r w:rsidRPr="0007185E">
        <w:t xml:space="preserve">%,  отремонтирани са </w:t>
      </w:r>
      <w:r>
        <w:t>с 534</w:t>
      </w:r>
      <w:r w:rsidRPr="00725718">
        <w:t xml:space="preserve"> броя</w:t>
      </w:r>
      <w:r w:rsidRPr="0007185E">
        <w:t xml:space="preserve"> по</w:t>
      </w:r>
      <w:r>
        <w:t>вече</w:t>
      </w:r>
      <w:r w:rsidRPr="0007185E">
        <w:t xml:space="preserve"> вагони. </w:t>
      </w:r>
    </w:p>
    <w:p w:rsidR="00C75A88" w:rsidRDefault="00C75A88" w:rsidP="00C75A88">
      <w:pPr>
        <w:spacing w:after="120"/>
        <w:jc w:val="both"/>
        <w:rPr>
          <w:b/>
        </w:rPr>
      </w:pPr>
      <w:r w:rsidRPr="0007185E">
        <w:rPr>
          <w:b/>
        </w:rPr>
        <w:t>Изпълнение на БП за среден ремонт на товарни вагони</w:t>
      </w:r>
    </w:p>
    <w:tbl>
      <w:tblPr>
        <w:tblpPr w:leftFromText="141" w:rightFromText="141" w:vertAnchor="text" w:horzAnchor="margin" w:tblpXSpec="center" w:tblpY="216"/>
        <w:tblW w:w="10242" w:type="dxa"/>
        <w:tblCellMar>
          <w:left w:w="70" w:type="dxa"/>
          <w:right w:w="70" w:type="dxa"/>
        </w:tblCellMar>
        <w:tblLook w:val="04A0" w:firstRow="1" w:lastRow="0" w:firstColumn="1" w:lastColumn="0" w:noHBand="0" w:noVBand="1"/>
      </w:tblPr>
      <w:tblGrid>
        <w:gridCol w:w="2456"/>
        <w:gridCol w:w="563"/>
        <w:gridCol w:w="1009"/>
        <w:gridCol w:w="569"/>
        <w:gridCol w:w="1022"/>
        <w:gridCol w:w="556"/>
        <w:gridCol w:w="996"/>
        <w:gridCol w:w="556"/>
        <w:gridCol w:w="1067"/>
        <w:gridCol w:w="556"/>
        <w:gridCol w:w="892"/>
      </w:tblGrid>
      <w:tr w:rsidR="00C75A88" w:rsidRPr="00800D7B" w:rsidTr="00C75A88">
        <w:trPr>
          <w:trHeight w:val="271"/>
        </w:trPr>
        <w:tc>
          <w:tcPr>
            <w:tcW w:w="2456"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Вид на вагона</w:t>
            </w:r>
          </w:p>
        </w:tc>
        <w:tc>
          <w:tcPr>
            <w:tcW w:w="1572" w:type="dxa"/>
            <w:gridSpan w:val="2"/>
            <w:tcBorders>
              <w:top w:val="single" w:sz="8" w:space="0" w:color="auto"/>
              <w:left w:val="nil"/>
              <w:bottom w:val="nil"/>
              <w:right w:val="single" w:sz="8" w:space="0" w:color="000000"/>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Отчет</w:t>
            </w:r>
          </w:p>
        </w:tc>
        <w:tc>
          <w:tcPr>
            <w:tcW w:w="1591" w:type="dxa"/>
            <w:gridSpan w:val="2"/>
            <w:tcBorders>
              <w:top w:val="single" w:sz="8" w:space="0" w:color="auto"/>
              <w:left w:val="nil"/>
              <w:bottom w:val="nil"/>
              <w:right w:val="single" w:sz="8" w:space="0" w:color="000000"/>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Бюджет</w:t>
            </w:r>
          </w:p>
        </w:tc>
        <w:tc>
          <w:tcPr>
            <w:tcW w:w="1552" w:type="dxa"/>
            <w:gridSpan w:val="2"/>
            <w:tcBorders>
              <w:top w:val="single" w:sz="8" w:space="0" w:color="auto"/>
              <w:left w:val="nil"/>
              <w:bottom w:val="nil"/>
              <w:right w:val="single" w:sz="8" w:space="0" w:color="000000"/>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Отчет</w:t>
            </w:r>
          </w:p>
        </w:tc>
        <w:tc>
          <w:tcPr>
            <w:tcW w:w="3070" w:type="dxa"/>
            <w:gridSpan w:val="4"/>
            <w:tcBorders>
              <w:top w:val="single" w:sz="8" w:space="0" w:color="auto"/>
              <w:left w:val="nil"/>
              <w:bottom w:val="single" w:sz="8" w:space="0" w:color="auto"/>
              <w:right w:val="single" w:sz="8" w:space="0" w:color="000000"/>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изпълн. +/-</w:t>
            </w:r>
          </w:p>
        </w:tc>
      </w:tr>
      <w:tr w:rsidR="00C75A88" w:rsidRPr="00800D7B" w:rsidTr="00C75A88">
        <w:trPr>
          <w:trHeight w:val="107"/>
        </w:trPr>
        <w:tc>
          <w:tcPr>
            <w:tcW w:w="2456" w:type="dxa"/>
            <w:vMerge/>
            <w:tcBorders>
              <w:top w:val="single" w:sz="8" w:space="0" w:color="auto"/>
              <w:left w:val="single" w:sz="8" w:space="0" w:color="auto"/>
              <w:bottom w:val="single" w:sz="8" w:space="0" w:color="000000"/>
              <w:right w:val="single" w:sz="8" w:space="0" w:color="auto"/>
            </w:tcBorders>
            <w:vAlign w:val="center"/>
            <w:hideMark/>
          </w:tcPr>
          <w:p w:rsidR="00C75A88" w:rsidRPr="00DD66C2" w:rsidRDefault="00C75A88" w:rsidP="00C75A88">
            <w:pPr>
              <w:rPr>
                <w:rFonts w:asciiTheme="minorHAnsi" w:eastAsia="Times New Roman" w:hAnsiTheme="minorHAnsi" w:cstheme="minorHAnsi"/>
                <w:b/>
                <w:bCs/>
                <w:color w:val="000000"/>
                <w:sz w:val="18"/>
                <w:szCs w:val="18"/>
                <w:lang w:eastAsia="bg-BG"/>
              </w:rPr>
            </w:pPr>
          </w:p>
        </w:tc>
        <w:tc>
          <w:tcPr>
            <w:tcW w:w="1572" w:type="dxa"/>
            <w:gridSpan w:val="2"/>
            <w:tcBorders>
              <w:top w:val="nil"/>
              <w:left w:val="nil"/>
              <w:bottom w:val="single" w:sz="8" w:space="0" w:color="auto"/>
              <w:right w:val="single" w:sz="8" w:space="0" w:color="000000"/>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 xml:space="preserve">  2017 г.</w:t>
            </w:r>
          </w:p>
        </w:tc>
        <w:tc>
          <w:tcPr>
            <w:tcW w:w="1591" w:type="dxa"/>
            <w:gridSpan w:val="2"/>
            <w:tcBorders>
              <w:top w:val="nil"/>
              <w:left w:val="nil"/>
              <w:bottom w:val="single" w:sz="8" w:space="0" w:color="auto"/>
              <w:right w:val="single" w:sz="8" w:space="0" w:color="000000"/>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 xml:space="preserve"> 2017 г.</w:t>
            </w:r>
          </w:p>
        </w:tc>
        <w:tc>
          <w:tcPr>
            <w:tcW w:w="1552" w:type="dxa"/>
            <w:gridSpan w:val="2"/>
            <w:tcBorders>
              <w:top w:val="nil"/>
              <w:left w:val="nil"/>
              <w:bottom w:val="single" w:sz="8" w:space="0" w:color="auto"/>
              <w:right w:val="single" w:sz="8" w:space="0" w:color="000000"/>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 xml:space="preserve">  2016 г.</w:t>
            </w:r>
          </w:p>
        </w:tc>
        <w:tc>
          <w:tcPr>
            <w:tcW w:w="1623" w:type="dxa"/>
            <w:gridSpan w:val="2"/>
            <w:tcBorders>
              <w:top w:val="single" w:sz="8" w:space="0" w:color="auto"/>
              <w:left w:val="nil"/>
              <w:bottom w:val="single" w:sz="8" w:space="0" w:color="auto"/>
              <w:right w:val="single" w:sz="8" w:space="0" w:color="000000"/>
            </w:tcBorders>
            <w:shd w:val="clear" w:color="auto" w:fill="auto"/>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отчет/бюджет</w:t>
            </w:r>
          </w:p>
        </w:tc>
        <w:tc>
          <w:tcPr>
            <w:tcW w:w="1447" w:type="dxa"/>
            <w:gridSpan w:val="2"/>
            <w:tcBorders>
              <w:top w:val="single" w:sz="8" w:space="0" w:color="auto"/>
              <w:left w:val="nil"/>
              <w:bottom w:val="single" w:sz="8" w:space="0" w:color="auto"/>
              <w:right w:val="single" w:sz="8" w:space="0" w:color="000000"/>
            </w:tcBorders>
            <w:shd w:val="clear" w:color="auto" w:fill="auto"/>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 xml:space="preserve">отчет /отчет </w:t>
            </w:r>
          </w:p>
        </w:tc>
      </w:tr>
      <w:tr w:rsidR="00C75A88" w:rsidRPr="00800D7B" w:rsidTr="00C75A88">
        <w:trPr>
          <w:trHeight w:val="271"/>
        </w:trPr>
        <w:tc>
          <w:tcPr>
            <w:tcW w:w="2456" w:type="dxa"/>
            <w:vMerge/>
            <w:tcBorders>
              <w:top w:val="single" w:sz="8" w:space="0" w:color="auto"/>
              <w:left w:val="single" w:sz="8" w:space="0" w:color="auto"/>
              <w:bottom w:val="single" w:sz="8" w:space="0" w:color="000000"/>
              <w:right w:val="single" w:sz="8" w:space="0" w:color="auto"/>
            </w:tcBorders>
            <w:vAlign w:val="center"/>
            <w:hideMark/>
          </w:tcPr>
          <w:p w:rsidR="00C75A88" w:rsidRPr="00DD66C2" w:rsidRDefault="00C75A88" w:rsidP="00C75A88">
            <w:pPr>
              <w:rPr>
                <w:rFonts w:asciiTheme="minorHAnsi" w:eastAsia="Times New Roman" w:hAnsiTheme="minorHAnsi" w:cstheme="minorHAnsi"/>
                <w:b/>
                <w:bCs/>
                <w:color w:val="000000"/>
                <w:sz w:val="18"/>
                <w:szCs w:val="18"/>
                <w:lang w:eastAsia="bg-BG"/>
              </w:rPr>
            </w:pPr>
          </w:p>
        </w:tc>
        <w:tc>
          <w:tcPr>
            <w:tcW w:w="563" w:type="dxa"/>
            <w:tcBorders>
              <w:top w:val="nil"/>
              <w:left w:val="nil"/>
              <w:bottom w:val="single" w:sz="8" w:space="0" w:color="auto"/>
              <w:right w:val="single" w:sz="8" w:space="0" w:color="auto"/>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брой</w:t>
            </w:r>
          </w:p>
        </w:tc>
        <w:tc>
          <w:tcPr>
            <w:tcW w:w="1009" w:type="dxa"/>
            <w:tcBorders>
              <w:top w:val="nil"/>
              <w:left w:val="nil"/>
              <w:bottom w:val="single" w:sz="8" w:space="0" w:color="auto"/>
              <w:right w:val="single" w:sz="8" w:space="0" w:color="auto"/>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ст/т</w:t>
            </w:r>
          </w:p>
        </w:tc>
        <w:tc>
          <w:tcPr>
            <w:tcW w:w="569" w:type="dxa"/>
            <w:tcBorders>
              <w:top w:val="nil"/>
              <w:left w:val="nil"/>
              <w:bottom w:val="single" w:sz="8" w:space="0" w:color="auto"/>
              <w:right w:val="single" w:sz="8" w:space="0" w:color="auto"/>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брой</w:t>
            </w:r>
          </w:p>
        </w:tc>
        <w:tc>
          <w:tcPr>
            <w:tcW w:w="1022" w:type="dxa"/>
            <w:tcBorders>
              <w:top w:val="nil"/>
              <w:left w:val="nil"/>
              <w:bottom w:val="single" w:sz="8" w:space="0" w:color="auto"/>
              <w:right w:val="single" w:sz="8" w:space="0" w:color="auto"/>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ст/т</w:t>
            </w:r>
          </w:p>
        </w:tc>
        <w:tc>
          <w:tcPr>
            <w:tcW w:w="556" w:type="dxa"/>
            <w:tcBorders>
              <w:top w:val="nil"/>
              <w:left w:val="nil"/>
              <w:bottom w:val="single" w:sz="8" w:space="0" w:color="auto"/>
              <w:right w:val="single" w:sz="8" w:space="0" w:color="auto"/>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брой</w:t>
            </w:r>
          </w:p>
        </w:tc>
        <w:tc>
          <w:tcPr>
            <w:tcW w:w="996" w:type="dxa"/>
            <w:tcBorders>
              <w:top w:val="nil"/>
              <w:left w:val="nil"/>
              <w:bottom w:val="single" w:sz="8" w:space="0" w:color="auto"/>
              <w:right w:val="single" w:sz="8" w:space="0" w:color="auto"/>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ст/т</w:t>
            </w:r>
          </w:p>
        </w:tc>
        <w:tc>
          <w:tcPr>
            <w:tcW w:w="556" w:type="dxa"/>
            <w:tcBorders>
              <w:top w:val="nil"/>
              <w:left w:val="nil"/>
              <w:bottom w:val="single" w:sz="8" w:space="0" w:color="auto"/>
              <w:right w:val="single" w:sz="8" w:space="0" w:color="auto"/>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брой</w:t>
            </w:r>
          </w:p>
        </w:tc>
        <w:tc>
          <w:tcPr>
            <w:tcW w:w="1067" w:type="dxa"/>
            <w:tcBorders>
              <w:top w:val="nil"/>
              <w:left w:val="nil"/>
              <w:bottom w:val="single" w:sz="8" w:space="0" w:color="auto"/>
              <w:right w:val="single" w:sz="8" w:space="0" w:color="auto"/>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ст/т</w:t>
            </w:r>
          </w:p>
        </w:tc>
        <w:tc>
          <w:tcPr>
            <w:tcW w:w="556" w:type="dxa"/>
            <w:tcBorders>
              <w:top w:val="nil"/>
              <w:left w:val="nil"/>
              <w:bottom w:val="single" w:sz="8" w:space="0" w:color="auto"/>
              <w:right w:val="single" w:sz="8" w:space="0" w:color="auto"/>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брой</w:t>
            </w:r>
          </w:p>
        </w:tc>
        <w:tc>
          <w:tcPr>
            <w:tcW w:w="892" w:type="dxa"/>
            <w:tcBorders>
              <w:top w:val="nil"/>
              <w:left w:val="nil"/>
              <w:bottom w:val="single" w:sz="8" w:space="0" w:color="auto"/>
              <w:right w:val="single" w:sz="8" w:space="0" w:color="auto"/>
            </w:tcBorders>
            <w:shd w:val="clear" w:color="auto" w:fill="auto"/>
            <w:noWrap/>
            <w:vAlign w:val="center"/>
            <w:hideMark/>
          </w:tcPr>
          <w:p w:rsidR="00C75A88" w:rsidRPr="00DD66C2" w:rsidRDefault="00C75A88" w:rsidP="00C75A88">
            <w:pPr>
              <w:jc w:val="center"/>
              <w:rPr>
                <w:rFonts w:asciiTheme="minorHAnsi" w:eastAsia="Times New Roman" w:hAnsiTheme="minorHAnsi" w:cstheme="minorHAnsi"/>
                <w:b/>
                <w:bCs/>
                <w:color w:val="000000"/>
                <w:sz w:val="18"/>
                <w:szCs w:val="18"/>
                <w:lang w:eastAsia="bg-BG"/>
              </w:rPr>
            </w:pPr>
            <w:r w:rsidRPr="00DD66C2">
              <w:rPr>
                <w:rFonts w:asciiTheme="minorHAnsi" w:eastAsia="Times New Roman" w:hAnsiTheme="minorHAnsi" w:cstheme="minorHAnsi"/>
                <w:b/>
                <w:bCs/>
                <w:color w:val="000000"/>
                <w:sz w:val="18"/>
                <w:szCs w:val="18"/>
                <w:lang w:eastAsia="bg-BG"/>
              </w:rPr>
              <w:t>ст/т</w:t>
            </w:r>
          </w:p>
        </w:tc>
      </w:tr>
      <w:tr w:rsidR="00C75A88" w:rsidRPr="00800D7B" w:rsidTr="00C75A88">
        <w:trPr>
          <w:trHeight w:val="256"/>
        </w:trPr>
        <w:tc>
          <w:tcPr>
            <w:tcW w:w="2456" w:type="dxa"/>
            <w:tcBorders>
              <w:top w:val="nil"/>
              <w:left w:val="single" w:sz="8" w:space="0" w:color="auto"/>
              <w:bottom w:val="nil"/>
              <w:right w:val="single" w:sz="8" w:space="0" w:color="auto"/>
            </w:tcBorders>
            <w:shd w:val="clear" w:color="000000" w:fill="FFFFFF"/>
            <w:noWrap/>
            <w:vAlign w:val="center"/>
            <w:hideMark/>
          </w:tcPr>
          <w:p w:rsidR="00C75A88" w:rsidRPr="00DD66C2" w:rsidRDefault="00C75A88" w:rsidP="00C75A88">
            <w:pPr>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G  покрити</w:t>
            </w:r>
          </w:p>
        </w:tc>
        <w:tc>
          <w:tcPr>
            <w:tcW w:w="563"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12</w:t>
            </w:r>
          </w:p>
        </w:tc>
        <w:tc>
          <w:tcPr>
            <w:tcW w:w="100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93 195</w:t>
            </w:r>
          </w:p>
        </w:tc>
        <w:tc>
          <w:tcPr>
            <w:tcW w:w="56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20</w:t>
            </w:r>
          </w:p>
        </w:tc>
        <w:tc>
          <w:tcPr>
            <w:tcW w:w="1022"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189 600</w:t>
            </w:r>
          </w:p>
        </w:tc>
        <w:tc>
          <w:tcPr>
            <w:tcW w:w="55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33</w:t>
            </w:r>
          </w:p>
        </w:tc>
        <w:tc>
          <w:tcPr>
            <w:tcW w:w="99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148 491</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-8</w:t>
            </w:r>
          </w:p>
        </w:tc>
        <w:tc>
          <w:tcPr>
            <w:tcW w:w="1067"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-96 405</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-21</w:t>
            </w:r>
          </w:p>
        </w:tc>
        <w:tc>
          <w:tcPr>
            <w:tcW w:w="89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-55 296</w:t>
            </w:r>
          </w:p>
        </w:tc>
      </w:tr>
      <w:tr w:rsidR="00C75A88" w:rsidRPr="00800D7B" w:rsidTr="00C75A88">
        <w:trPr>
          <w:trHeight w:val="256"/>
        </w:trPr>
        <w:tc>
          <w:tcPr>
            <w:tcW w:w="2456" w:type="dxa"/>
            <w:tcBorders>
              <w:top w:val="nil"/>
              <w:left w:val="single" w:sz="8" w:space="0" w:color="auto"/>
              <w:bottom w:val="nil"/>
              <w:right w:val="single" w:sz="8" w:space="0" w:color="auto"/>
            </w:tcBorders>
            <w:shd w:val="clear" w:color="000000" w:fill="FFFFFF"/>
            <w:noWrap/>
            <w:vAlign w:val="center"/>
            <w:hideMark/>
          </w:tcPr>
          <w:p w:rsidR="00C75A88" w:rsidRPr="00DD66C2" w:rsidRDefault="00C75A88" w:rsidP="00C75A88">
            <w:pPr>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H покрити</w:t>
            </w:r>
          </w:p>
        </w:tc>
        <w:tc>
          <w:tcPr>
            <w:tcW w:w="563"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4</w:t>
            </w:r>
          </w:p>
        </w:tc>
        <w:tc>
          <w:tcPr>
            <w:tcW w:w="100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14302</w:t>
            </w:r>
          </w:p>
        </w:tc>
        <w:tc>
          <w:tcPr>
            <w:tcW w:w="56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1022"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55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99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4</w:t>
            </w:r>
          </w:p>
        </w:tc>
        <w:tc>
          <w:tcPr>
            <w:tcW w:w="1067"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14 302</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-4</w:t>
            </w:r>
          </w:p>
        </w:tc>
        <w:tc>
          <w:tcPr>
            <w:tcW w:w="89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-14 302</w:t>
            </w:r>
          </w:p>
        </w:tc>
      </w:tr>
      <w:tr w:rsidR="00C75A88" w:rsidRPr="00800D7B" w:rsidTr="00C75A88">
        <w:trPr>
          <w:trHeight w:val="256"/>
        </w:trPr>
        <w:tc>
          <w:tcPr>
            <w:tcW w:w="2456" w:type="dxa"/>
            <w:tcBorders>
              <w:top w:val="nil"/>
              <w:left w:val="single" w:sz="8" w:space="0" w:color="auto"/>
              <w:bottom w:val="nil"/>
              <w:right w:val="nil"/>
            </w:tcBorders>
            <w:shd w:val="clear" w:color="000000" w:fill="FFFFFF"/>
            <w:noWrap/>
            <w:vAlign w:val="center"/>
            <w:hideMark/>
          </w:tcPr>
          <w:p w:rsidR="00C75A88" w:rsidRPr="00DD66C2" w:rsidRDefault="00C75A88" w:rsidP="00C75A88">
            <w:pPr>
              <w:rPr>
                <w:rFonts w:asciiTheme="minorHAnsi" w:eastAsia="Times New Roman" w:hAnsiTheme="minorHAnsi" w:cstheme="minorHAnsi"/>
                <w:sz w:val="18"/>
                <w:szCs w:val="18"/>
                <w:lang w:eastAsia="bg-BG"/>
              </w:rPr>
            </w:pPr>
            <w:r w:rsidRPr="00DD66C2">
              <w:rPr>
                <w:rFonts w:asciiTheme="minorHAnsi" w:eastAsia="Times New Roman" w:hAnsiTheme="minorHAnsi" w:cstheme="minorHAnsi"/>
                <w:sz w:val="18"/>
                <w:szCs w:val="18"/>
                <w:lang w:eastAsia="bg-BG"/>
              </w:rPr>
              <w:t>Е   открити</w:t>
            </w:r>
          </w:p>
        </w:tc>
        <w:tc>
          <w:tcPr>
            <w:tcW w:w="563" w:type="dxa"/>
            <w:tcBorders>
              <w:top w:val="nil"/>
              <w:left w:val="single" w:sz="8" w:space="0" w:color="auto"/>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142</w:t>
            </w:r>
          </w:p>
        </w:tc>
        <w:tc>
          <w:tcPr>
            <w:tcW w:w="100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590 048</w:t>
            </w:r>
          </w:p>
        </w:tc>
        <w:tc>
          <w:tcPr>
            <w:tcW w:w="56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170</w:t>
            </w:r>
          </w:p>
        </w:tc>
        <w:tc>
          <w:tcPr>
            <w:tcW w:w="1022"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1 403 415</w:t>
            </w:r>
          </w:p>
        </w:tc>
        <w:tc>
          <w:tcPr>
            <w:tcW w:w="55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39</w:t>
            </w:r>
          </w:p>
        </w:tc>
        <w:tc>
          <w:tcPr>
            <w:tcW w:w="99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94 940</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-28</w:t>
            </w:r>
          </w:p>
        </w:tc>
        <w:tc>
          <w:tcPr>
            <w:tcW w:w="1067"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-813 366</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103</w:t>
            </w:r>
          </w:p>
        </w:tc>
        <w:tc>
          <w:tcPr>
            <w:tcW w:w="89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495 108</w:t>
            </w:r>
          </w:p>
        </w:tc>
      </w:tr>
      <w:tr w:rsidR="00C75A88" w:rsidRPr="00800D7B" w:rsidTr="00C75A88">
        <w:trPr>
          <w:trHeight w:val="256"/>
        </w:trPr>
        <w:tc>
          <w:tcPr>
            <w:tcW w:w="2456" w:type="dxa"/>
            <w:tcBorders>
              <w:top w:val="nil"/>
              <w:left w:val="single" w:sz="8" w:space="0" w:color="auto"/>
              <w:bottom w:val="nil"/>
              <w:right w:val="nil"/>
            </w:tcBorders>
            <w:shd w:val="clear" w:color="000000" w:fill="FFFFFF"/>
            <w:noWrap/>
            <w:vAlign w:val="center"/>
            <w:hideMark/>
          </w:tcPr>
          <w:p w:rsidR="00C75A88" w:rsidRPr="00DD66C2" w:rsidRDefault="00C75A88" w:rsidP="00C75A88">
            <w:pPr>
              <w:rPr>
                <w:rFonts w:asciiTheme="minorHAnsi" w:eastAsia="Times New Roman" w:hAnsiTheme="minorHAnsi" w:cstheme="minorHAnsi"/>
                <w:sz w:val="18"/>
                <w:szCs w:val="18"/>
                <w:lang w:eastAsia="bg-BG"/>
              </w:rPr>
            </w:pPr>
            <w:r w:rsidRPr="00DD66C2">
              <w:rPr>
                <w:rFonts w:asciiTheme="minorHAnsi" w:eastAsia="Times New Roman" w:hAnsiTheme="minorHAnsi" w:cstheme="minorHAnsi"/>
                <w:sz w:val="18"/>
                <w:szCs w:val="18"/>
                <w:lang w:eastAsia="bg-BG"/>
              </w:rPr>
              <w:t>R платформени</w:t>
            </w:r>
          </w:p>
        </w:tc>
        <w:tc>
          <w:tcPr>
            <w:tcW w:w="563" w:type="dxa"/>
            <w:tcBorders>
              <w:top w:val="nil"/>
              <w:left w:val="single" w:sz="8" w:space="0" w:color="auto"/>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29</w:t>
            </w:r>
          </w:p>
        </w:tc>
        <w:tc>
          <w:tcPr>
            <w:tcW w:w="100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122 191</w:t>
            </w:r>
          </w:p>
        </w:tc>
        <w:tc>
          <w:tcPr>
            <w:tcW w:w="56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117</w:t>
            </w:r>
          </w:p>
        </w:tc>
        <w:tc>
          <w:tcPr>
            <w:tcW w:w="1022"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1 206 180</w:t>
            </w:r>
          </w:p>
        </w:tc>
        <w:tc>
          <w:tcPr>
            <w:tcW w:w="55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110</w:t>
            </w:r>
          </w:p>
        </w:tc>
        <w:tc>
          <w:tcPr>
            <w:tcW w:w="99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369 599</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-88</w:t>
            </w:r>
          </w:p>
        </w:tc>
        <w:tc>
          <w:tcPr>
            <w:tcW w:w="1067"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-1 083 989</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-81</w:t>
            </w:r>
          </w:p>
        </w:tc>
        <w:tc>
          <w:tcPr>
            <w:tcW w:w="89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-247 408</w:t>
            </w:r>
          </w:p>
        </w:tc>
      </w:tr>
      <w:tr w:rsidR="00C75A88" w:rsidRPr="00800D7B" w:rsidTr="00C75A88">
        <w:trPr>
          <w:trHeight w:val="256"/>
        </w:trPr>
        <w:tc>
          <w:tcPr>
            <w:tcW w:w="2456" w:type="dxa"/>
            <w:tcBorders>
              <w:top w:val="nil"/>
              <w:left w:val="single" w:sz="8" w:space="0" w:color="auto"/>
              <w:bottom w:val="nil"/>
              <w:right w:val="nil"/>
            </w:tcBorders>
            <w:shd w:val="clear" w:color="000000" w:fill="FFFFFF"/>
            <w:noWrap/>
            <w:vAlign w:val="center"/>
            <w:hideMark/>
          </w:tcPr>
          <w:p w:rsidR="00C75A88" w:rsidRPr="00DD66C2" w:rsidRDefault="00C75A88" w:rsidP="00C75A88">
            <w:pPr>
              <w:rPr>
                <w:rFonts w:asciiTheme="minorHAnsi" w:eastAsia="Times New Roman" w:hAnsiTheme="minorHAnsi" w:cstheme="minorHAnsi"/>
                <w:sz w:val="18"/>
                <w:szCs w:val="18"/>
                <w:lang w:eastAsia="bg-BG"/>
              </w:rPr>
            </w:pPr>
            <w:r w:rsidRPr="00DD66C2">
              <w:rPr>
                <w:rFonts w:asciiTheme="minorHAnsi" w:eastAsia="Times New Roman" w:hAnsiTheme="minorHAnsi" w:cstheme="minorHAnsi"/>
                <w:sz w:val="18"/>
                <w:szCs w:val="18"/>
                <w:lang w:eastAsia="bg-BG"/>
              </w:rPr>
              <w:t>S платформени, тежковози</w:t>
            </w:r>
          </w:p>
        </w:tc>
        <w:tc>
          <w:tcPr>
            <w:tcW w:w="563" w:type="dxa"/>
            <w:tcBorders>
              <w:top w:val="nil"/>
              <w:left w:val="single" w:sz="8" w:space="0" w:color="auto"/>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100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56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1022"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55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6</w:t>
            </w:r>
          </w:p>
        </w:tc>
        <w:tc>
          <w:tcPr>
            <w:tcW w:w="99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17 205</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1067"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 </w:t>
            </w:r>
          </w:p>
        </w:tc>
        <w:tc>
          <w:tcPr>
            <w:tcW w:w="89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 </w:t>
            </w:r>
          </w:p>
        </w:tc>
      </w:tr>
      <w:tr w:rsidR="00C75A88" w:rsidRPr="00800D7B" w:rsidTr="00C75A88">
        <w:trPr>
          <w:trHeight w:val="256"/>
        </w:trPr>
        <w:tc>
          <w:tcPr>
            <w:tcW w:w="2456" w:type="dxa"/>
            <w:tcBorders>
              <w:top w:val="nil"/>
              <w:left w:val="single" w:sz="8" w:space="0" w:color="auto"/>
              <w:bottom w:val="nil"/>
              <w:right w:val="nil"/>
            </w:tcBorders>
            <w:shd w:val="clear" w:color="000000" w:fill="FFFFFF"/>
            <w:noWrap/>
            <w:vAlign w:val="center"/>
            <w:hideMark/>
          </w:tcPr>
          <w:p w:rsidR="00C75A88" w:rsidRPr="00DD66C2" w:rsidRDefault="00C75A88" w:rsidP="00C75A88">
            <w:pPr>
              <w:rPr>
                <w:rFonts w:asciiTheme="minorHAnsi" w:eastAsia="Times New Roman" w:hAnsiTheme="minorHAnsi" w:cstheme="minorHAnsi"/>
                <w:sz w:val="18"/>
                <w:szCs w:val="18"/>
                <w:lang w:eastAsia="bg-BG"/>
              </w:rPr>
            </w:pPr>
            <w:r w:rsidRPr="00DD66C2">
              <w:rPr>
                <w:rFonts w:asciiTheme="minorHAnsi" w:eastAsia="Times New Roman" w:hAnsiTheme="minorHAnsi" w:cstheme="minorHAnsi"/>
                <w:sz w:val="18"/>
                <w:szCs w:val="18"/>
                <w:lang w:eastAsia="bg-BG"/>
              </w:rPr>
              <w:t>F седловидни, хопери</w:t>
            </w:r>
          </w:p>
        </w:tc>
        <w:tc>
          <w:tcPr>
            <w:tcW w:w="563" w:type="dxa"/>
            <w:tcBorders>
              <w:top w:val="nil"/>
              <w:left w:val="single" w:sz="8" w:space="0" w:color="auto"/>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49</w:t>
            </w:r>
          </w:p>
        </w:tc>
        <w:tc>
          <w:tcPr>
            <w:tcW w:w="100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137 172</w:t>
            </w:r>
          </w:p>
        </w:tc>
        <w:tc>
          <w:tcPr>
            <w:tcW w:w="56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30</w:t>
            </w:r>
          </w:p>
        </w:tc>
        <w:tc>
          <w:tcPr>
            <w:tcW w:w="1022"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243 000</w:t>
            </w:r>
          </w:p>
        </w:tc>
        <w:tc>
          <w:tcPr>
            <w:tcW w:w="55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81</w:t>
            </w:r>
          </w:p>
        </w:tc>
        <w:tc>
          <w:tcPr>
            <w:tcW w:w="99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271 669</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19</w:t>
            </w:r>
          </w:p>
        </w:tc>
        <w:tc>
          <w:tcPr>
            <w:tcW w:w="1067"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-105 828</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-32</w:t>
            </w:r>
          </w:p>
        </w:tc>
        <w:tc>
          <w:tcPr>
            <w:tcW w:w="89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-134 497</w:t>
            </w:r>
          </w:p>
        </w:tc>
      </w:tr>
      <w:tr w:rsidR="00C75A88" w:rsidRPr="00800D7B" w:rsidTr="00C75A88">
        <w:trPr>
          <w:trHeight w:val="256"/>
        </w:trPr>
        <w:tc>
          <w:tcPr>
            <w:tcW w:w="2456" w:type="dxa"/>
            <w:tcBorders>
              <w:top w:val="nil"/>
              <w:left w:val="single" w:sz="8" w:space="0" w:color="auto"/>
              <w:bottom w:val="nil"/>
              <w:right w:val="nil"/>
            </w:tcBorders>
            <w:shd w:val="clear" w:color="000000" w:fill="FFFFFF"/>
            <w:noWrap/>
            <w:vAlign w:val="center"/>
            <w:hideMark/>
          </w:tcPr>
          <w:p w:rsidR="00C75A88" w:rsidRPr="00DD66C2" w:rsidRDefault="00C75A88" w:rsidP="00C75A88">
            <w:pPr>
              <w:rPr>
                <w:rFonts w:asciiTheme="minorHAnsi" w:eastAsia="Times New Roman" w:hAnsiTheme="minorHAnsi" w:cstheme="minorHAnsi"/>
                <w:sz w:val="18"/>
                <w:szCs w:val="18"/>
                <w:lang w:eastAsia="bg-BG"/>
              </w:rPr>
            </w:pPr>
            <w:r w:rsidRPr="00DD66C2">
              <w:rPr>
                <w:rFonts w:asciiTheme="minorHAnsi" w:eastAsia="Times New Roman" w:hAnsiTheme="minorHAnsi" w:cstheme="minorHAnsi"/>
                <w:sz w:val="18"/>
                <w:szCs w:val="18"/>
                <w:lang w:eastAsia="bg-BG"/>
              </w:rPr>
              <w:t>U зърновози</w:t>
            </w:r>
          </w:p>
        </w:tc>
        <w:tc>
          <w:tcPr>
            <w:tcW w:w="563" w:type="dxa"/>
            <w:tcBorders>
              <w:top w:val="nil"/>
              <w:left w:val="single" w:sz="8" w:space="0" w:color="auto"/>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9</w:t>
            </w:r>
          </w:p>
        </w:tc>
        <w:tc>
          <w:tcPr>
            <w:tcW w:w="100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99 459</w:t>
            </w:r>
          </w:p>
        </w:tc>
        <w:tc>
          <w:tcPr>
            <w:tcW w:w="56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15</w:t>
            </w:r>
          </w:p>
        </w:tc>
        <w:tc>
          <w:tcPr>
            <w:tcW w:w="1022"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310 200</w:t>
            </w:r>
          </w:p>
        </w:tc>
        <w:tc>
          <w:tcPr>
            <w:tcW w:w="55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9</w:t>
            </w:r>
          </w:p>
        </w:tc>
        <w:tc>
          <w:tcPr>
            <w:tcW w:w="99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18 491</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-6</w:t>
            </w:r>
          </w:p>
        </w:tc>
        <w:tc>
          <w:tcPr>
            <w:tcW w:w="1067"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-210 741</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89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80 968</w:t>
            </w:r>
          </w:p>
        </w:tc>
      </w:tr>
      <w:tr w:rsidR="00C75A88" w:rsidRPr="00800D7B" w:rsidTr="00C75A88">
        <w:trPr>
          <w:trHeight w:val="256"/>
        </w:trPr>
        <w:tc>
          <w:tcPr>
            <w:tcW w:w="2456" w:type="dxa"/>
            <w:tcBorders>
              <w:top w:val="nil"/>
              <w:left w:val="single" w:sz="8" w:space="0" w:color="auto"/>
              <w:bottom w:val="nil"/>
              <w:right w:val="nil"/>
            </w:tcBorders>
            <w:shd w:val="clear" w:color="000000" w:fill="FFFFFF"/>
            <w:noWrap/>
            <w:vAlign w:val="center"/>
            <w:hideMark/>
          </w:tcPr>
          <w:p w:rsidR="00C75A88" w:rsidRPr="00DD66C2" w:rsidRDefault="00C75A88" w:rsidP="00C75A88">
            <w:pPr>
              <w:rPr>
                <w:rFonts w:asciiTheme="minorHAnsi" w:eastAsia="Times New Roman" w:hAnsiTheme="minorHAnsi" w:cstheme="minorHAnsi"/>
                <w:sz w:val="18"/>
                <w:szCs w:val="18"/>
                <w:lang w:eastAsia="bg-BG"/>
              </w:rPr>
            </w:pPr>
            <w:r w:rsidRPr="00DD66C2">
              <w:rPr>
                <w:rFonts w:asciiTheme="minorHAnsi" w:eastAsia="Times New Roman" w:hAnsiTheme="minorHAnsi" w:cstheme="minorHAnsi"/>
                <w:sz w:val="18"/>
                <w:szCs w:val="18"/>
                <w:lang w:eastAsia="bg-BG"/>
              </w:rPr>
              <w:t>Z цистерни</w:t>
            </w:r>
          </w:p>
        </w:tc>
        <w:tc>
          <w:tcPr>
            <w:tcW w:w="563" w:type="dxa"/>
            <w:tcBorders>
              <w:top w:val="nil"/>
              <w:left w:val="single" w:sz="8" w:space="0" w:color="auto"/>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76</w:t>
            </w:r>
          </w:p>
        </w:tc>
        <w:tc>
          <w:tcPr>
            <w:tcW w:w="100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296 043</w:t>
            </w:r>
          </w:p>
        </w:tc>
        <w:tc>
          <w:tcPr>
            <w:tcW w:w="56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20</w:t>
            </w:r>
          </w:p>
        </w:tc>
        <w:tc>
          <w:tcPr>
            <w:tcW w:w="1022"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148 000</w:t>
            </w:r>
          </w:p>
        </w:tc>
        <w:tc>
          <w:tcPr>
            <w:tcW w:w="55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70</w:t>
            </w:r>
          </w:p>
        </w:tc>
        <w:tc>
          <w:tcPr>
            <w:tcW w:w="99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180 053</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56</w:t>
            </w:r>
          </w:p>
        </w:tc>
        <w:tc>
          <w:tcPr>
            <w:tcW w:w="1067"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148 043</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6</w:t>
            </w:r>
          </w:p>
        </w:tc>
        <w:tc>
          <w:tcPr>
            <w:tcW w:w="89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115 990</w:t>
            </w:r>
          </w:p>
        </w:tc>
      </w:tr>
      <w:tr w:rsidR="00C75A88" w:rsidRPr="00800D7B" w:rsidTr="00C75A88">
        <w:trPr>
          <w:trHeight w:val="256"/>
        </w:trPr>
        <w:tc>
          <w:tcPr>
            <w:tcW w:w="2456" w:type="dxa"/>
            <w:tcBorders>
              <w:top w:val="nil"/>
              <w:left w:val="single" w:sz="8" w:space="0" w:color="auto"/>
              <w:bottom w:val="nil"/>
              <w:right w:val="nil"/>
            </w:tcBorders>
            <w:shd w:val="clear" w:color="000000" w:fill="FFFFFF"/>
            <w:noWrap/>
            <w:vAlign w:val="center"/>
            <w:hideMark/>
          </w:tcPr>
          <w:p w:rsidR="00C75A88" w:rsidRPr="00DD66C2" w:rsidRDefault="00C75A88" w:rsidP="00C75A88">
            <w:pPr>
              <w:rPr>
                <w:rFonts w:asciiTheme="minorHAnsi" w:eastAsia="Times New Roman" w:hAnsiTheme="minorHAnsi" w:cstheme="minorHAnsi"/>
                <w:sz w:val="18"/>
                <w:szCs w:val="18"/>
                <w:lang w:eastAsia="bg-BG"/>
              </w:rPr>
            </w:pPr>
            <w:r w:rsidRPr="00DD66C2">
              <w:rPr>
                <w:rFonts w:asciiTheme="minorHAnsi" w:eastAsia="Times New Roman" w:hAnsiTheme="minorHAnsi" w:cstheme="minorHAnsi"/>
                <w:sz w:val="18"/>
                <w:szCs w:val="18"/>
                <w:lang w:eastAsia="bg-BG"/>
              </w:rPr>
              <w:t>U 932</w:t>
            </w:r>
          </w:p>
        </w:tc>
        <w:tc>
          <w:tcPr>
            <w:tcW w:w="563" w:type="dxa"/>
            <w:tcBorders>
              <w:top w:val="nil"/>
              <w:left w:val="single" w:sz="8" w:space="0" w:color="auto"/>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10</w:t>
            </w:r>
          </w:p>
        </w:tc>
        <w:tc>
          <w:tcPr>
            <w:tcW w:w="100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32 087</w:t>
            </w:r>
          </w:p>
        </w:tc>
        <w:tc>
          <w:tcPr>
            <w:tcW w:w="56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16</w:t>
            </w:r>
          </w:p>
        </w:tc>
        <w:tc>
          <w:tcPr>
            <w:tcW w:w="1022"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127840</w:t>
            </w:r>
          </w:p>
        </w:tc>
        <w:tc>
          <w:tcPr>
            <w:tcW w:w="55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w:t>
            </w:r>
          </w:p>
        </w:tc>
        <w:tc>
          <w:tcPr>
            <w:tcW w:w="99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6 094</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-6</w:t>
            </w:r>
          </w:p>
        </w:tc>
        <w:tc>
          <w:tcPr>
            <w:tcW w:w="1067"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-95 753</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8</w:t>
            </w:r>
          </w:p>
        </w:tc>
        <w:tc>
          <w:tcPr>
            <w:tcW w:w="89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25 993</w:t>
            </w:r>
          </w:p>
        </w:tc>
      </w:tr>
      <w:tr w:rsidR="00C75A88" w:rsidRPr="00800D7B" w:rsidTr="00C75A88">
        <w:trPr>
          <w:trHeight w:val="256"/>
        </w:trPr>
        <w:tc>
          <w:tcPr>
            <w:tcW w:w="2456" w:type="dxa"/>
            <w:tcBorders>
              <w:top w:val="nil"/>
              <w:left w:val="single" w:sz="8" w:space="0" w:color="auto"/>
              <w:bottom w:val="nil"/>
              <w:right w:val="nil"/>
            </w:tcBorders>
            <w:shd w:val="clear" w:color="000000" w:fill="FFFFFF"/>
            <w:noWrap/>
            <w:vAlign w:val="center"/>
            <w:hideMark/>
          </w:tcPr>
          <w:p w:rsidR="00C75A88" w:rsidRPr="00DD66C2" w:rsidRDefault="00C75A88" w:rsidP="00C75A88">
            <w:pPr>
              <w:rPr>
                <w:rFonts w:asciiTheme="minorHAnsi" w:eastAsia="Times New Roman" w:hAnsiTheme="minorHAnsi" w:cstheme="minorHAnsi"/>
                <w:sz w:val="18"/>
                <w:szCs w:val="18"/>
                <w:lang w:eastAsia="bg-BG"/>
              </w:rPr>
            </w:pPr>
            <w:r w:rsidRPr="00DD66C2">
              <w:rPr>
                <w:rFonts w:asciiTheme="minorHAnsi" w:eastAsia="Times New Roman" w:hAnsiTheme="minorHAnsi" w:cstheme="minorHAnsi"/>
                <w:sz w:val="18"/>
                <w:szCs w:val="18"/>
                <w:lang w:eastAsia="bg-BG"/>
              </w:rPr>
              <w:t>Н вагони с раздвижени стени</w:t>
            </w:r>
          </w:p>
        </w:tc>
        <w:tc>
          <w:tcPr>
            <w:tcW w:w="563" w:type="dxa"/>
            <w:tcBorders>
              <w:top w:val="nil"/>
              <w:left w:val="single" w:sz="8" w:space="0" w:color="auto"/>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100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569" w:type="dxa"/>
            <w:tcBorders>
              <w:top w:val="nil"/>
              <w:left w:val="nil"/>
              <w:bottom w:val="nil"/>
              <w:right w:val="single" w:sz="8" w:space="0" w:color="auto"/>
            </w:tcBorders>
            <w:shd w:val="clear" w:color="auto" w:fill="auto"/>
            <w:noWrap/>
            <w:vAlign w:val="center"/>
            <w:hideMark/>
          </w:tcPr>
          <w:p w:rsidR="00C75A88" w:rsidRPr="00DD66C2" w:rsidRDefault="00C75A88" w:rsidP="00C75A88">
            <w:pPr>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 </w:t>
            </w:r>
          </w:p>
        </w:tc>
        <w:tc>
          <w:tcPr>
            <w:tcW w:w="1022" w:type="dxa"/>
            <w:tcBorders>
              <w:top w:val="nil"/>
              <w:left w:val="nil"/>
              <w:bottom w:val="nil"/>
              <w:right w:val="single" w:sz="8" w:space="0" w:color="auto"/>
            </w:tcBorders>
            <w:shd w:val="clear" w:color="auto" w:fill="auto"/>
            <w:noWrap/>
            <w:vAlign w:val="center"/>
            <w:hideMark/>
          </w:tcPr>
          <w:p w:rsidR="00C75A88" w:rsidRPr="00DD66C2" w:rsidRDefault="00C75A88" w:rsidP="00C75A88">
            <w:pPr>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 </w:t>
            </w:r>
          </w:p>
        </w:tc>
        <w:tc>
          <w:tcPr>
            <w:tcW w:w="55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11</w:t>
            </w:r>
          </w:p>
        </w:tc>
        <w:tc>
          <w:tcPr>
            <w:tcW w:w="99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20 416</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1067"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-11</w:t>
            </w:r>
          </w:p>
        </w:tc>
        <w:tc>
          <w:tcPr>
            <w:tcW w:w="89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 </w:t>
            </w:r>
          </w:p>
        </w:tc>
      </w:tr>
      <w:tr w:rsidR="00C75A88" w:rsidRPr="00800D7B" w:rsidTr="00C75A88">
        <w:trPr>
          <w:trHeight w:val="271"/>
        </w:trPr>
        <w:tc>
          <w:tcPr>
            <w:tcW w:w="2456" w:type="dxa"/>
            <w:tcBorders>
              <w:top w:val="nil"/>
              <w:left w:val="single" w:sz="8" w:space="0" w:color="auto"/>
              <w:bottom w:val="nil"/>
              <w:right w:val="nil"/>
            </w:tcBorders>
            <w:shd w:val="clear" w:color="000000" w:fill="FFFFFF"/>
            <w:noWrap/>
            <w:vAlign w:val="center"/>
            <w:hideMark/>
          </w:tcPr>
          <w:p w:rsidR="00C75A88" w:rsidRPr="00DD66C2" w:rsidRDefault="00C75A88" w:rsidP="00C75A88">
            <w:pPr>
              <w:rPr>
                <w:rFonts w:asciiTheme="minorHAnsi" w:eastAsia="Times New Roman" w:hAnsiTheme="minorHAnsi" w:cstheme="minorHAnsi"/>
                <w:sz w:val="18"/>
                <w:szCs w:val="18"/>
                <w:lang w:eastAsia="bg-BG"/>
              </w:rPr>
            </w:pPr>
            <w:r w:rsidRPr="00DD66C2">
              <w:rPr>
                <w:rFonts w:asciiTheme="minorHAnsi" w:eastAsia="Times New Roman" w:hAnsiTheme="minorHAnsi" w:cstheme="minorHAnsi"/>
                <w:sz w:val="18"/>
                <w:szCs w:val="18"/>
                <w:lang w:eastAsia="bg-BG"/>
              </w:rPr>
              <w:t>Пътнически вагони</w:t>
            </w:r>
          </w:p>
        </w:tc>
        <w:tc>
          <w:tcPr>
            <w:tcW w:w="563" w:type="dxa"/>
            <w:tcBorders>
              <w:top w:val="nil"/>
              <w:left w:val="single" w:sz="8" w:space="0" w:color="auto"/>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100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569"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1022"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55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996" w:type="dxa"/>
            <w:tcBorders>
              <w:top w:val="nil"/>
              <w:left w:val="nil"/>
              <w:bottom w:val="nil"/>
              <w:right w:val="single" w:sz="8" w:space="0" w:color="auto"/>
            </w:tcBorders>
            <w:shd w:val="clear" w:color="auto" w:fill="auto"/>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1067"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556"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c>
          <w:tcPr>
            <w:tcW w:w="892" w:type="dxa"/>
            <w:tcBorders>
              <w:top w:val="nil"/>
              <w:left w:val="nil"/>
              <w:bottom w:val="nil"/>
              <w:right w:val="single" w:sz="8" w:space="0" w:color="auto"/>
            </w:tcBorders>
            <w:shd w:val="clear" w:color="000000" w:fill="FFFFFF"/>
            <w:noWrap/>
            <w:vAlign w:val="center"/>
            <w:hideMark/>
          </w:tcPr>
          <w:p w:rsidR="00C75A88" w:rsidRPr="00DD66C2" w:rsidRDefault="00C75A88" w:rsidP="00C75A88">
            <w:pPr>
              <w:jc w:val="right"/>
              <w:rPr>
                <w:rFonts w:asciiTheme="minorHAnsi" w:eastAsia="Times New Roman" w:hAnsiTheme="minorHAnsi" w:cstheme="minorHAnsi"/>
                <w:color w:val="000000"/>
                <w:sz w:val="18"/>
                <w:szCs w:val="18"/>
                <w:lang w:eastAsia="bg-BG"/>
              </w:rPr>
            </w:pPr>
            <w:r w:rsidRPr="00DD66C2">
              <w:rPr>
                <w:rFonts w:asciiTheme="minorHAnsi" w:eastAsia="Times New Roman" w:hAnsiTheme="minorHAnsi" w:cstheme="minorHAnsi"/>
                <w:color w:val="000000"/>
                <w:sz w:val="18"/>
                <w:szCs w:val="18"/>
                <w:lang w:eastAsia="bg-BG"/>
              </w:rPr>
              <w:t>0</w:t>
            </w:r>
          </w:p>
        </w:tc>
      </w:tr>
      <w:tr w:rsidR="00C75A88" w:rsidRPr="00800D7B" w:rsidTr="00C75A88">
        <w:trPr>
          <w:trHeight w:val="271"/>
        </w:trPr>
        <w:tc>
          <w:tcPr>
            <w:tcW w:w="2456" w:type="dxa"/>
            <w:tcBorders>
              <w:top w:val="single" w:sz="8" w:space="0" w:color="auto"/>
              <w:left w:val="single" w:sz="8" w:space="0" w:color="auto"/>
              <w:bottom w:val="double" w:sz="6" w:space="0" w:color="auto"/>
              <w:right w:val="nil"/>
            </w:tcBorders>
            <w:shd w:val="clear" w:color="auto" w:fill="auto"/>
            <w:noWrap/>
            <w:vAlign w:val="bottom"/>
            <w:hideMark/>
          </w:tcPr>
          <w:p w:rsidR="00C75A88" w:rsidRPr="00DD66C2" w:rsidRDefault="00C75A88" w:rsidP="00C75A88">
            <w:pPr>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Общо</w:t>
            </w:r>
          </w:p>
        </w:tc>
        <w:tc>
          <w:tcPr>
            <w:tcW w:w="563" w:type="dxa"/>
            <w:tcBorders>
              <w:top w:val="single" w:sz="8" w:space="0" w:color="auto"/>
              <w:left w:val="single" w:sz="8" w:space="0" w:color="auto"/>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331</w:t>
            </w:r>
          </w:p>
        </w:tc>
        <w:tc>
          <w:tcPr>
            <w:tcW w:w="1009"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1 384 498</w:t>
            </w:r>
          </w:p>
        </w:tc>
        <w:tc>
          <w:tcPr>
            <w:tcW w:w="569"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388</w:t>
            </w:r>
          </w:p>
        </w:tc>
        <w:tc>
          <w:tcPr>
            <w:tcW w:w="1022"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3 628 235</w:t>
            </w:r>
          </w:p>
        </w:tc>
        <w:tc>
          <w:tcPr>
            <w:tcW w:w="556"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361</w:t>
            </w:r>
          </w:p>
        </w:tc>
        <w:tc>
          <w:tcPr>
            <w:tcW w:w="996"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1 126 958</w:t>
            </w:r>
          </w:p>
        </w:tc>
        <w:tc>
          <w:tcPr>
            <w:tcW w:w="556"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-57</w:t>
            </w:r>
          </w:p>
        </w:tc>
        <w:tc>
          <w:tcPr>
            <w:tcW w:w="1067"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-2 243 736</w:t>
            </w:r>
          </w:p>
        </w:tc>
        <w:tc>
          <w:tcPr>
            <w:tcW w:w="556"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-30</w:t>
            </w:r>
          </w:p>
        </w:tc>
        <w:tc>
          <w:tcPr>
            <w:tcW w:w="892" w:type="dxa"/>
            <w:tcBorders>
              <w:top w:val="single" w:sz="8" w:space="0" w:color="auto"/>
              <w:left w:val="nil"/>
              <w:bottom w:val="double" w:sz="6" w:space="0" w:color="auto"/>
              <w:right w:val="single" w:sz="8" w:space="0" w:color="auto"/>
            </w:tcBorders>
            <w:shd w:val="clear" w:color="auto" w:fill="auto"/>
            <w:noWrap/>
            <w:vAlign w:val="bottom"/>
            <w:hideMark/>
          </w:tcPr>
          <w:p w:rsidR="00C75A88" w:rsidRPr="00DD66C2" w:rsidRDefault="00C75A88" w:rsidP="00C75A88">
            <w:pPr>
              <w:jc w:val="right"/>
              <w:rPr>
                <w:rFonts w:asciiTheme="minorHAnsi" w:eastAsia="Times New Roman" w:hAnsiTheme="minorHAnsi" w:cstheme="minorHAnsi"/>
                <w:b/>
                <w:bCs/>
                <w:sz w:val="18"/>
                <w:szCs w:val="18"/>
                <w:lang w:eastAsia="bg-BG"/>
              </w:rPr>
            </w:pPr>
            <w:r w:rsidRPr="00DD66C2">
              <w:rPr>
                <w:rFonts w:asciiTheme="minorHAnsi" w:eastAsia="Times New Roman" w:hAnsiTheme="minorHAnsi" w:cstheme="minorHAnsi"/>
                <w:b/>
                <w:bCs/>
                <w:sz w:val="18"/>
                <w:szCs w:val="18"/>
                <w:lang w:eastAsia="bg-BG"/>
              </w:rPr>
              <w:t>266 557</w:t>
            </w:r>
          </w:p>
        </w:tc>
      </w:tr>
    </w:tbl>
    <w:p w:rsidR="00C75A88" w:rsidRPr="002C0057" w:rsidRDefault="00C75A88" w:rsidP="00C75A88">
      <w:pPr>
        <w:spacing w:before="240" w:after="120"/>
        <w:ind w:firstLine="567"/>
        <w:jc w:val="both"/>
      </w:pPr>
      <w:r w:rsidRPr="00815B3B">
        <w:t xml:space="preserve">За </w:t>
      </w:r>
      <w:r>
        <w:t xml:space="preserve">12-те месеца на </w:t>
      </w:r>
      <w:r w:rsidRPr="00815B3B">
        <w:t>201</w:t>
      </w:r>
      <w:r>
        <w:t>7</w:t>
      </w:r>
      <w:r w:rsidRPr="00815B3B">
        <w:t xml:space="preserve"> г. </w:t>
      </w:r>
      <w:r>
        <w:t>отче</w:t>
      </w:r>
      <w:r w:rsidRPr="00815B3B">
        <w:t xml:space="preserve">тът за среден ремонт във вагоно-ремонтните цехове се изпълнява </w:t>
      </w:r>
      <w:r>
        <w:t>85</w:t>
      </w:r>
      <w:r w:rsidRPr="00815B3B">
        <w:t xml:space="preserve">%  извършен е среден ремонт на </w:t>
      </w:r>
      <w:r>
        <w:t>331</w:t>
      </w:r>
      <w:r w:rsidRPr="00815B3B">
        <w:t xml:space="preserve"> броя вагони при планирани </w:t>
      </w:r>
      <w:r>
        <w:t>361 броя</w:t>
      </w:r>
      <w:r w:rsidRPr="00C9007B">
        <w:rPr>
          <w:lang w:val="ru-RU"/>
        </w:rPr>
        <w:t>.</w:t>
      </w:r>
      <w:r w:rsidRPr="00815B3B">
        <w:t xml:space="preserve"> Спрямо същия период на 201</w:t>
      </w:r>
      <w:r>
        <w:t>6</w:t>
      </w:r>
      <w:r w:rsidRPr="00815B3B">
        <w:t xml:space="preserve"> година, отчетът се изпълнява </w:t>
      </w:r>
      <w:r w:rsidRPr="002C0057">
        <w:t xml:space="preserve">на </w:t>
      </w:r>
      <w:r>
        <w:t>92</w:t>
      </w:r>
      <w:r w:rsidRPr="002C0057">
        <w:t xml:space="preserve">%, отремонтирани са </w:t>
      </w:r>
      <w:r>
        <w:t>с 30</w:t>
      </w:r>
      <w:r w:rsidRPr="002C0057">
        <w:t xml:space="preserve"> бро</w:t>
      </w:r>
      <w:r>
        <w:t>я</w:t>
      </w:r>
      <w:r w:rsidRPr="002C0057">
        <w:t xml:space="preserve"> по</w:t>
      </w:r>
      <w:r>
        <w:t>-малко</w:t>
      </w:r>
      <w:r w:rsidRPr="002C0057">
        <w:t xml:space="preserve"> вагони.</w:t>
      </w:r>
    </w:p>
    <w:p w:rsidR="00C75A88" w:rsidRPr="00F202EF" w:rsidRDefault="00C75A88" w:rsidP="00C75A88">
      <w:pPr>
        <w:spacing w:before="120" w:after="60"/>
        <w:jc w:val="both"/>
        <w:rPr>
          <w:lang w:val="ru-RU"/>
        </w:rPr>
      </w:pPr>
      <w:r w:rsidRPr="002C0057">
        <w:t xml:space="preserve"> </w:t>
      </w:r>
      <w:r w:rsidRPr="00852D4D">
        <w:t>Направени са средни ремонти във:</w:t>
      </w:r>
    </w:p>
    <w:p w:rsidR="00C75A88" w:rsidRPr="00321E58" w:rsidRDefault="00C75A88" w:rsidP="00C75A88">
      <w:pPr>
        <w:numPr>
          <w:ilvl w:val="0"/>
          <w:numId w:val="26"/>
        </w:numPr>
        <w:spacing w:after="60"/>
        <w:ind w:left="357" w:hanging="357"/>
        <w:jc w:val="both"/>
      </w:pPr>
      <w:r w:rsidRPr="00852D4D">
        <w:t xml:space="preserve">ВРЦ Подуене – </w:t>
      </w:r>
      <w:r w:rsidRPr="002C0057">
        <w:t>извършени</w:t>
      </w:r>
      <w:r>
        <w:t xml:space="preserve"> </w:t>
      </w:r>
      <w:r w:rsidRPr="002C0057">
        <w:t>са</w:t>
      </w:r>
      <w:r>
        <w:t xml:space="preserve"> 54 </w:t>
      </w:r>
      <w:r w:rsidRPr="002C0057">
        <w:t>средни ремонта</w:t>
      </w:r>
      <w:r>
        <w:t>,</w:t>
      </w:r>
      <w:r w:rsidRPr="00852D4D">
        <w:t xml:space="preserve"> отремонтиран</w:t>
      </w:r>
      <w:r>
        <w:t>и са</w:t>
      </w:r>
      <w:r w:rsidRPr="00852D4D">
        <w:t xml:space="preserve"> </w:t>
      </w:r>
      <w:r>
        <w:t>30 открити, 1 платформен</w:t>
      </w:r>
      <w:r w:rsidRPr="00852D4D">
        <w:t xml:space="preserve"> вагон</w:t>
      </w:r>
      <w:r>
        <w:t>, 10 седловидни и 13 броя цистерни</w:t>
      </w:r>
      <w:r w:rsidRPr="00852D4D">
        <w:t>.</w:t>
      </w:r>
    </w:p>
    <w:p w:rsidR="00C75A88" w:rsidRPr="007F2CA6" w:rsidRDefault="00C75A88" w:rsidP="00C75A88">
      <w:pPr>
        <w:numPr>
          <w:ilvl w:val="0"/>
          <w:numId w:val="26"/>
        </w:numPr>
        <w:spacing w:after="60"/>
        <w:ind w:left="357" w:hanging="357"/>
        <w:jc w:val="both"/>
      </w:pPr>
      <w:r w:rsidRPr="007F2CA6">
        <w:lastRenderedPageBreak/>
        <w:t xml:space="preserve">ВРЦ Мездра – Лом – </w:t>
      </w:r>
      <w:r w:rsidRPr="002C0057">
        <w:t>извършени</w:t>
      </w:r>
      <w:r>
        <w:t xml:space="preserve"> </w:t>
      </w:r>
      <w:r w:rsidRPr="002C0057">
        <w:t>са</w:t>
      </w:r>
      <w:r>
        <w:t xml:space="preserve"> 79 </w:t>
      </w:r>
      <w:r w:rsidRPr="002C0057">
        <w:t>средни ремонта</w:t>
      </w:r>
      <w:r>
        <w:t xml:space="preserve">, </w:t>
      </w:r>
      <w:r w:rsidRPr="007F2CA6">
        <w:t>отремонтиран</w:t>
      </w:r>
      <w:r>
        <w:t>и са 42</w:t>
      </w:r>
      <w:r w:rsidRPr="007F2CA6">
        <w:t xml:space="preserve"> </w:t>
      </w:r>
      <w:r>
        <w:t>открити</w:t>
      </w:r>
      <w:r w:rsidRPr="007F2CA6">
        <w:t xml:space="preserve"> вагон</w:t>
      </w:r>
      <w:r>
        <w:t xml:space="preserve">а, 8 платформени, 14 седловидни, 9 броя цистерни и 6 </w:t>
      </w:r>
      <w:r>
        <w:rPr>
          <w:lang w:val="en-US"/>
        </w:rPr>
        <w:t>U</w:t>
      </w:r>
      <w:r w:rsidRPr="00332DD2">
        <w:rPr>
          <w:lang w:val="ru-RU"/>
        </w:rPr>
        <w:t xml:space="preserve"> 932 </w:t>
      </w:r>
      <w:r>
        <w:t>вагона.</w:t>
      </w:r>
    </w:p>
    <w:p w:rsidR="00C75A88" w:rsidRPr="002C0057" w:rsidRDefault="00C75A88" w:rsidP="00C75A88">
      <w:pPr>
        <w:numPr>
          <w:ilvl w:val="0"/>
          <w:numId w:val="26"/>
        </w:numPr>
        <w:spacing w:after="60"/>
        <w:ind w:left="357" w:hanging="357"/>
        <w:jc w:val="both"/>
        <w:rPr>
          <w:lang w:val="ru-RU"/>
        </w:rPr>
      </w:pPr>
      <w:r w:rsidRPr="002C0057">
        <w:t>ВРЦ Пловдив</w:t>
      </w:r>
      <w:r w:rsidRPr="002C0057">
        <w:rPr>
          <w:lang w:val="ru-RU"/>
        </w:rPr>
        <w:t>–</w:t>
      </w:r>
      <w:r w:rsidRPr="002C0057">
        <w:t xml:space="preserve"> извършени</w:t>
      </w:r>
      <w:r>
        <w:t xml:space="preserve"> </w:t>
      </w:r>
      <w:r w:rsidRPr="002C0057">
        <w:t>са</w:t>
      </w:r>
      <w:r>
        <w:t xml:space="preserve"> 44 </w:t>
      </w:r>
      <w:r w:rsidRPr="002C0057">
        <w:t>средни ремонта, от които</w:t>
      </w:r>
      <w:r>
        <w:t xml:space="preserve"> на</w:t>
      </w:r>
      <w:r w:rsidRPr="002C0057">
        <w:t xml:space="preserve"> </w:t>
      </w:r>
      <w:r>
        <w:t xml:space="preserve">10 </w:t>
      </w:r>
      <w:r w:rsidRPr="002C0057">
        <w:t>покрит</w:t>
      </w:r>
      <w:r>
        <w:t>и</w:t>
      </w:r>
      <w:r w:rsidRPr="002C0057">
        <w:t xml:space="preserve"> вагон</w:t>
      </w:r>
      <w:r>
        <w:t xml:space="preserve">а, на 4 </w:t>
      </w:r>
      <w:r>
        <w:rPr>
          <w:lang w:val="en-US"/>
        </w:rPr>
        <w:t>G</w:t>
      </w:r>
      <w:r>
        <w:rPr>
          <w:lang w:val="ru-RU"/>
        </w:rPr>
        <w:t xml:space="preserve"> </w:t>
      </w:r>
      <w:r>
        <w:t xml:space="preserve">покрити,  1 открит вагон, 17 платформени, 2 </w:t>
      </w:r>
      <w:r w:rsidRPr="00602D03">
        <w:t>седловидн</w:t>
      </w:r>
      <w:r>
        <w:t>и</w:t>
      </w:r>
      <w:r w:rsidRPr="00602D03">
        <w:t xml:space="preserve"> вагон</w:t>
      </w:r>
      <w:r>
        <w:t>а, 2 зърновоза и 8 цистерни</w:t>
      </w:r>
      <w:r w:rsidRPr="00852D4D">
        <w:rPr>
          <w:lang w:val="ru-RU"/>
        </w:rPr>
        <w:t>.</w:t>
      </w:r>
    </w:p>
    <w:p w:rsidR="00C75A88" w:rsidRPr="00D20662" w:rsidRDefault="00C75A88" w:rsidP="00C75A88">
      <w:pPr>
        <w:numPr>
          <w:ilvl w:val="0"/>
          <w:numId w:val="26"/>
        </w:numPr>
        <w:spacing w:after="60"/>
        <w:ind w:left="357" w:hanging="357"/>
        <w:jc w:val="both"/>
        <w:rPr>
          <w:lang w:val="ru-RU"/>
        </w:rPr>
      </w:pPr>
      <w:r w:rsidRPr="00D33010">
        <w:t xml:space="preserve">ВРЦ Стара Загора – извършен е среден ремонт на </w:t>
      </w:r>
      <w:r>
        <w:t>40</w:t>
      </w:r>
      <w:r w:rsidRPr="00D33010">
        <w:t xml:space="preserve"> броя вагони,</w:t>
      </w:r>
      <w:r>
        <w:t xml:space="preserve"> 6 открити вагона, 1</w:t>
      </w:r>
      <w:r w:rsidRPr="00D33010">
        <w:t xml:space="preserve"> платформен вагон, </w:t>
      </w:r>
      <w:r>
        <w:t>22</w:t>
      </w:r>
      <w:r w:rsidRPr="00D33010">
        <w:t xml:space="preserve"> броя </w:t>
      </w:r>
      <w:r w:rsidRPr="00D20662">
        <w:t xml:space="preserve">седловидни и </w:t>
      </w:r>
      <w:r>
        <w:t>11</w:t>
      </w:r>
      <w:r w:rsidRPr="00D20662">
        <w:t xml:space="preserve"> </w:t>
      </w:r>
      <w:r>
        <w:t>ц</w:t>
      </w:r>
      <w:r w:rsidRPr="00D20662">
        <w:t>и</w:t>
      </w:r>
      <w:r>
        <w:t>стерни</w:t>
      </w:r>
      <w:r w:rsidRPr="00D20662">
        <w:t>.</w:t>
      </w:r>
    </w:p>
    <w:p w:rsidR="00C75A88" w:rsidRPr="00602D03" w:rsidRDefault="00C75A88" w:rsidP="00C75A88">
      <w:pPr>
        <w:numPr>
          <w:ilvl w:val="0"/>
          <w:numId w:val="26"/>
        </w:numPr>
        <w:spacing w:after="60"/>
        <w:ind w:left="360"/>
        <w:jc w:val="both"/>
      </w:pPr>
      <w:r w:rsidRPr="00D20662">
        <w:t xml:space="preserve">Горна Оряховица </w:t>
      </w:r>
      <w:r>
        <w:t xml:space="preserve">– </w:t>
      </w:r>
      <w:r w:rsidRPr="002C0057">
        <w:t>извършени</w:t>
      </w:r>
      <w:r>
        <w:t xml:space="preserve"> </w:t>
      </w:r>
      <w:r w:rsidRPr="002C0057">
        <w:t>са</w:t>
      </w:r>
      <w:r>
        <w:t xml:space="preserve"> 36 </w:t>
      </w:r>
      <w:r w:rsidRPr="002C0057">
        <w:t>средни ремонта</w:t>
      </w:r>
      <w:r>
        <w:t xml:space="preserve">, </w:t>
      </w:r>
      <w:r w:rsidRPr="00852D4D">
        <w:t>отремонтиран</w:t>
      </w:r>
      <w:r>
        <w:t>и са 1 покрит, 26 открити, 2 платформени</w:t>
      </w:r>
      <w:r w:rsidRPr="00852D4D">
        <w:t xml:space="preserve"> вагон</w:t>
      </w:r>
      <w:r>
        <w:t>а и 7 зърновоза</w:t>
      </w:r>
      <w:r w:rsidRPr="00852D4D">
        <w:t>.</w:t>
      </w:r>
    </w:p>
    <w:p w:rsidR="00C75A88" w:rsidRDefault="00C75A88" w:rsidP="00C75A88">
      <w:pPr>
        <w:numPr>
          <w:ilvl w:val="0"/>
          <w:numId w:val="26"/>
        </w:numPr>
        <w:spacing w:after="60"/>
        <w:ind w:left="357" w:hanging="357"/>
        <w:jc w:val="both"/>
      </w:pPr>
      <w:r w:rsidRPr="00602D03">
        <w:t>ВРЦ Варна –</w:t>
      </w:r>
      <w:r>
        <w:t xml:space="preserve"> </w:t>
      </w:r>
      <w:r w:rsidRPr="002C0057">
        <w:t>извършени</w:t>
      </w:r>
      <w:r>
        <w:t xml:space="preserve"> </w:t>
      </w:r>
      <w:r w:rsidRPr="002C0057">
        <w:t>са</w:t>
      </w:r>
      <w:r>
        <w:t xml:space="preserve"> 43 </w:t>
      </w:r>
      <w:r w:rsidRPr="002C0057">
        <w:t>средни ремонта</w:t>
      </w:r>
      <w:r>
        <w:t xml:space="preserve">, </w:t>
      </w:r>
      <w:r w:rsidRPr="00852D4D">
        <w:t>отремонтиран</w:t>
      </w:r>
      <w:r>
        <w:t xml:space="preserve">и са 1 покрит, 5 открити,  1 </w:t>
      </w:r>
      <w:r w:rsidRPr="00602D03">
        <w:t>седловиден вагон</w:t>
      </w:r>
      <w:r>
        <w:t xml:space="preserve">, 34 цистерни и 2 - </w:t>
      </w:r>
      <w:r>
        <w:rPr>
          <w:lang w:val="en-US"/>
        </w:rPr>
        <w:t>U</w:t>
      </w:r>
      <w:r w:rsidRPr="00332DD2">
        <w:rPr>
          <w:lang w:val="ru-RU"/>
        </w:rPr>
        <w:t xml:space="preserve"> 932 </w:t>
      </w:r>
      <w:r>
        <w:t>вагона.</w:t>
      </w:r>
    </w:p>
    <w:p w:rsidR="00C75A88" w:rsidRPr="007F2CA6" w:rsidRDefault="00C75A88" w:rsidP="00C75A88">
      <w:pPr>
        <w:numPr>
          <w:ilvl w:val="0"/>
          <w:numId w:val="26"/>
        </w:numPr>
        <w:spacing w:after="60"/>
        <w:ind w:left="357" w:hanging="357"/>
        <w:jc w:val="both"/>
      </w:pPr>
      <w:r>
        <w:t xml:space="preserve">Синдел – </w:t>
      </w:r>
      <w:r w:rsidRPr="002C0057">
        <w:t>извършени</w:t>
      </w:r>
      <w:r>
        <w:t xml:space="preserve"> </w:t>
      </w:r>
      <w:r w:rsidRPr="002C0057">
        <w:t>са</w:t>
      </w:r>
      <w:r>
        <w:t xml:space="preserve"> 35 </w:t>
      </w:r>
      <w:r w:rsidRPr="002C0057">
        <w:t>средни ремонта</w:t>
      </w:r>
      <w:r>
        <w:t>,</w:t>
      </w:r>
      <w:r w:rsidRPr="00852D4D">
        <w:t xml:space="preserve"> отремонтиран</w:t>
      </w:r>
      <w:r>
        <w:t xml:space="preserve">и са 32 открити </w:t>
      </w:r>
      <w:r w:rsidRPr="00602D03">
        <w:t>вагон</w:t>
      </w:r>
      <w:r>
        <w:t xml:space="preserve">а и 1 цистерна и 2 - </w:t>
      </w:r>
      <w:r>
        <w:rPr>
          <w:lang w:val="en-US"/>
        </w:rPr>
        <w:t>U</w:t>
      </w:r>
      <w:r w:rsidRPr="00332DD2">
        <w:rPr>
          <w:lang w:val="ru-RU"/>
        </w:rPr>
        <w:t xml:space="preserve"> 932 </w:t>
      </w:r>
      <w:r>
        <w:t>вагона.</w:t>
      </w:r>
    </w:p>
    <w:p w:rsidR="00C75A88" w:rsidRPr="0007185E" w:rsidRDefault="00C75A88" w:rsidP="00C75A88">
      <w:pPr>
        <w:spacing w:after="60"/>
        <w:jc w:val="both"/>
      </w:pPr>
      <w:r w:rsidRPr="0092223B">
        <w:t>Няма извършвани ремонти във вагоно</w:t>
      </w:r>
      <w:r w:rsidRPr="0092223B">
        <w:rPr>
          <w:lang w:val="ru-RU"/>
        </w:rPr>
        <w:t>-</w:t>
      </w:r>
      <w:r w:rsidRPr="0092223B">
        <w:t>ремонтните заводи към 3</w:t>
      </w:r>
      <w:r>
        <w:t>1</w:t>
      </w:r>
      <w:r w:rsidRPr="0092223B">
        <w:rPr>
          <w:lang w:val="ru-RU"/>
        </w:rPr>
        <w:t>.</w:t>
      </w:r>
      <w:r>
        <w:rPr>
          <w:lang w:val="ru-RU"/>
        </w:rPr>
        <w:t>12</w:t>
      </w:r>
      <w:r w:rsidRPr="0092223B">
        <w:t>.2017 година</w:t>
      </w:r>
      <w:r w:rsidRPr="0092223B">
        <w:rPr>
          <w:lang w:val="ru-RU"/>
        </w:rPr>
        <w:t>.</w:t>
      </w:r>
      <w:r w:rsidRPr="0007185E">
        <w:t xml:space="preserve"> </w:t>
      </w:r>
    </w:p>
    <w:p w:rsidR="00C75A88" w:rsidRPr="0007185E" w:rsidRDefault="00C75A88" w:rsidP="00C75A88">
      <w:pPr>
        <w:jc w:val="both"/>
      </w:pPr>
    </w:p>
    <w:p w:rsidR="00C75A88" w:rsidRDefault="00C75A88" w:rsidP="00C75A88">
      <w:pPr>
        <w:numPr>
          <w:ilvl w:val="0"/>
          <w:numId w:val="13"/>
        </w:numPr>
        <w:spacing w:after="120"/>
        <w:rPr>
          <w:b/>
          <w:i/>
        </w:rPr>
      </w:pPr>
      <w:r w:rsidRPr="008120DB">
        <w:rPr>
          <w:b/>
          <w:i/>
        </w:rPr>
        <w:t>Ремонт на локомотиви</w:t>
      </w:r>
    </w:p>
    <w:p w:rsidR="00C75A88" w:rsidRDefault="00C75A88" w:rsidP="00C75A88">
      <w:pPr>
        <w:ind w:right="142"/>
        <w:jc w:val="both"/>
        <w:rPr>
          <w:lang w:val="ru-RU"/>
        </w:rPr>
      </w:pPr>
      <w:r w:rsidRPr="000F362A">
        <w:rPr>
          <w:b/>
          <w:u w:val="single"/>
          <w:lang w:val="ru-RU"/>
        </w:rPr>
        <w:t>Текущото поддържане</w:t>
      </w:r>
      <w:r w:rsidRPr="000F362A">
        <w:rPr>
          <w:b/>
          <w:lang w:val="ru-RU"/>
        </w:rPr>
        <w:t xml:space="preserve"> </w:t>
      </w:r>
      <w:r w:rsidRPr="000F362A">
        <w:rPr>
          <w:lang w:val="ru-RU"/>
        </w:rPr>
        <w:t>на локомотивите – технически преглед (ТП) и малък периодичен ремонт (МПР), извършван</w:t>
      </w:r>
      <w:r w:rsidRPr="000F362A">
        <w:t>и</w:t>
      </w:r>
      <w:r w:rsidRPr="000F362A">
        <w:rPr>
          <w:lang w:val="ru-RU"/>
        </w:rPr>
        <w:t xml:space="preserve"> в локомотивни депа, собственост на </w:t>
      </w:r>
      <w:r>
        <w:t xml:space="preserve">„БДЖ - Товарни превози” ЕООД </w:t>
      </w:r>
      <w:r w:rsidRPr="000F362A">
        <w:rPr>
          <w:lang w:val="ru-RU"/>
        </w:rPr>
        <w:t xml:space="preserve">и в заводи,  </w:t>
      </w:r>
      <w:r w:rsidRPr="000F362A">
        <w:t>през 2017 г.</w:t>
      </w:r>
      <w:r>
        <w:t>,</w:t>
      </w:r>
      <w:r w:rsidRPr="000F362A">
        <w:t xml:space="preserve"> </w:t>
      </w:r>
      <w:r w:rsidRPr="000F362A">
        <w:rPr>
          <w:lang w:val="ru-RU"/>
        </w:rPr>
        <w:t>е отразено в следващите таблици:</w:t>
      </w:r>
    </w:p>
    <w:p w:rsidR="00C75A88" w:rsidRPr="009116E6" w:rsidRDefault="00C75A88" w:rsidP="00C75A88">
      <w:pPr>
        <w:rPr>
          <w:b/>
          <w:i/>
          <w:sz w:val="18"/>
          <w:szCs w:val="18"/>
          <w:lang w:val="en-US"/>
        </w:rPr>
      </w:pPr>
      <w:r w:rsidRPr="00084082">
        <w:rPr>
          <w:b/>
          <w:i/>
          <w:lang w:val="ru-RU"/>
        </w:rPr>
        <w:t xml:space="preserve">В депа на „БДЖ – Товарни превози” ЕООД  </w:t>
      </w:r>
    </w:p>
    <w:tbl>
      <w:tblPr>
        <w:tblW w:w="10207" w:type="dxa"/>
        <w:tblInd w:w="-318" w:type="dxa"/>
        <w:tblLayout w:type="fixed"/>
        <w:tblLook w:val="04A0" w:firstRow="1" w:lastRow="0" w:firstColumn="1" w:lastColumn="0" w:noHBand="0" w:noVBand="1"/>
      </w:tblPr>
      <w:tblGrid>
        <w:gridCol w:w="993"/>
        <w:gridCol w:w="851"/>
        <w:gridCol w:w="992"/>
        <w:gridCol w:w="798"/>
        <w:gridCol w:w="995"/>
        <w:gridCol w:w="900"/>
        <w:gridCol w:w="993"/>
        <w:gridCol w:w="992"/>
        <w:gridCol w:w="992"/>
        <w:gridCol w:w="851"/>
        <w:gridCol w:w="850"/>
      </w:tblGrid>
      <w:tr w:rsidR="00C75A88" w:rsidRPr="009116E6" w:rsidTr="00C75A88">
        <w:trPr>
          <w:trHeight w:val="121"/>
        </w:trPr>
        <w:tc>
          <w:tcPr>
            <w:tcW w:w="993" w:type="dxa"/>
            <w:tcBorders>
              <w:top w:val="single" w:sz="4" w:space="0" w:color="auto"/>
              <w:left w:val="single" w:sz="4" w:space="0" w:color="auto"/>
              <w:bottom w:val="nil"/>
              <w:right w:val="single" w:sz="4" w:space="0" w:color="auto"/>
            </w:tcBorders>
            <w:shd w:val="clear" w:color="auto" w:fill="auto"/>
            <w:hideMark/>
          </w:tcPr>
          <w:p w:rsidR="00C75A88" w:rsidRPr="003377F4" w:rsidRDefault="00C75A88" w:rsidP="00C75A88">
            <w:pPr>
              <w:jc w:val="center"/>
              <w:rPr>
                <w:rFonts w:cs="Calibri"/>
                <w:b/>
                <w:bCs/>
                <w:sz w:val="18"/>
                <w:szCs w:val="18"/>
                <w:lang w:val="en-US" w:eastAsia="en-US"/>
              </w:rPr>
            </w:pPr>
            <w:r w:rsidRPr="003377F4">
              <w:rPr>
                <w:rFonts w:cs="Calibri"/>
                <w:b/>
                <w:bCs/>
                <w:sz w:val="18"/>
                <w:szCs w:val="18"/>
                <w:lang w:val="en-US" w:eastAsia="en-US"/>
              </w:rPr>
              <w:t>Вид ремонт</w:t>
            </w:r>
          </w:p>
        </w:tc>
        <w:tc>
          <w:tcPr>
            <w:tcW w:w="1843"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3377F4" w:rsidRDefault="00C75A88" w:rsidP="00C75A88">
            <w:pPr>
              <w:jc w:val="center"/>
              <w:rPr>
                <w:rFonts w:cs="Calibri"/>
                <w:b/>
                <w:bCs/>
                <w:sz w:val="18"/>
                <w:szCs w:val="18"/>
                <w:lang w:val="en-US" w:eastAsia="en-US"/>
              </w:rPr>
            </w:pPr>
            <w:r w:rsidRPr="003377F4">
              <w:rPr>
                <w:rFonts w:cs="Calibri"/>
                <w:b/>
                <w:bCs/>
                <w:sz w:val="18"/>
                <w:szCs w:val="18"/>
                <w:lang w:val="en-US" w:eastAsia="en-US"/>
              </w:rPr>
              <w:t>Отчет 2017 г.</w:t>
            </w:r>
          </w:p>
        </w:tc>
        <w:tc>
          <w:tcPr>
            <w:tcW w:w="1793"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3377F4" w:rsidRDefault="00C75A88" w:rsidP="00C75A88">
            <w:pPr>
              <w:jc w:val="center"/>
              <w:rPr>
                <w:rFonts w:cs="Calibri"/>
                <w:b/>
                <w:bCs/>
                <w:sz w:val="18"/>
                <w:szCs w:val="18"/>
                <w:lang w:val="en-US" w:eastAsia="en-US"/>
              </w:rPr>
            </w:pPr>
            <w:r w:rsidRPr="003377F4">
              <w:rPr>
                <w:rFonts w:cs="Calibri"/>
                <w:b/>
                <w:bCs/>
                <w:sz w:val="18"/>
                <w:szCs w:val="18"/>
                <w:lang w:val="en-US" w:eastAsia="en-US"/>
              </w:rPr>
              <w:t>Бюджет 2017 г.</w:t>
            </w:r>
          </w:p>
        </w:tc>
        <w:tc>
          <w:tcPr>
            <w:tcW w:w="1893" w:type="dxa"/>
            <w:gridSpan w:val="2"/>
            <w:tcBorders>
              <w:top w:val="single" w:sz="4" w:space="0" w:color="000000"/>
              <w:left w:val="nil"/>
              <w:bottom w:val="single" w:sz="4" w:space="0" w:color="000000"/>
              <w:right w:val="single" w:sz="4" w:space="0" w:color="000000"/>
            </w:tcBorders>
            <w:shd w:val="clear" w:color="auto" w:fill="auto"/>
            <w:vAlign w:val="center"/>
            <w:hideMark/>
          </w:tcPr>
          <w:p w:rsidR="00C75A88" w:rsidRPr="003377F4" w:rsidRDefault="00C75A88" w:rsidP="00C75A88">
            <w:pPr>
              <w:jc w:val="center"/>
              <w:rPr>
                <w:rFonts w:cs="Calibri"/>
                <w:b/>
                <w:bCs/>
                <w:sz w:val="18"/>
                <w:szCs w:val="18"/>
                <w:lang w:val="en-US" w:eastAsia="en-US"/>
              </w:rPr>
            </w:pPr>
            <w:r w:rsidRPr="003377F4">
              <w:rPr>
                <w:rFonts w:cs="Calibri"/>
                <w:b/>
                <w:bCs/>
                <w:sz w:val="18"/>
                <w:szCs w:val="18"/>
                <w:lang w:val="en-US" w:eastAsia="en-US"/>
              </w:rPr>
              <w:t>Отчет 2016 г.</w:t>
            </w:r>
          </w:p>
        </w:tc>
        <w:tc>
          <w:tcPr>
            <w:tcW w:w="1984"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3377F4" w:rsidRDefault="00C75A88" w:rsidP="00C75A88">
            <w:pPr>
              <w:jc w:val="center"/>
              <w:rPr>
                <w:rFonts w:cs="Calibri"/>
                <w:b/>
                <w:bCs/>
                <w:sz w:val="18"/>
                <w:szCs w:val="18"/>
                <w:lang w:val="en-US" w:eastAsia="en-US"/>
              </w:rPr>
            </w:pPr>
            <w:r w:rsidRPr="003377F4">
              <w:rPr>
                <w:rFonts w:cs="Calibri"/>
                <w:b/>
                <w:bCs/>
                <w:sz w:val="18"/>
                <w:szCs w:val="18"/>
                <w:lang w:val="en-US" w:eastAsia="en-US"/>
              </w:rPr>
              <w:t>+/- отчет/бюджет</w:t>
            </w:r>
          </w:p>
        </w:tc>
        <w:tc>
          <w:tcPr>
            <w:tcW w:w="1701"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3377F4" w:rsidRDefault="00C75A88" w:rsidP="00C75A88">
            <w:pPr>
              <w:jc w:val="center"/>
              <w:rPr>
                <w:rFonts w:cs="Calibri"/>
                <w:b/>
                <w:bCs/>
                <w:sz w:val="18"/>
                <w:szCs w:val="18"/>
                <w:lang w:val="en-US" w:eastAsia="en-US"/>
              </w:rPr>
            </w:pPr>
            <w:r w:rsidRPr="003377F4">
              <w:rPr>
                <w:rFonts w:cs="Calibri"/>
                <w:b/>
                <w:bCs/>
                <w:sz w:val="18"/>
                <w:szCs w:val="18"/>
                <w:lang w:val="en-US" w:eastAsia="en-US"/>
              </w:rPr>
              <w:t>+/- отчет 2017/2016</w:t>
            </w:r>
          </w:p>
        </w:tc>
      </w:tr>
      <w:tr w:rsidR="00C75A88" w:rsidRPr="003377F4" w:rsidTr="00C75A88">
        <w:trPr>
          <w:trHeight w:val="114"/>
        </w:trPr>
        <w:tc>
          <w:tcPr>
            <w:tcW w:w="993" w:type="dxa"/>
            <w:tcBorders>
              <w:top w:val="nil"/>
              <w:left w:val="single" w:sz="4" w:space="0" w:color="auto"/>
              <w:bottom w:val="single" w:sz="4" w:space="0" w:color="auto"/>
              <w:right w:val="single" w:sz="4" w:space="0" w:color="auto"/>
            </w:tcBorders>
            <w:shd w:val="clear" w:color="auto" w:fill="auto"/>
            <w:hideMark/>
          </w:tcPr>
          <w:p w:rsidR="00C75A88" w:rsidRPr="003377F4" w:rsidRDefault="00C75A88" w:rsidP="00C75A88">
            <w:pPr>
              <w:jc w:val="center"/>
              <w:rPr>
                <w:rFonts w:cs="Calibri"/>
                <w:b/>
                <w:bCs/>
                <w:sz w:val="16"/>
                <w:szCs w:val="16"/>
                <w:lang w:val="en-US" w:eastAsia="en-US"/>
              </w:rPr>
            </w:pPr>
            <w:r w:rsidRPr="003377F4">
              <w:rPr>
                <w:rFonts w:cs="Calibri"/>
                <w:b/>
                <w:bCs/>
                <w:sz w:val="16"/>
                <w:szCs w:val="16"/>
                <w:lang w:val="en-US" w:eastAsia="en-US"/>
              </w:rPr>
              <w:t> </w:t>
            </w:r>
          </w:p>
        </w:tc>
        <w:tc>
          <w:tcPr>
            <w:tcW w:w="851"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center"/>
              <w:rPr>
                <w:rFonts w:cs="Calibri"/>
                <w:b/>
                <w:bCs/>
                <w:sz w:val="16"/>
                <w:szCs w:val="16"/>
                <w:lang w:val="en-US" w:eastAsia="en-US"/>
              </w:rPr>
            </w:pPr>
            <w:r w:rsidRPr="003377F4">
              <w:rPr>
                <w:rFonts w:cs="Calibri"/>
                <w:b/>
                <w:bCs/>
                <w:sz w:val="16"/>
                <w:szCs w:val="16"/>
                <w:lang w:val="en-US" w:eastAsia="en-US"/>
              </w:rPr>
              <w:t>брой</w:t>
            </w:r>
          </w:p>
        </w:tc>
        <w:tc>
          <w:tcPr>
            <w:tcW w:w="992"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center"/>
              <w:rPr>
                <w:rFonts w:cs="Calibri"/>
                <w:b/>
                <w:bCs/>
                <w:sz w:val="16"/>
                <w:szCs w:val="16"/>
                <w:lang w:val="en-US" w:eastAsia="en-US"/>
              </w:rPr>
            </w:pPr>
            <w:r w:rsidRPr="003377F4">
              <w:rPr>
                <w:rFonts w:cs="Calibri"/>
                <w:b/>
                <w:bCs/>
                <w:sz w:val="16"/>
                <w:szCs w:val="16"/>
                <w:lang w:val="en-US" w:eastAsia="en-US"/>
              </w:rPr>
              <w:t>ст-ст (лв)</w:t>
            </w:r>
          </w:p>
        </w:tc>
        <w:tc>
          <w:tcPr>
            <w:tcW w:w="798"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center"/>
              <w:rPr>
                <w:rFonts w:cs="Calibri"/>
                <w:b/>
                <w:bCs/>
                <w:sz w:val="16"/>
                <w:szCs w:val="16"/>
                <w:lang w:val="en-US" w:eastAsia="en-US"/>
              </w:rPr>
            </w:pPr>
            <w:r w:rsidRPr="003377F4">
              <w:rPr>
                <w:rFonts w:cs="Calibri"/>
                <w:b/>
                <w:bCs/>
                <w:sz w:val="16"/>
                <w:szCs w:val="16"/>
                <w:lang w:val="en-US" w:eastAsia="en-US"/>
              </w:rPr>
              <w:t>брой</w:t>
            </w:r>
          </w:p>
        </w:tc>
        <w:tc>
          <w:tcPr>
            <w:tcW w:w="995"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center"/>
              <w:rPr>
                <w:rFonts w:cs="Calibri"/>
                <w:b/>
                <w:bCs/>
                <w:sz w:val="16"/>
                <w:szCs w:val="16"/>
                <w:lang w:val="en-US" w:eastAsia="en-US"/>
              </w:rPr>
            </w:pPr>
            <w:r w:rsidRPr="003377F4">
              <w:rPr>
                <w:rFonts w:cs="Calibri"/>
                <w:b/>
                <w:bCs/>
                <w:sz w:val="16"/>
                <w:szCs w:val="16"/>
                <w:lang w:val="en-US" w:eastAsia="en-US"/>
              </w:rPr>
              <w:t>ст-ст (лв)</w:t>
            </w:r>
          </w:p>
        </w:tc>
        <w:tc>
          <w:tcPr>
            <w:tcW w:w="900"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center"/>
              <w:rPr>
                <w:rFonts w:cs="Calibri"/>
                <w:b/>
                <w:bCs/>
                <w:sz w:val="16"/>
                <w:szCs w:val="16"/>
                <w:lang w:val="en-US" w:eastAsia="en-US"/>
              </w:rPr>
            </w:pPr>
            <w:r w:rsidRPr="003377F4">
              <w:rPr>
                <w:rFonts w:cs="Calibri"/>
                <w:b/>
                <w:bCs/>
                <w:sz w:val="16"/>
                <w:szCs w:val="16"/>
                <w:lang w:val="en-US" w:eastAsia="en-US"/>
              </w:rPr>
              <w:t>брой</w:t>
            </w:r>
          </w:p>
        </w:tc>
        <w:tc>
          <w:tcPr>
            <w:tcW w:w="993"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center"/>
              <w:rPr>
                <w:rFonts w:cs="Calibri"/>
                <w:b/>
                <w:bCs/>
                <w:sz w:val="16"/>
                <w:szCs w:val="16"/>
                <w:lang w:val="en-US" w:eastAsia="en-US"/>
              </w:rPr>
            </w:pPr>
            <w:r w:rsidRPr="003377F4">
              <w:rPr>
                <w:rFonts w:cs="Calibri"/>
                <w:b/>
                <w:bCs/>
                <w:sz w:val="16"/>
                <w:szCs w:val="16"/>
                <w:lang w:val="en-US" w:eastAsia="en-US"/>
              </w:rPr>
              <w:t>ст-ст (лв)</w:t>
            </w:r>
          </w:p>
        </w:tc>
        <w:tc>
          <w:tcPr>
            <w:tcW w:w="992"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center"/>
              <w:rPr>
                <w:rFonts w:cs="Calibri"/>
                <w:b/>
                <w:bCs/>
                <w:sz w:val="16"/>
                <w:szCs w:val="16"/>
                <w:lang w:val="en-US" w:eastAsia="en-US"/>
              </w:rPr>
            </w:pPr>
            <w:r w:rsidRPr="003377F4">
              <w:rPr>
                <w:rFonts w:cs="Calibri"/>
                <w:b/>
                <w:bCs/>
                <w:sz w:val="16"/>
                <w:szCs w:val="16"/>
                <w:lang w:val="en-US" w:eastAsia="en-US"/>
              </w:rPr>
              <w:t>брой</w:t>
            </w:r>
          </w:p>
        </w:tc>
        <w:tc>
          <w:tcPr>
            <w:tcW w:w="992"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center"/>
              <w:rPr>
                <w:rFonts w:cs="Calibri"/>
                <w:b/>
                <w:bCs/>
                <w:sz w:val="16"/>
                <w:szCs w:val="16"/>
                <w:lang w:val="en-US" w:eastAsia="en-US"/>
              </w:rPr>
            </w:pPr>
            <w:r w:rsidRPr="003377F4">
              <w:rPr>
                <w:rFonts w:cs="Calibri"/>
                <w:b/>
                <w:bCs/>
                <w:sz w:val="16"/>
                <w:szCs w:val="16"/>
                <w:lang w:val="en-US" w:eastAsia="en-US"/>
              </w:rPr>
              <w:t>ст-ст (лв)</w:t>
            </w:r>
          </w:p>
        </w:tc>
        <w:tc>
          <w:tcPr>
            <w:tcW w:w="851"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center"/>
              <w:rPr>
                <w:rFonts w:cs="Calibri"/>
                <w:b/>
                <w:bCs/>
                <w:sz w:val="16"/>
                <w:szCs w:val="16"/>
                <w:lang w:val="en-US" w:eastAsia="en-US"/>
              </w:rPr>
            </w:pPr>
            <w:r w:rsidRPr="003377F4">
              <w:rPr>
                <w:rFonts w:cs="Calibri"/>
                <w:b/>
                <w:bCs/>
                <w:sz w:val="16"/>
                <w:szCs w:val="16"/>
                <w:lang w:val="en-US" w:eastAsia="en-US"/>
              </w:rPr>
              <w:t>брой</w:t>
            </w:r>
          </w:p>
        </w:tc>
        <w:tc>
          <w:tcPr>
            <w:tcW w:w="850"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center"/>
              <w:rPr>
                <w:rFonts w:cs="Calibri"/>
                <w:b/>
                <w:bCs/>
                <w:sz w:val="16"/>
                <w:szCs w:val="16"/>
                <w:lang w:val="en-US" w:eastAsia="en-US"/>
              </w:rPr>
            </w:pPr>
            <w:r w:rsidRPr="003377F4">
              <w:rPr>
                <w:rFonts w:cs="Calibri"/>
                <w:b/>
                <w:bCs/>
                <w:sz w:val="16"/>
                <w:szCs w:val="16"/>
                <w:lang w:val="en-US" w:eastAsia="en-US"/>
              </w:rPr>
              <w:t>ст-ст (лв)</w:t>
            </w:r>
          </w:p>
        </w:tc>
      </w:tr>
      <w:tr w:rsidR="00C75A88" w:rsidRPr="003377F4" w:rsidTr="00C75A88">
        <w:trPr>
          <w:trHeight w:val="134"/>
        </w:trPr>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C75A88" w:rsidRPr="003377F4" w:rsidRDefault="00C75A88" w:rsidP="00C75A88">
            <w:pPr>
              <w:rPr>
                <w:rFonts w:cs="Calibri"/>
                <w:b/>
                <w:bCs/>
                <w:sz w:val="18"/>
                <w:szCs w:val="18"/>
                <w:lang w:val="en-US" w:eastAsia="en-US"/>
              </w:rPr>
            </w:pPr>
            <w:r w:rsidRPr="003377F4">
              <w:rPr>
                <w:rFonts w:cs="Calibri"/>
                <w:b/>
                <w:bCs/>
                <w:sz w:val="18"/>
                <w:szCs w:val="18"/>
                <w:lang w:val="en-US" w:eastAsia="en-US"/>
              </w:rPr>
              <w:t>ТП</w:t>
            </w:r>
          </w:p>
        </w:tc>
        <w:tc>
          <w:tcPr>
            <w:tcW w:w="851" w:type="dxa"/>
            <w:tcBorders>
              <w:top w:val="nil"/>
              <w:left w:val="nil"/>
              <w:bottom w:val="single" w:sz="4" w:space="0" w:color="auto"/>
              <w:right w:val="single" w:sz="4" w:space="0" w:color="auto"/>
            </w:tcBorders>
            <w:shd w:val="clear" w:color="auto" w:fill="auto"/>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507</w:t>
            </w:r>
          </w:p>
        </w:tc>
        <w:tc>
          <w:tcPr>
            <w:tcW w:w="992" w:type="dxa"/>
            <w:tcBorders>
              <w:top w:val="nil"/>
              <w:left w:val="nil"/>
              <w:bottom w:val="single" w:sz="4" w:space="0" w:color="auto"/>
              <w:right w:val="single" w:sz="4" w:space="0" w:color="auto"/>
            </w:tcBorders>
            <w:shd w:val="clear" w:color="auto" w:fill="auto"/>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1 387 350</w:t>
            </w:r>
          </w:p>
        </w:tc>
        <w:tc>
          <w:tcPr>
            <w:tcW w:w="798" w:type="dxa"/>
            <w:tcBorders>
              <w:top w:val="nil"/>
              <w:left w:val="nil"/>
              <w:bottom w:val="single" w:sz="4" w:space="0" w:color="auto"/>
              <w:right w:val="single" w:sz="4" w:space="0" w:color="auto"/>
            </w:tcBorders>
            <w:shd w:val="clear" w:color="auto" w:fill="auto"/>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596</w:t>
            </w:r>
          </w:p>
        </w:tc>
        <w:tc>
          <w:tcPr>
            <w:tcW w:w="995" w:type="dxa"/>
            <w:tcBorders>
              <w:top w:val="nil"/>
              <w:left w:val="nil"/>
              <w:bottom w:val="single" w:sz="4" w:space="0" w:color="auto"/>
              <w:right w:val="single" w:sz="4" w:space="0" w:color="auto"/>
            </w:tcBorders>
            <w:shd w:val="clear" w:color="auto" w:fill="auto"/>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1 380 076</w:t>
            </w:r>
          </w:p>
        </w:tc>
        <w:tc>
          <w:tcPr>
            <w:tcW w:w="900" w:type="dxa"/>
            <w:tcBorders>
              <w:top w:val="nil"/>
              <w:left w:val="nil"/>
              <w:bottom w:val="single" w:sz="4" w:space="0" w:color="auto"/>
              <w:right w:val="single" w:sz="4" w:space="0" w:color="auto"/>
            </w:tcBorders>
            <w:shd w:val="clear" w:color="auto" w:fill="auto"/>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571</w:t>
            </w:r>
          </w:p>
        </w:tc>
        <w:tc>
          <w:tcPr>
            <w:tcW w:w="993" w:type="dxa"/>
            <w:tcBorders>
              <w:top w:val="nil"/>
              <w:left w:val="nil"/>
              <w:bottom w:val="single" w:sz="4" w:space="0" w:color="auto"/>
              <w:right w:val="single" w:sz="4" w:space="0" w:color="auto"/>
            </w:tcBorders>
            <w:shd w:val="clear" w:color="auto" w:fill="auto"/>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1 388 685</w:t>
            </w:r>
          </w:p>
        </w:tc>
        <w:tc>
          <w:tcPr>
            <w:tcW w:w="992"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-89</w:t>
            </w:r>
          </w:p>
        </w:tc>
        <w:tc>
          <w:tcPr>
            <w:tcW w:w="992"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7 274</w:t>
            </w:r>
          </w:p>
        </w:tc>
        <w:tc>
          <w:tcPr>
            <w:tcW w:w="851"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-64</w:t>
            </w:r>
          </w:p>
        </w:tc>
        <w:tc>
          <w:tcPr>
            <w:tcW w:w="850"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-1 335</w:t>
            </w:r>
          </w:p>
        </w:tc>
      </w:tr>
      <w:tr w:rsidR="00C75A88" w:rsidRPr="003377F4" w:rsidTr="00C75A88">
        <w:trPr>
          <w:trHeight w:val="134"/>
        </w:trPr>
        <w:tc>
          <w:tcPr>
            <w:tcW w:w="993" w:type="dxa"/>
            <w:tcBorders>
              <w:top w:val="nil"/>
              <w:left w:val="single" w:sz="4" w:space="0" w:color="auto"/>
              <w:bottom w:val="single" w:sz="4" w:space="0" w:color="auto"/>
              <w:right w:val="single" w:sz="4" w:space="0" w:color="auto"/>
            </w:tcBorders>
            <w:shd w:val="clear" w:color="auto" w:fill="auto"/>
            <w:noWrap/>
            <w:vAlign w:val="bottom"/>
            <w:hideMark/>
          </w:tcPr>
          <w:p w:rsidR="00C75A88" w:rsidRPr="003377F4" w:rsidRDefault="00C75A88" w:rsidP="00C75A88">
            <w:pPr>
              <w:rPr>
                <w:rFonts w:cs="Calibri"/>
                <w:b/>
                <w:bCs/>
                <w:sz w:val="18"/>
                <w:szCs w:val="18"/>
                <w:lang w:val="en-US" w:eastAsia="en-US"/>
              </w:rPr>
            </w:pPr>
            <w:r w:rsidRPr="003377F4">
              <w:rPr>
                <w:rFonts w:cs="Calibri"/>
                <w:b/>
                <w:bCs/>
                <w:sz w:val="18"/>
                <w:szCs w:val="18"/>
                <w:lang w:val="en-US" w:eastAsia="en-US"/>
              </w:rPr>
              <w:t>МПР</w:t>
            </w:r>
          </w:p>
        </w:tc>
        <w:tc>
          <w:tcPr>
            <w:tcW w:w="851" w:type="dxa"/>
            <w:tcBorders>
              <w:top w:val="nil"/>
              <w:left w:val="nil"/>
              <w:bottom w:val="single" w:sz="4" w:space="0" w:color="auto"/>
              <w:right w:val="single" w:sz="4" w:space="0" w:color="auto"/>
            </w:tcBorders>
            <w:shd w:val="clear" w:color="auto" w:fill="auto"/>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133</w:t>
            </w:r>
          </w:p>
        </w:tc>
        <w:tc>
          <w:tcPr>
            <w:tcW w:w="992" w:type="dxa"/>
            <w:tcBorders>
              <w:top w:val="nil"/>
              <w:left w:val="nil"/>
              <w:bottom w:val="single" w:sz="4" w:space="0" w:color="auto"/>
              <w:right w:val="single" w:sz="4" w:space="0" w:color="auto"/>
            </w:tcBorders>
            <w:shd w:val="clear" w:color="auto" w:fill="auto"/>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738 140</w:t>
            </w:r>
          </w:p>
        </w:tc>
        <w:tc>
          <w:tcPr>
            <w:tcW w:w="798" w:type="dxa"/>
            <w:tcBorders>
              <w:top w:val="nil"/>
              <w:left w:val="nil"/>
              <w:bottom w:val="single" w:sz="4" w:space="0" w:color="auto"/>
              <w:right w:val="single" w:sz="4" w:space="0" w:color="auto"/>
            </w:tcBorders>
            <w:shd w:val="clear" w:color="auto" w:fill="auto"/>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190</w:t>
            </w:r>
          </w:p>
        </w:tc>
        <w:tc>
          <w:tcPr>
            <w:tcW w:w="995" w:type="dxa"/>
            <w:tcBorders>
              <w:top w:val="nil"/>
              <w:left w:val="nil"/>
              <w:bottom w:val="single" w:sz="4" w:space="0" w:color="auto"/>
              <w:right w:val="single" w:sz="4" w:space="0" w:color="auto"/>
            </w:tcBorders>
            <w:shd w:val="clear" w:color="auto" w:fill="auto"/>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944 098</w:t>
            </w:r>
          </w:p>
        </w:tc>
        <w:tc>
          <w:tcPr>
            <w:tcW w:w="900" w:type="dxa"/>
            <w:tcBorders>
              <w:top w:val="nil"/>
              <w:left w:val="nil"/>
              <w:bottom w:val="single" w:sz="4" w:space="0" w:color="auto"/>
              <w:right w:val="single" w:sz="4" w:space="0" w:color="auto"/>
            </w:tcBorders>
            <w:shd w:val="clear" w:color="auto" w:fill="auto"/>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136</w:t>
            </w:r>
          </w:p>
        </w:tc>
        <w:tc>
          <w:tcPr>
            <w:tcW w:w="993" w:type="dxa"/>
            <w:tcBorders>
              <w:top w:val="nil"/>
              <w:left w:val="nil"/>
              <w:bottom w:val="single" w:sz="4" w:space="0" w:color="auto"/>
              <w:right w:val="single" w:sz="4" w:space="0" w:color="auto"/>
            </w:tcBorders>
            <w:shd w:val="clear" w:color="auto" w:fill="auto"/>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637 999</w:t>
            </w:r>
          </w:p>
        </w:tc>
        <w:tc>
          <w:tcPr>
            <w:tcW w:w="992"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-57</w:t>
            </w:r>
          </w:p>
        </w:tc>
        <w:tc>
          <w:tcPr>
            <w:tcW w:w="992"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-205 958</w:t>
            </w:r>
          </w:p>
        </w:tc>
        <w:tc>
          <w:tcPr>
            <w:tcW w:w="851"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-3</w:t>
            </w:r>
          </w:p>
        </w:tc>
        <w:tc>
          <w:tcPr>
            <w:tcW w:w="850" w:type="dxa"/>
            <w:tcBorders>
              <w:top w:val="nil"/>
              <w:left w:val="nil"/>
              <w:bottom w:val="single" w:sz="4" w:space="0" w:color="auto"/>
              <w:right w:val="single" w:sz="4" w:space="0" w:color="auto"/>
            </w:tcBorders>
            <w:shd w:val="clear" w:color="auto" w:fill="auto"/>
            <w:noWrap/>
            <w:vAlign w:val="bottom"/>
            <w:hideMark/>
          </w:tcPr>
          <w:p w:rsidR="00C75A88" w:rsidRPr="003377F4" w:rsidRDefault="00C75A88" w:rsidP="00C75A88">
            <w:pPr>
              <w:jc w:val="right"/>
              <w:rPr>
                <w:rFonts w:cs="Calibri"/>
                <w:sz w:val="18"/>
                <w:szCs w:val="18"/>
                <w:lang w:val="en-US" w:eastAsia="en-US"/>
              </w:rPr>
            </w:pPr>
            <w:r w:rsidRPr="003377F4">
              <w:rPr>
                <w:rFonts w:cs="Calibri"/>
                <w:sz w:val="18"/>
                <w:szCs w:val="18"/>
                <w:lang w:val="en-US" w:eastAsia="en-US"/>
              </w:rPr>
              <w:t>100 141</w:t>
            </w:r>
          </w:p>
        </w:tc>
      </w:tr>
      <w:tr w:rsidR="00C75A88" w:rsidRPr="003377F4" w:rsidTr="00C75A88">
        <w:trPr>
          <w:trHeight w:val="134"/>
        </w:trPr>
        <w:tc>
          <w:tcPr>
            <w:tcW w:w="993" w:type="dxa"/>
            <w:tcBorders>
              <w:top w:val="nil"/>
              <w:left w:val="single" w:sz="4" w:space="0" w:color="auto"/>
              <w:bottom w:val="double" w:sz="6" w:space="0" w:color="auto"/>
              <w:right w:val="single" w:sz="4" w:space="0" w:color="auto"/>
            </w:tcBorders>
            <w:shd w:val="clear" w:color="auto" w:fill="auto"/>
            <w:noWrap/>
            <w:vAlign w:val="bottom"/>
            <w:hideMark/>
          </w:tcPr>
          <w:p w:rsidR="00C75A88" w:rsidRPr="003377F4" w:rsidRDefault="00C75A88" w:rsidP="00C75A88">
            <w:pPr>
              <w:rPr>
                <w:rFonts w:cs="Calibri"/>
                <w:b/>
                <w:bCs/>
                <w:sz w:val="18"/>
                <w:szCs w:val="18"/>
                <w:lang w:val="en-US" w:eastAsia="en-US"/>
              </w:rPr>
            </w:pPr>
            <w:r w:rsidRPr="003377F4">
              <w:rPr>
                <w:rFonts w:cs="Calibri"/>
                <w:b/>
                <w:bCs/>
                <w:sz w:val="18"/>
                <w:szCs w:val="18"/>
                <w:lang w:val="en-US" w:eastAsia="en-US"/>
              </w:rPr>
              <w:t>Общо</w:t>
            </w:r>
          </w:p>
        </w:tc>
        <w:tc>
          <w:tcPr>
            <w:tcW w:w="851" w:type="dxa"/>
            <w:tcBorders>
              <w:top w:val="nil"/>
              <w:left w:val="nil"/>
              <w:bottom w:val="double" w:sz="6" w:space="0" w:color="auto"/>
              <w:right w:val="single" w:sz="4" w:space="0" w:color="auto"/>
            </w:tcBorders>
            <w:shd w:val="clear" w:color="auto" w:fill="auto"/>
            <w:noWrap/>
            <w:vAlign w:val="bottom"/>
            <w:hideMark/>
          </w:tcPr>
          <w:p w:rsidR="00C75A88" w:rsidRPr="003377F4" w:rsidRDefault="00C75A88" w:rsidP="00C75A88">
            <w:pPr>
              <w:jc w:val="right"/>
              <w:rPr>
                <w:rFonts w:cs="Calibri"/>
                <w:b/>
                <w:bCs/>
                <w:sz w:val="18"/>
                <w:szCs w:val="18"/>
                <w:lang w:val="en-US" w:eastAsia="en-US"/>
              </w:rPr>
            </w:pPr>
            <w:r w:rsidRPr="003377F4">
              <w:rPr>
                <w:rFonts w:cs="Calibri"/>
                <w:b/>
                <w:bCs/>
                <w:sz w:val="18"/>
                <w:szCs w:val="18"/>
                <w:lang w:val="en-US" w:eastAsia="en-US"/>
              </w:rPr>
              <w:t>640</w:t>
            </w:r>
          </w:p>
        </w:tc>
        <w:tc>
          <w:tcPr>
            <w:tcW w:w="992" w:type="dxa"/>
            <w:tcBorders>
              <w:top w:val="nil"/>
              <w:left w:val="nil"/>
              <w:bottom w:val="double" w:sz="6" w:space="0" w:color="auto"/>
              <w:right w:val="single" w:sz="4" w:space="0" w:color="auto"/>
            </w:tcBorders>
            <w:shd w:val="clear" w:color="auto" w:fill="auto"/>
            <w:noWrap/>
            <w:vAlign w:val="bottom"/>
            <w:hideMark/>
          </w:tcPr>
          <w:p w:rsidR="00C75A88" w:rsidRPr="003377F4" w:rsidRDefault="00C75A88" w:rsidP="00C75A88">
            <w:pPr>
              <w:jc w:val="right"/>
              <w:rPr>
                <w:rFonts w:cs="Calibri"/>
                <w:b/>
                <w:bCs/>
                <w:sz w:val="18"/>
                <w:szCs w:val="18"/>
                <w:lang w:val="en-US" w:eastAsia="en-US"/>
              </w:rPr>
            </w:pPr>
            <w:r w:rsidRPr="003377F4">
              <w:rPr>
                <w:rFonts w:cs="Calibri"/>
                <w:b/>
                <w:bCs/>
                <w:sz w:val="18"/>
                <w:szCs w:val="18"/>
                <w:lang w:val="en-US" w:eastAsia="en-US"/>
              </w:rPr>
              <w:t>2 125 490</w:t>
            </w:r>
          </w:p>
        </w:tc>
        <w:tc>
          <w:tcPr>
            <w:tcW w:w="798" w:type="dxa"/>
            <w:tcBorders>
              <w:top w:val="nil"/>
              <w:left w:val="nil"/>
              <w:bottom w:val="double" w:sz="6" w:space="0" w:color="auto"/>
              <w:right w:val="single" w:sz="4" w:space="0" w:color="auto"/>
            </w:tcBorders>
            <w:shd w:val="clear" w:color="auto" w:fill="auto"/>
            <w:noWrap/>
            <w:vAlign w:val="bottom"/>
            <w:hideMark/>
          </w:tcPr>
          <w:p w:rsidR="00C75A88" w:rsidRPr="003377F4" w:rsidRDefault="00C75A88" w:rsidP="00C75A88">
            <w:pPr>
              <w:jc w:val="right"/>
              <w:rPr>
                <w:rFonts w:cs="Calibri"/>
                <w:b/>
                <w:bCs/>
                <w:sz w:val="18"/>
                <w:szCs w:val="18"/>
                <w:lang w:val="en-US" w:eastAsia="en-US"/>
              </w:rPr>
            </w:pPr>
            <w:r w:rsidRPr="003377F4">
              <w:rPr>
                <w:rFonts w:cs="Calibri"/>
                <w:b/>
                <w:bCs/>
                <w:sz w:val="18"/>
                <w:szCs w:val="18"/>
                <w:lang w:val="en-US" w:eastAsia="en-US"/>
              </w:rPr>
              <w:t>786</w:t>
            </w:r>
          </w:p>
        </w:tc>
        <w:tc>
          <w:tcPr>
            <w:tcW w:w="995" w:type="dxa"/>
            <w:tcBorders>
              <w:top w:val="nil"/>
              <w:left w:val="nil"/>
              <w:bottom w:val="double" w:sz="6" w:space="0" w:color="auto"/>
              <w:right w:val="single" w:sz="4" w:space="0" w:color="auto"/>
            </w:tcBorders>
            <w:shd w:val="clear" w:color="auto" w:fill="auto"/>
            <w:noWrap/>
            <w:vAlign w:val="bottom"/>
            <w:hideMark/>
          </w:tcPr>
          <w:p w:rsidR="00C75A88" w:rsidRPr="003377F4" w:rsidRDefault="00C75A88" w:rsidP="00C75A88">
            <w:pPr>
              <w:jc w:val="right"/>
              <w:rPr>
                <w:rFonts w:cs="Calibri"/>
                <w:b/>
                <w:bCs/>
                <w:sz w:val="18"/>
                <w:szCs w:val="18"/>
                <w:lang w:val="en-US" w:eastAsia="en-US"/>
              </w:rPr>
            </w:pPr>
            <w:r w:rsidRPr="003377F4">
              <w:rPr>
                <w:rFonts w:cs="Calibri"/>
                <w:b/>
                <w:bCs/>
                <w:sz w:val="18"/>
                <w:szCs w:val="18"/>
                <w:lang w:val="en-US" w:eastAsia="en-US"/>
              </w:rPr>
              <w:t>2 324 174</w:t>
            </w:r>
          </w:p>
        </w:tc>
        <w:tc>
          <w:tcPr>
            <w:tcW w:w="900" w:type="dxa"/>
            <w:tcBorders>
              <w:top w:val="nil"/>
              <w:left w:val="nil"/>
              <w:bottom w:val="double" w:sz="6" w:space="0" w:color="auto"/>
              <w:right w:val="single" w:sz="4" w:space="0" w:color="auto"/>
            </w:tcBorders>
            <w:shd w:val="clear" w:color="auto" w:fill="auto"/>
            <w:noWrap/>
            <w:vAlign w:val="bottom"/>
            <w:hideMark/>
          </w:tcPr>
          <w:p w:rsidR="00C75A88" w:rsidRPr="003377F4" w:rsidRDefault="00C75A88" w:rsidP="00C75A88">
            <w:pPr>
              <w:jc w:val="right"/>
              <w:rPr>
                <w:rFonts w:cs="Calibri"/>
                <w:b/>
                <w:bCs/>
                <w:sz w:val="18"/>
                <w:szCs w:val="18"/>
                <w:lang w:val="en-US" w:eastAsia="en-US"/>
              </w:rPr>
            </w:pPr>
            <w:r w:rsidRPr="003377F4">
              <w:rPr>
                <w:rFonts w:cs="Calibri"/>
                <w:b/>
                <w:bCs/>
                <w:sz w:val="18"/>
                <w:szCs w:val="18"/>
                <w:lang w:val="en-US" w:eastAsia="en-US"/>
              </w:rPr>
              <w:t>707</w:t>
            </w:r>
          </w:p>
        </w:tc>
        <w:tc>
          <w:tcPr>
            <w:tcW w:w="993" w:type="dxa"/>
            <w:tcBorders>
              <w:top w:val="nil"/>
              <w:left w:val="nil"/>
              <w:bottom w:val="double" w:sz="6" w:space="0" w:color="auto"/>
              <w:right w:val="single" w:sz="4" w:space="0" w:color="auto"/>
            </w:tcBorders>
            <w:shd w:val="clear" w:color="auto" w:fill="auto"/>
            <w:noWrap/>
            <w:vAlign w:val="bottom"/>
            <w:hideMark/>
          </w:tcPr>
          <w:p w:rsidR="00C75A88" w:rsidRPr="003377F4" w:rsidRDefault="00C75A88" w:rsidP="00C75A88">
            <w:pPr>
              <w:jc w:val="right"/>
              <w:rPr>
                <w:rFonts w:cs="Calibri"/>
                <w:b/>
                <w:bCs/>
                <w:sz w:val="18"/>
                <w:szCs w:val="18"/>
                <w:lang w:val="en-US" w:eastAsia="en-US"/>
              </w:rPr>
            </w:pPr>
            <w:r w:rsidRPr="003377F4">
              <w:rPr>
                <w:rFonts w:cs="Calibri"/>
                <w:b/>
                <w:bCs/>
                <w:sz w:val="18"/>
                <w:szCs w:val="18"/>
                <w:lang w:val="en-US" w:eastAsia="en-US"/>
              </w:rPr>
              <w:t>2 026 684</w:t>
            </w:r>
          </w:p>
        </w:tc>
        <w:tc>
          <w:tcPr>
            <w:tcW w:w="992" w:type="dxa"/>
            <w:tcBorders>
              <w:top w:val="nil"/>
              <w:left w:val="nil"/>
              <w:bottom w:val="double" w:sz="6" w:space="0" w:color="auto"/>
              <w:right w:val="single" w:sz="4" w:space="0" w:color="auto"/>
            </w:tcBorders>
            <w:shd w:val="clear" w:color="auto" w:fill="auto"/>
            <w:noWrap/>
            <w:vAlign w:val="bottom"/>
            <w:hideMark/>
          </w:tcPr>
          <w:p w:rsidR="00C75A88" w:rsidRPr="003377F4" w:rsidRDefault="00C75A88" w:rsidP="00C75A88">
            <w:pPr>
              <w:jc w:val="right"/>
              <w:rPr>
                <w:rFonts w:cs="Calibri"/>
                <w:b/>
                <w:bCs/>
                <w:sz w:val="18"/>
                <w:szCs w:val="18"/>
                <w:lang w:val="en-US" w:eastAsia="en-US"/>
              </w:rPr>
            </w:pPr>
            <w:r w:rsidRPr="003377F4">
              <w:rPr>
                <w:rFonts w:cs="Calibri"/>
                <w:b/>
                <w:bCs/>
                <w:sz w:val="18"/>
                <w:szCs w:val="18"/>
                <w:lang w:val="en-US" w:eastAsia="en-US"/>
              </w:rPr>
              <w:t>-146</w:t>
            </w:r>
          </w:p>
        </w:tc>
        <w:tc>
          <w:tcPr>
            <w:tcW w:w="992" w:type="dxa"/>
            <w:tcBorders>
              <w:top w:val="nil"/>
              <w:left w:val="nil"/>
              <w:bottom w:val="double" w:sz="6" w:space="0" w:color="auto"/>
              <w:right w:val="single" w:sz="4" w:space="0" w:color="auto"/>
            </w:tcBorders>
            <w:shd w:val="clear" w:color="auto" w:fill="auto"/>
            <w:noWrap/>
            <w:vAlign w:val="bottom"/>
            <w:hideMark/>
          </w:tcPr>
          <w:p w:rsidR="00C75A88" w:rsidRPr="003377F4" w:rsidRDefault="00C75A88" w:rsidP="00C75A88">
            <w:pPr>
              <w:jc w:val="right"/>
              <w:rPr>
                <w:rFonts w:cs="Calibri"/>
                <w:b/>
                <w:bCs/>
                <w:sz w:val="18"/>
                <w:szCs w:val="18"/>
                <w:lang w:val="en-US" w:eastAsia="en-US"/>
              </w:rPr>
            </w:pPr>
            <w:r w:rsidRPr="003377F4">
              <w:rPr>
                <w:rFonts w:cs="Calibri"/>
                <w:b/>
                <w:bCs/>
                <w:sz w:val="18"/>
                <w:szCs w:val="18"/>
                <w:lang w:val="en-US" w:eastAsia="en-US"/>
              </w:rPr>
              <w:t>-198 684</w:t>
            </w:r>
          </w:p>
        </w:tc>
        <w:tc>
          <w:tcPr>
            <w:tcW w:w="851" w:type="dxa"/>
            <w:tcBorders>
              <w:top w:val="nil"/>
              <w:left w:val="nil"/>
              <w:bottom w:val="double" w:sz="6" w:space="0" w:color="auto"/>
              <w:right w:val="single" w:sz="4" w:space="0" w:color="auto"/>
            </w:tcBorders>
            <w:shd w:val="clear" w:color="auto" w:fill="auto"/>
            <w:noWrap/>
            <w:vAlign w:val="bottom"/>
            <w:hideMark/>
          </w:tcPr>
          <w:p w:rsidR="00C75A88" w:rsidRPr="003377F4" w:rsidRDefault="00C75A88" w:rsidP="00C75A88">
            <w:pPr>
              <w:jc w:val="right"/>
              <w:rPr>
                <w:rFonts w:cs="Calibri"/>
                <w:b/>
                <w:bCs/>
                <w:sz w:val="18"/>
                <w:szCs w:val="18"/>
                <w:lang w:val="en-US" w:eastAsia="en-US"/>
              </w:rPr>
            </w:pPr>
            <w:r w:rsidRPr="003377F4">
              <w:rPr>
                <w:rFonts w:cs="Calibri"/>
                <w:b/>
                <w:bCs/>
                <w:sz w:val="18"/>
                <w:szCs w:val="18"/>
                <w:lang w:val="en-US" w:eastAsia="en-US"/>
              </w:rPr>
              <w:t>-67</w:t>
            </w:r>
          </w:p>
        </w:tc>
        <w:tc>
          <w:tcPr>
            <w:tcW w:w="850" w:type="dxa"/>
            <w:tcBorders>
              <w:top w:val="nil"/>
              <w:left w:val="nil"/>
              <w:bottom w:val="double" w:sz="6" w:space="0" w:color="auto"/>
              <w:right w:val="single" w:sz="4" w:space="0" w:color="auto"/>
            </w:tcBorders>
            <w:shd w:val="clear" w:color="auto" w:fill="auto"/>
            <w:noWrap/>
            <w:vAlign w:val="bottom"/>
            <w:hideMark/>
          </w:tcPr>
          <w:p w:rsidR="00C75A88" w:rsidRPr="003377F4" w:rsidRDefault="00C75A88" w:rsidP="00C75A88">
            <w:pPr>
              <w:jc w:val="right"/>
              <w:rPr>
                <w:rFonts w:cs="Calibri"/>
                <w:b/>
                <w:bCs/>
                <w:sz w:val="18"/>
                <w:szCs w:val="18"/>
                <w:lang w:val="en-US" w:eastAsia="en-US"/>
              </w:rPr>
            </w:pPr>
            <w:r w:rsidRPr="003377F4">
              <w:rPr>
                <w:rFonts w:cs="Calibri"/>
                <w:b/>
                <w:bCs/>
                <w:sz w:val="18"/>
                <w:szCs w:val="18"/>
                <w:lang w:val="en-US" w:eastAsia="en-US"/>
              </w:rPr>
              <w:t>98 806</w:t>
            </w:r>
          </w:p>
        </w:tc>
      </w:tr>
    </w:tbl>
    <w:p w:rsidR="00C75A88" w:rsidRPr="003377F4" w:rsidRDefault="00C75A88" w:rsidP="00C75A88">
      <w:pPr>
        <w:rPr>
          <w:b/>
          <w:i/>
          <w:highlight w:val="yellow"/>
          <w:lang w:val="en-US"/>
        </w:rPr>
      </w:pPr>
    </w:p>
    <w:p w:rsidR="00C75A88" w:rsidRDefault="00C75A88" w:rsidP="00C75A88">
      <w:pPr>
        <w:numPr>
          <w:ilvl w:val="0"/>
          <w:numId w:val="2"/>
        </w:numPr>
        <w:jc w:val="both"/>
      </w:pPr>
      <w:r w:rsidRPr="00294CCE">
        <w:t xml:space="preserve">При планирани 596 броя технически прегледи (ТП) за 2017 г., в депа на </w:t>
      </w:r>
      <w:r w:rsidRPr="00294CCE">
        <w:rPr>
          <w:u w:val="single"/>
        </w:rPr>
        <w:t>„БДЖ – Товарни превози” ЕООД</w:t>
      </w:r>
      <w:r w:rsidRPr="00294CCE">
        <w:t xml:space="preserve"> са извършени 507 броя, с 89 броя по-малко или изпълнението е 85%. При планирани</w:t>
      </w:r>
      <w:r w:rsidRPr="00294CCE">
        <w:rPr>
          <w:lang w:val="ru-RU"/>
        </w:rPr>
        <w:t xml:space="preserve"> 190 </w:t>
      </w:r>
      <w:r w:rsidRPr="00294CCE">
        <w:t>броя малък периодичен ремонт (МПР), в депа на товарни превози са извършени 133 броя, с 57 броя по-малко или 70% изпълнение. Спрямо отчетените ТП и МПР през 2016 г., са извършени 64 броя по-малко ТП и 3 броя по-малко МПР.</w:t>
      </w:r>
    </w:p>
    <w:p w:rsidR="00C75A88" w:rsidRPr="00294CCE" w:rsidRDefault="00C75A88" w:rsidP="00C75A88">
      <w:pPr>
        <w:ind w:left="360"/>
        <w:jc w:val="both"/>
      </w:pPr>
    </w:p>
    <w:p w:rsidR="00C75A88" w:rsidRDefault="00C75A88" w:rsidP="00C75A88">
      <w:pPr>
        <w:rPr>
          <w:b/>
          <w:i/>
          <w:lang w:val="en-US"/>
        </w:rPr>
      </w:pPr>
      <w:r w:rsidRPr="00FA52CB">
        <w:rPr>
          <w:b/>
          <w:i/>
          <w:lang w:val="ru-RU"/>
        </w:rPr>
        <w:t>В заводи на жп промишлеността</w:t>
      </w:r>
    </w:p>
    <w:tbl>
      <w:tblPr>
        <w:tblW w:w="10185" w:type="dxa"/>
        <w:tblInd w:w="-176" w:type="dxa"/>
        <w:tblLook w:val="04A0" w:firstRow="1" w:lastRow="0" w:firstColumn="1" w:lastColumn="0" w:noHBand="0" w:noVBand="1"/>
      </w:tblPr>
      <w:tblGrid>
        <w:gridCol w:w="1002"/>
        <w:gridCol w:w="1045"/>
        <w:gridCol w:w="949"/>
        <w:gridCol w:w="867"/>
        <w:gridCol w:w="1030"/>
        <w:gridCol w:w="827"/>
        <w:gridCol w:w="949"/>
        <w:gridCol w:w="770"/>
        <w:gridCol w:w="946"/>
        <w:gridCol w:w="767"/>
        <w:gridCol w:w="1033"/>
      </w:tblGrid>
      <w:tr w:rsidR="00C75A88" w:rsidRPr="009116E6" w:rsidTr="00C75A88">
        <w:trPr>
          <w:trHeight w:val="276"/>
        </w:trPr>
        <w:tc>
          <w:tcPr>
            <w:tcW w:w="1002" w:type="dxa"/>
            <w:tcBorders>
              <w:top w:val="single" w:sz="4" w:space="0" w:color="auto"/>
              <w:left w:val="single" w:sz="4" w:space="0" w:color="auto"/>
              <w:bottom w:val="nil"/>
              <w:right w:val="single" w:sz="4" w:space="0" w:color="auto"/>
            </w:tcBorders>
            <w:shd w:val="clear" w:color="auto" w:fill="auto"/>
            <w:hideMark/>
          </w:tcPr>
          <w:p w:rsidR="00C75A88" w:rsidRPr="009116E6" w:rsidRDefault="00C75A88" w:rsidP="00C75A88">
            <w:pPr>
              <w:jc w:val="center"/>
              <w:outlineLvl w:val="0"/>
              <w:rPr>
                <w:rFonts w:cs="Calibri"/>
                <w:b/>
                <w:bCs/>
                <w:sz w:val="18"/>
                <w:szCs w:val="18"/>
                <w:lang w:val="en-US" w:eastAsia="en-US"/>
              </w:rPr>
            </w:pPr>
            <w:r w:rsidRPr="009116E6">
              <w:rPr>
                <w:rFonts w:cs="Calibri"/>
                <w:b/>
                <w:bCs/>
                <w:sz w:val="18"/>
                <w:szCs w:val="18"/>
                <w:lang w:val="en-US" w:eastAsia="en-US"/>
              </w:rPr>
              <w:t>Вид ремонт</w:t>
            </w:r>
          </w:p>
        </w:tc>
        <w:tc>
          <w:tcPr>
            <w:tcW w:w="1994"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9116E6" w:rsidRDefault="00C75A88" w:rsidP="00C75A88">
            <w:pPr>
              <w:jc w:val="center"/>
              <w:outlineLvl w:val="0"/>
              <w:rPr>
                <w:rFonts w:cs="Calibri"/>
                <w:b/>
                <w:bCs/>
                <w:sz w:val="18"/>
                <w:szCs w:val="18"/>
                <w:lang w:val="en-US" w:eastAsia="en-US"/>
              </w:rPr>
            </w:pPr>
            <w:r w:rsidRPr="009116E6">
              <w:rPr>
                <w:rFonts w:cs="Calibri"/>
                <w:b/>
                <w:bCs/>
                <w:sz w:val="18"/>
                <w:szCs w:val="18"/>
                <w:lang w:val="en-US" w:eastAsia="en-US"/>
              </w:rPr>
              <w:t>Отчет 2017 г.</w:t>
            </w:r>
          </w:p>
        </w:tc>
        <w:tc>
          <w:tcPr>
            <w:tcW w:w="1897"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9116E6" w:rsidRDefault="00C75A88" w:rsidP="00C75A88">
            <w:pPr>
              <w:jc w:val="center"/>
              <w:outlineLvl w:val="0"/>
              <w:rPr>
                <w:rFonts w:cs="Calibri"/>
                <w:b/>
                <w:bCs/>
                <w:sz w:val="18"/>
                <w:szCs w:val="18"/>
                <w:lang w:val="en-US" w:eastAsia="en-US"/>
              </w:rPr>
            </w:pPr>
            <w:r w:rsidRPr="009116E6">
              <w:rPr>
                <w:rFonts w:cs="Calibri"/>
                <w:b/>
                <w:bCs/>
                <w:sz w:val="18"/>
                <w:szCs w:val="18"/>
                <w:lang w:val="en-US" w:eastAsia="en-US"/>
              </w:rPr>
              <w:t>Бюджет 2017 г.</w:t>
            </w:r>
          </w:p>
        </w:tc>
        <w:tc>
          <w:tcPr>
            <w:tcW w:w="1776"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9116E6" w:rsidRDefault="00C75A88" w:rsidP="00C75A88">
            <w:pPr>
              <w:jc w:val="center"/>
              <w:outlineLvl w:val="0"/>
              <w:rPr>
                <w:rFonts w:cs="Calibri"/>
                <w:b/>
                <w:bCs/>
                <w:sz w:val="18"/>
                <w:szCs w:val="18"/>
                <w:lang w:val="en-US" w:eastAsia="en-US"/>
              </w:rPr>
            </w:pPr>
            <w:r w:rsidRPr="009116E6">
              <w:rPr>
                <w:rFonts w:cs="Calibri"/>
                <w:b/>
                <w:bCs/>
                <w:sz w:val="18"/>
                <w:szCs w:val="18"/>
                <w:lang w:val="en-US" w:eastAsia="en-US"/>
              </w:rPr>
              <w:t>Отчет 2016 г.</w:t>
            </w:r>
          </w:p>
        </w:tc>
        <w:tc>
          <w:tcPr>
            <w:tcW w:w="1716"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9116E6" w:rsidRDefault="00C75A88" w:rsidP="00C75A88">
            <w:pPr>
              <w:jc w:val="center"/>
              <w:outlineLvl w:val="0"/>
              <w:rPr>
                <w:rFonts w:cs="Calibri"/>
                <w:b/>
                <w:bCs/>
                <w:sz w:val="18"/>
                <w:szCs w:val="18"/>
                <w:lang w:val="en-US" w:eastAsia="en-US"/>
              </w:rPr>
            </w:pPr>
            <w:r w:rsidRPr="009116E6">
              <w:rPr>
                <w:rFonts w:cs="Calibri"/>
                <w:b/>
                <w:bCs/>
                <w:sz w:val="18"/>
                <w:szCs w:val="18"/>
                <w:lang w:val="en-US" w:eastAsia="en-US"/>
              </w:rPr>
              <w:t>+/- отчет/бюджет</w:t>
            </w:r>
          </w:p>
        </w:tc>
        <w:tc>
          <w:tcPr>
            <w:tcW w:w="1800"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9116E6" w:rsidRDefault="00C75A88" w:rsidP="00C75A88">
            <w:pPr>
              <w:jc w:val="center"/>
              <w:outlineLvl w:val="0"/>
              <w:rPr>
                <w:rFonts w:cs="Calibri"/>
                <w:b/>
                <w:bCs/>
                <w:sz w:val="18"/>
                <w:szCs w:val="18"/>
                <w:lang w:val="en-US" w:eastAsia="en-US"/>
              </w:rPr>
            </w:pPr>
            <w:r w:rsidRPr="009116E6">
              <w:rPr>
                <w:rFonts w:cs="Calibri"/>
                <w:b/>
                <w:bCs/>
                <w:sz w:val="18"/>
                <w:szCs w:val="18"/>
                <w:lang w:val="en-US" w:eastAsia="en-US"/>
              </w:rPr>
              <w:t>+/- отчет 2017/2016</w:t>
            </w:r>
          </w:p>
        </w:tc>
      </w:tr>
      <w:tr w:rsidR="00C75A88" w:rsidRPr="009116E6" w:rsidTr="00C75A88">
        <w:trPr>
          <w:trHeight w:val="228"/>
        </w:trPr>
        <w:tc>
          <w:tcPr>
            <w:tcW w:w="1002" w:type="dxa"/>
            <w:tcBorders>
              <w:top w:val="nil"/>
              <w:left w:val="single" w:sz="4" w:space="0" w:color="auto"/>
              <w:bottom w:val="single" w:sz="4" w:space="0" w:color="auto"/>
              <w:right w:val="single" w:sz="4" w:space="0" w:color="auto"/>
            </w:tcBorders>
            <w:shd w:val="clear" w:color="auto" w:fill="auto"/>
            <w:hideMark/>
          </w:tcPr>
          <w:p w:rsidR="00C75A88" w:rsidRPr="009116E6" w:rsidRDefault="00C75A88" w:rsidP="00C75A88">
            <w:pPr>
              <w:jc w:val="center"/>
              <w:outlineLvl w:val="0"/>
              <w:rPr>
                <w:rFonts w:cs="Calibri"/>
                <w:b/>
                <w:bCs/>
                <w:sz w:val="18"/>
                <w:szCs w:val="18"/>
                <w:lang w:val="en-US" w:eastAsia="en-US"/>
              </w:rPr>
            </w:pPr>
            <w:r w:rsidRPr="009116E6">
              <w:rPr>
                <w:rFonts w:cs="Calibri"/>
                <w:b/>
                <w:bCs/>
                <w:sz w:val="18"/>
                <w:szCs w:val="18"/>
                <w:lang w:val="en-US" w:eastAsia="en-US"/>
              </w:rPr>
              <w:t> </w:t>
            </w:r>
          </w:p>
        </w:tc>
        <w:tc>
          <w:tcPr>
            <w:tcW w:w="1045"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center"/>
              <w:outlineLvl w:val="0"/>
              <w:rPr>
                <w:rFonts w:cs="Calibri"/>
                <w:b/>
                <w:bCs/>
                <w:sz w:val="16"/>
                <w:szCs w:val="16"/>
                <w:lang w:val="en-US" w:eastAsia="en-US"/>
              </w:rPr>
            </w:pPr>
            <w:r w:rsidRPr="009116E6">
              <w:rPr>
                <w:rFonts w:cs="Calibri"/>
                <w:b/>
                <w:bCs/>
                <w:sz w:val="16"/>
                <w:szCs w:val="16"/>
                <w:lang w:val="en-US" w:eastAsia="en-US"/>
              </w:rPr>
              <w:t>брой</w:t>
            </w:r>
          </w:p>
        </w:tc>
        <w:tc>
          <w:tcPr>
            <w:tcW w:w="949"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center"/>
              <w:outlineLvl w:val="0"/>
              <w:rPr>
                <w:rFonts w:cs="Calibri"/>
                <w:b/>
                <w:bCs/>
                <w:sz w:val="16"/>
                <w:szCs w:val="16"/>
                <w:lang w:val="en-US" w:eastAsia="en-US"/>
              </w:rPr>
            </w:pPr>
            <w:r w:rsidRPr="009116E6">
              <w:rPr>
                <w:rFonts w:cs="Calibri"/>
                <w:b/>
                <w:bCs/>
                <w:sz w:val="16"/>
                <w:szCs w:val="16"/>
                <w:lang w:val="en-US" w:eastAsia="en-US"/>
              </w:rPr>
              <w:t xml:space="preserve">ст-ст </w:t>
            </w:r>
          </w:p>
        </w:tc>
        <w:tc>
          <w:tcPr>
            <w:tcW w:w="867"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center"/>
              <w:outlineLvl w:val="0"/>
              <w:rPr>
                <w:rFonts w:cs="Calibri"/>
                <w:b/>
                <w:bCs/>
                <w:sz w:val="16"/>
                <w:szCs w:val="16"/>
                <w:lang w:val="en-US" w:eastAsia="en-US"/>
              </w:rPr>
            </w:pPr>
            <w:r w:rsidRPr="009116E6">
              <w:rPr>
                <w:rFonts w:cs="Calibri"/>
                <w:b/>
                <w:bCs/>
                <w:sz w:val="16"/>
                <w:szCs w:val="16"/>
                <w:lang w:val="en-US" w:eastAsia="en-US"/>
              </w:rPr>
              <w:t>брой</w:t>
            </w:r>
          </w:p>
        </w:tc>
        <w:tc>
          <w:tcPr>
            <w:tcW w:w="1030"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center"/>
              <w:outlineLvl w:val="0"/>
              <w:rPr>
                <w:rFonts w:cs="Calibri"/>
                <w:b/>
                <w:bCs/>
                <w:sz w:val="16"/>
                <w:szCs w:val="16"/>
                <w:lang w:val="en-US" w:eastAsia="en-US"/>
              </w:rPr>
            </w:pPr>
            <w:r w:rsidRPr="009116E6">
              <w:rPr>
                <w:rFonts w:cs="Calibri"/>
                <w:b/>
                <w:bCs/>
                <w:sz w:val="16"/>
                <w:szCs w:val="16"/>
                <w:lang w:val="en-US" w:eastAsia="en-US"/>
              </w:rPr>
              <w:t xml:space="preserve">ст-ст </w:t>
            </w:r>
          </w:p>
        </w:tc>
        <w:tc>
          <w:tcPr>
            <w:tcW w:w="827"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center"/>
              <w:outlineLvl w:val="0"/>
              <w:rPr>
                <w:rFonts w:cs="Calibri"/>
                <w:b/>
                <w:bCs/>
                <w:sz w:val="16"/>
                <w:szCs w:val="16"/>
                <w:lang w:val="en-US" w:eastAsia="en-US"/>
              </w:rPr>
            </w:pPr>
            <w:r w:rsidRPr="009116E6">
              <w:rPr>
                <w:rFonts w:cs="Calibri"/>
                <w:b/>
                <w:bCs/>
                <w:sz w:val="16"/>
                <w:szCs w:val="16"/>
                <w:lang w:val="en-US" w:eastAsia="en-US"/>
              </w:rPr>
              <w:t>брой</w:t>
            </w:r>
          </w:p>
        </w:tc>
        <w:tc>
          <w:tcPr>
            <w:tcW w:w="949"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center"/>
              <w:outlineLvl w:val="0"/>
              <w:rPr>
                <w:rFonts w:cs="Calibri"/>
                <w:b/>
                <w:bCs/>
                <w:sz w:val="16"/>
                <w:szCs w:val="16"/>
                <w:lang w:val="en-US" w:eastAsia="en-US"/>
              </w:rPr>
            </w:pPr>
            <w:r w:rsidRPr="009116E6">
              <w:rPr>
                <w:rFonts w:cs="Calibri"/>
                <w:b/>
                <w:bCs/>
                <w:sz w:val="16"/>
                <w:szCs w:val="16"/>
                <w:lang w:val="en-US" w:eastAsia="en-US"/>
              </w:rPr>
              <w:t xml:space="preserve">ст-ст </w:t>
            </w:r>
          </w:p>
        </w:tc>
        <w:tc>
          <w:tcPr>
            <w:tcW w:w="770"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center"/>
              <w:outlineLvl w:val="0"/>
              <w:rPr>
                <w:rFonts w:cs="Calibri"/>
                <w:b/>
                <w:bCs/>
                <w:sz w:val="16"/>
                <w:szCs w:val="16"/>
                <w:lang w:val="en-US" w:eastAsia="en-US"/>
              </w:rPr>
            </w:pPr>
            <w:r w:rsidRPr="009116E6">
              <w:rPr>
                <w:rFonts w:cs="Calibri"/>
                <w:b/>
                <w:bCs/>
                <w:sz w:val="16"/>
                <w:szCs w:val="16"/>
                <w:lang w:val="en-US" w:eastAsia="en-US"/>
              </w:rPr>
              <w:t>брой</w:t>
            </w:r>
          </w:p>
        </w:tc>
        <w:tc>
          <w:tcPr>
            <w:tcW w:w="946"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center"/>
              <w:outlineLvl w:val="0"/>
              <w:rPr>
                <w:rFonts w:cs="Calibri"/>
                <w:b/>
                <w:bCs/>
                <w:sz w:val="16"/>
                <w:szCs w:val="16"/>
                <w:lang w:val="en-US" w:eastAsia="en-US"/>
              </w:rPr>
            </w:pPr>
            <w:r w:rsidRPr="009116E6">
              <w:rPr>
                <w:rFonts w:cs="Calibri"/>
                <w:b/>
                <w:bCs/>
                <w:sz w:val="16"/>
                <w:szCs w:val="16"/>
                <w:lang w:val="en-US" w:eastAsia="en-US"/>
              </w:rPr>
              <w:t xml:space="preserve">ст-ст </w:t>
            </w:r>
          </w:p>
        </w:tc>
        <w:tc>
          <w:tcPr>
            <w:tcW w:w="767"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center"/>
              <w:outlineLvl w:val="0"/>
              <w:rPr>
                <w:rFonts w:cs="Calibri"/>
                <w:b/>
                <w:bCs/>
                <w:sz w:val="16"/>
                <w:szCs w:val="16"/>
                <w:lang w:val="en-US" w:eastAsia="en-US"/>
              </w:rPr>
            </w:pPr>
            <w:r w:rsidRPr="009116E6">
              <w:rPr>
                <w:rFonts w:cs="Calibri"/>
                <w:b/>
                <w:bCs/>
                <w:sz w:val="16"/>
                <w:szCs w:val="16"/>
                <w:lang w:val="en-US" w:eastAsia="en-US"/>
              </w:rPr>
              <w:t>брой</w:t>
            </w:r>
          </w:p>
        </w:tc>
        <w:tc>
          <w:tcPr>
            <w:tcW w:w="1033"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center"/>
              <w:outlineLvl w:val="0"/>
              <w:rPr>
                <w:rFonts w:cs="Calibri"/>
                <w:b/>
                <w:bCs/>
                <w:sz w:val="16"/>
                <w:szCs w:val="16"/>
                <w:lang w:val="en-US" w:eastAsia="en-US"/>
              </w:rPr>
            </w:pPr>
            <w:r w:rsidRPr="009116E6">
              <w:rPr>
                <w:rFonts w:cs="Calibri"/>
                <w:b/>
                <w:bCs/>
                <w:sz w:val="16"/>
                <w:szCs w:val="16"/>
                <w:lang w:val="en-US" w:eastAsia="en-US"/>
              </w:rPr>
              <w:t xml:space="preserve">ст-ст </w:t>
            </w:r>
          </w:p>
        </w:tc>
      </w:tr>
      <w:tr w:rsidR="00C75A88" w:rsidRPr="009116E6" w:rsidTr="00C75A88">
        <w:trPr>
          <w:trHeight w:val="228"/>
        </w:trPr>
        <w:tc>
          <w:tcPr>
            <w:tcW w:w="1002" w:type="dxa"/>
            <w:tcBorders>
              <w:top w:val="nil"/>
              <w:left w:val="single" w:sz="4" w:space="0" w:color="auto"/>
              <w:bottom w:val="single" w:sz="4" w:space="0" w:color="auto"/>
              <w:right w:val="single" w:sz="4" w:space="0" w:color="auto"/>
            </w:tcBorders>
            <w:shd w:val="clear" w:color="auto" w:fill="auto"/>
            <w:noWrap/>
            <w:vAlign w:val="bottom"/>
            <w:hideMark/>
          </w:tcPr>
          <w:p w:rsidR="00C75A88" w:rsidRPr="009116E6" w:rsidRDefault="00C75A88" w:rsidP="00C75A88">
            <w:pPr>
              <w:outlineLvl w:val="0"/>
              <w:rPr>
                <w:rFonts w:cs="Calibri"/>
                <w:b/>
                <w:bCs/>
                <w:sz w:val="18"/>
                <w:szCs w:val="18"/>
                <w:lang w:val="en-US" w:eastAsia="en-US"/>
              </w:rPr>
            </w:pPr>
            <w:r w:rsidRPr="009116E6">
              <w:rPr>
                <w:rFonts w:cs="Calibri"/>
                <w:b/>
                <w:bCs/>
                <w:sz w:val="18"/>
                <w:szCs w:val="18"/>
                <w:lang w:val="en-US" w:eastAsia="en-US"/>
              </w:rPr>
              <w:t>ТП</w:t>
            </w:r>
          </w:p>
        </w:tc>
        <w:tc>
          <w:tcPr>
            <w:tcW w:w="1045" w:type="dxa"/>
            <w:tcBorders>
              <w:top w:val="nil"/>
              <w:left w:val="nil"/>
              <w:bottom w:val="single" w:sz="4" w:space="0" w:color="auto"/>
              <w:right w:val="single" w:sz="4" w:space="0" w:color="auto"/>
            </w:tcBorders>
            <w:shd w:val="clear" w:color="auto" w:fill="auto"/>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52</w:t>
            </w:r>
          </w:p>
        </w:tc>
        <w:tc>
          <w:tcPr>
            <w:tcW w:w="949" w:type="dxa"/>
            <w:tcBorders>
              <w:top w:val="nil"/>
              <w:left w:val="nil"/>
              <w:bottom w:val="single" w:sz="4" w:space="0" w:color="auto"/>
              <w:right w:val="single" w:sz="4" w:space="0" w:color="auto"/>
            </w:tcBorders>
            <w:shd w:val="clear" w:color="auto" w:fill="auto"/>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253 478</w:t>
            </w:r>
          </w:p>
        </w:tc>
        <w:tc>
          <w:tcPr>
            <w:tcW w:w="867" w:type="dxa"/>
            <w:tcBorders>
              <w:top w:val="nil"/>
              <w:left w:val="nil"/>
              <w:bottom w:val="single" w:sz="4" w:space="0" w:color="auto"/>
              <w:right w:val="single" w:sz="4" w:space="0" w:color="auto"/>
            </w:tcBorders>
            <w:shd w:val="clear" w:color="auto" w:fill="auto"/>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52</w:t>
            </w:r>
          </w:p>
        </w:tc>
        <w:tc>
          <w:tcPr>
            <w:tcW w:w="1030" w:type="dxa"/>
            <w:tcBorders>
              <w:top w:val="nil"/>
              <w:left w:val="nil"/>
              <w:bottom w:val="single" w:sz="4" w:space="0" w:color="auto"/>
              <w:right w:val="single" w:sz="4" w:space="0" w:color="auto"/>
            </w:tcBorders>
            <w:shd w:val="clear" w:color="auto" w:fill="auto"/>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162 532</w:t>
            </w:r>
          </w:p>
        </w:tc>
        <w:tc>
          <w:tcPr>
            <w:tcW w:w="827" w:type="dxa"/>
            <w:tcBorders>
              <w:top w:val="nil"/>
              <w:left w:val="nil"/>
              <w:bottom w:val="single" w:sz="4" w:space="0" w:color="auto"/>
              <w:right w:val="single" w:sz="4" w:space="0" w:color="auto"/>
            </w:tcBorders>
            <w:shd w:val="clear" w:color="auto" w:fill="auto"/>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10</w:t>
            </w:r>
          </w:p>
        </w:tc>
        <w:tc>
          <w:tcPr>
            <w:tcW w:w="949" w:type="dxa"/>
            <w:tcBorders>
              <w:top w:val="nil"/>
              <w:left w:val="nil"/>
              <w:bottom w:val="single" w:sz="4" w:space="0" w:color="auto"/>
              <w:right w:val="single" w:sz="4" w:space="0" w:color="auto"/>
            </w:tcBorders>
            <w:shd w:val="clear" w:color="auto" w:fill="auto"/>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67 801</w:t>
            </w:r>
          </w:p>
        </w:tc>
        <w:tc>
          <w:tcPr>
            <w:tcW w:w="770"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0</w:t>
            </w:r>
          </w:p>
        </w:tc>
        <w:tc>
          <w:tcPr>
            <w:tcW w:w="946"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90 946</w:t>
            </w:r>
          </w:p>
        </w:tc>
        <w:tc>
          <w:tcPr>
            <w:tcW w:w="767"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42</w:t>
            </w:r>
          </w:p>
        </w:tc>
        <w:tc>
          <w:tcPr>
            <w:tcW w:w="1033"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185 677</w:t>
            </w:r>
          </w:p>
        </w:tc>
      </w:tr>
      <w:tr w:rsidR="00C75A88" w:rsidRPr="009116E6" w:rsidTr="00C75A88">
        <w:trPr>
          <w:trHeight w:val="228"/>
        </w:trPr>
        <w:tc>
          <w:tcPr>
            <w:tcW w:w="1002" w:type="dxa"/>
            <w:tcBorders>
              <w:top w:val="nil"/>
              <w:left w:val="single" w:sz="4" w:space="0" w:color="auto"/>
              <w:bottom w:val="single" w:sz="4" w:space="0" w:color="auto"/>
              <w:right w:val="single" w:sz="4" w:space="0" w:color="auto"/>
            </w:tcBorders>
            <w:shd w:val="clear" w:color="auto" w:fill="auto"/>
            <w:noWrap/>
            <w:vAlign w:val="bottom"/>
            <w:hideMark/>
          </w:tcPr>
          <w:p w:rsidR="00C75A88" w:rsidRPr="009116E6" w:rsidRDefault="00C75A88" w:rsidP="00C75A88">
            <w:pPr>
              <w:outlineLvl w:val="0"/>
              <w:rPr>
                <w:rFonts w:cs="Calibri"/>
                <w:b/>
                <w:bCs/>
                <w:sz w:val="18"/>
                <w:szCs w:val="18"/>
                <w:lang w:val="en-US" w:eastAsia="en-US"/>
              </w:rPr>
            </w:pPr>
            <w:r w:rsidRPr="009116E6">
              <w:rPr>
                <w:rFonts w:cs="Calibri"/>
                <w:b/>
                <w:bCs/>
                <w:sz w:val="18"/>
                <w:szCs w:val="18"/>
                <w:lang w:val="en-US" w:eastAsia="en-US"/>
              </w:rPr>
              <w:t>МПР</w:t>
            </w:r>
          </w:p>
        </w:tc>
        <w:tc>
          <w:tcPr>
            <w:tcW w:w="1045" w:type="dxa"/>
            <w:tcBorders>
              <w:top w:val="nil"/>
              <w:left w:val="nil"/>
              <w:bottom w:val="single" w:sz="4" w:space="0" w:color="auto"/>
              <w:right w:val="single" w:sz="4" w:space="0" w:color="auto"/>
            </w:tcBorders>
            <w:shd w:val="clear" w:color="auto" w:fill="auto"/>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14</w:t>
            </w:r>
          </w:p>
        </w:tc>
        <w:tc>
          <w:tcPr>
            <w:tcW w:w="949" w:type="dxa"/>
            <w:tcBorders>
              <w:top w:val="nil"/>
              <w:left w:val="nil"/>
              <w:bottom w:val="single" w:sz="4" w:space="0" w:color="auto"/>
              <w:right w:val="single" w:sz="4" w:space="0" w:color="auto"/>
            </w:tcBorders>
            <w:shd w:val="clear" w:color="auto" w:fill="auto"/>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159 762</w:t>
            </w:r>
          </w:p>
        </w:tc>
        <w:tc>
          <w:tcPr>
            <w:tcW w:w="867" w:type="dxa"/>
            <w:tcBorders>
              <w:top w:val="nil"/>
              <w:left w:val="nil"/>
              <w:bottom w:val="single" w:sz="4" w:space="0" w:color="auto"/>
              <w:right w:val="single" w:sz="4" w:space="0" w:color="auto"/>
            </w:tcBorders>
            <w:shd w:val="clear" w:color="auto" w:fill="auto"/>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19</w:t>
            </w:r>
          </w:p>
        </w:tc>
        <w:tc>
          <w:tcPr>
            <w:tcW w:w="1030" w:type="dxa"/>
            <w:tcBorders>
              <w:top w:val="nil"/>
              <w:left w:val="nil"/>
              <w:bottom w:val="single" w:sz="4" w:space="0" w:color="auto"/>
              <w:right w:val="single" w:sz="4" w:space="0" w:color="auto"/>
            </w:tcBorders>
            <w:shd w:val="clear" w:color="auto" w:fill="auto"/>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170 448</w:t>
            </w:r>
          </w:p>
        </w:tc>
        <w:tc>
          <w:tcPr>
            <w:tcW w:w="827" w:type="dxa"/>
            <w:tcBorders>
              <w:top w:val="nil"/>
              <w:left w:val="nil"/>
              <w:bottom w:val="single" w:sz="4" w:space="0" w:color="auto"/>
              <w:right w:val="single" w:sz="4" w:space="0" w:color="auto"/>
            </w:tcBorders>
            <w:shd w:val="clear" w:color="auto" w:fill="auto"/>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6</w:t>
            </w:r>
          </w:p>
        </w:tc>
        <w:tc>
          <w:tcPr>
            <w:tcW w:w="949" w:type="dxa"/>
            <w:tcBorders>
              <w:top w:val="nil"/>
              <w:left w:val="nil"/>
              <w:bottom w:val="single" w:sz="4" w:space="0" w:color="auto"/>
              <w:right w:val="single" w:sz="4" w:space="0" w:color="auto"/>
            </w:tcBorders>
            <w:shd w:val="clear" w:color="auto" w:fill="auto"/>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65 790</w:t>
            </w:r>
          </w:p>
        </w:tc>
        <w:tc>
          <w:tcPr>
            <w:tcW w:w="770"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-5</w:t>
            </w:r>
          </w:p>
        </w:tc>
        <w:tc>
          <w:tcPr>
            <w:tcW w:w="946"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-10 685</w:t>
            </w:r>
          </w:p>
        </w:tc>
        <w:tc>
          <w:tcPr>
            <w:tcW w:w="767"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8</w:t>
            </w:r>
          </w:p>
        </w:tc>
        <w:tc>
          <w:tcPr>
            <w:tcW w:w="1033" w:type="dxa"/>
            <w:tcBorders>
              <w:top w:val="nil"/>
              <w:left w:val="nil"/>
              <w:bottom w:val="single" w:sz="4"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sz w:val="18"/>
                <w:szCs w:val="18"/>
                <w:lang w:val="en-US" w:eastAsia="en-US"/>
              </w:rPr>
            </w:pPr>
            <w:r w:rsidRPr="009116E6">
              <w:rPr>
                <w:rFonts w:cs="Calibri"/>
                <w:sz w:val="18"/>
                <w:szCs w:val="18"/>
                <w:lang w:val="en-US" w:eastAsia="en-US"/>
              </w:rPr>
              <w:t>93 972</w:t>
            </w:r>
          </w:p>
        </w:tc>
      </w:tr>
      <w:tr w:rsidR="00C75A88" w:rsidRPr="009116E6" w:rsidTr="00C75A88">
        <w:trPr>
          <w:trHeight w:val="63"/>
        </w:trPr>
        <w:tc>
          <w:tcPr>
            <w:tcW w:w="1002" w:type="dxa"/>
            <w:tcBorders>
              <w:top w:val="nil"/>
              <w:left w:val="single" w:sz="4" w:space="0" w:color="auto"/>
              <w:bottom w:val="double" w:sz="6" w:space="0" w:color="auto"/>
              <w:right w:val="single" w:sz="4" w:space="0" w:color="auto"/>
            </w:tcBorders>
            <w:shd w:val="clear" w:color="auto" w:fill="auto"/>
            <w:noWrap/>
            <w:vAlign w:val="bottom"/>
            <w:hideMark/>
          </w:tcPr>
          <w:p w:rsidR="00C75A88" w:rsidRPr="009116E6" w:rsidRDefault="00C75A88" w:rsidP="00C75A88">
            <w:pPr>
              <w:outlineLvl w:val="0"/>
              <w:rPr>
                <w:rFonts w:cs="Calibri"/>
                <w:b/>
                <w:bCs/>
                <w:sz w:val="18"/>
                <w:szCs w:val="18"/>
                <w:lang w:val="en-US" w:eastAsia="en-US"/>
              </w:rPr>
            </w:pPr>
            <w:r w:rsidRPr="009116E6">
              <w:rPr>
                <w:rFonts w:cs="Calibri"/>
                <w:b/>
                <w:bCs/>
                <w:sz w:val="18"/>
                <w:szCs w:val="18"/>
                <w:lang w:val="en-US" w:eastAsia="en-US"/>
              </w:rPr>
              <w:t>Общо</w:t>
            </w:r>
          </w:p>
        </w:tc>
        <w:tc>
          <w:tcPr>
            <w:tcW w:w="1045" w:type="dxa"/>
            <w:tcBorders>
              <w:top w:val="nil"/>
              <w:left w:val="nil"/>
              <w:bottom w:val="double" w:sz="6"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b/>
                <w:bCs/>
                <w:sz w:val="18"/>
                <w:szCs w:val="18"/>
                <w:lang w:val="en-US" w:eastAsia="en-US"/>
              </w:rPr>
            </w:pPr>
            <w:r w:rsidRPr="009116E6">
              <w:rPr>
                <w:rFonts w:cs="Calibri"/>
                <w:b/>
                <w:bCs/>
                <w:sz w:val="18"/>
                <w:szCs w:val="18"/>
                <w:lang w:val="en-US" w:eastAsia="en-US"/>
              </w:rPr>
              <w:t>66</w:t>
            </w:r>
          </w:p>
        </w:tc>
        <w:tc>
          <w:tcPr>
            <w:tcW w:w="949" w:type="dxa"/>
            <w:tcBorders>
              <w:top w:val="nil"/>
              <w:left w:val="nil"/>
              <w:bottom w:val="double" w:sz="6"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b/>
                <w:bCs/>
                <w:sz w:val="18"/>
                <w:szCs w:val="18"/>
                <w:lang w:val="en-US" w:eastAsia="en-US"/>
              </w:rPr>
            </w:pPr>
            <w:r w:rsidRPr="009116E6">
              <w:rPr>
                <w:rFonts w:cs="Calibri"/>
                <w:b/>
                <w:bCs/>
                <w:sz w:val="18"/>
                <w:szCs w:val="18"/>
                <w:lang w:val="en-US" w:eastAsia="en-US"/>
              </w:rPr>
              <w:t>413 241</w:t>
            </w:r>
          </w:p>
        </w:tc>
        <w:tc>
          <w:tcPr>
            <w:tcW w:w="867" w:type="dxa"/>
            <w:tcBorders>
              <w:top w:val="nil"/>
              <w:left w:val="nil"/>
              <w:bottom w:val="double" w:sz="6"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b/>
                <w:bCs/>
                <w:sz w:val="18"/>
                <w:szCs w:val="18"/>
                <w:lang w:val="en-US" w:eastAsia="en-US"/>
              </w:rPr>
            </w:pPr>
            <w:r w:rsidRPr="009116E6">
              <w:rPr>
                <w:rFonts w:cs="Calibri"/>
                <w:b/>
                <w:bCs/>
                <w:sz w:val="18"/>
                <w:szCs w:val="18"/>
                <w:lang w:val="en-US" w:eastAsia="en-US"/>
              </w:rPr>
              <w:t>71</w:t>
            </w:r>
          </w:p>
        </w:tc>
        <w:tc>
          <w:tcPr>
            <w:tcW w:w="1030" w:type="dxa"/>
            <w:tcBorders>
              <w:top w:val="nil"/>
              <w:left w:val="nil"/>
              <w:bottom w:val="double" w:sz="6"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b/>
                <w:bCs/>
                <w:sz w:val="18"/>
                <w:szCs w:val="18"/>
                <w:lang w:val="en-US" w:eastAsia="en-US"/>
              </w:rPr>
            </w:pPr>
            <w:r w:rsidRPr="009116E6">
              <w:rPr>
                <w:rFonts w:cs="Calibri"/>
                <w:b/>
                <w:bCs/>
                <w:sz w:val="18"/>
                <w:szCs w:val="18"/>
                <w:lang w:val="en-US" w:eastAsia="en-US"/>
              </w:rPr>
              <w:t>332 979</w:t>
            </w:r>
          </w:p>
        </w:tc>
        <w:tc>
          <w:tcPr>
            <w:tcW w:w="827" w:type="dxa"/>
            <w:tcBorders>
              <w:top w:val="nil"/>
              <w:left w:val="nil"/>
              <w:bottom w:val="double" w:sz="6"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b/>
                <w:bCs/>
                <w:sz w:val="18"/>
                <w:szCs w:val="18"/>
                <w:lang w:val="en-US" w:eastAsia="en-US"/>
              </w:rPr>
            </w:pPr>
            <w:r w:rsidRPr="009116E6">
              <w:rPr>
                <w:rFonts w:cs="Calibri"/>
                <w:b/>
                <w:bCs/>
                <w:sz w:val="18"/>
                <w:szCs w:val="18"/>
                <w:lang w:val="en-US" w:eastAsia="en-US"/>
              </w:rPr>
              <w:t>16</w:t>
            </w:r>
          </w:p>
        </w:tc>
        <w:tc>
          <w:tcPr>
            <w:tcW w:w="949" w:type="dxa"/>
            <w:tcBorders>
              <w:top w:val="nil"/>
              <w:left w:val="nil"/>
              <w:bottom w:val="double" w:sz="6"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b/>
                <w:bCs/>
                <w:sz w:val="18"/>
                <w:szCs w:val="18"/>
                <w:lang w:val="en-US" w:eastAsia="en-US"/>
              </w:rPr>
            </w:pPr>
            <w:r w:rsidRPr="009116E6">
              <w:rPr>
                <w:rFonts w:cs="Calibri"/>
                <w:b/>
                <w:bCs/>
                <w:sz w:val="18"/>
                <w:szCs w:val="18"/>
                <w:lang w:val="en-US" w:eastAsia="en-US"/>
              </w:rPr>
              <w:t>133 591</w:t>
            </w:r>
          </w:p>
        </w:tc>
        <w:tc>
          <w:tcPr>
            <w:tcW w:w="770" w:type="dxa"/>
            <w:tcBorders>
              <w:top w:val="nil"/>
              <w:left w:val="nil"/>
              <w:bottom w:val="double" w:sz="6"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b/>
                <w:bCs/>
                <w:sz w:val="18"/>
                <w:szCs w:val="18"/>
                <w:lang w:val="en-US" w:eastAsia="en-US"/>
              </w:rPr>
            </w:pPr>
            <w:r w:rsidRPr="009116E6">
              <w:rPr>
                <w:rFonts w:cs="Calibri"/>
                <w:b/>
                <w:bCs/>
                <w:sz w:val="18"/>
                <w:szCs w:val="18"/>
                <w:lang w:val="en-US" w:eastAsia="en-US"/>
              </w:rPr>
              <w:t>-5</w:t>
            </w:r>
          </w:p>
        </w:tc>
        <w:tc>
          <w:tcPr>
            <w:tcW w:w="946" w:type="dxa"/>
            <w:tcBorders>
              <w:top w:val="nil"/>
              <w:left w:val="nil"/>
              <w:bottom w:val="double" w:sz="6"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b/>
                <w:bCs/>
                <w:sz w:val="18"/>
                <w:szCs w:val="18"/>
                <w:lang w:val="en-US" w:eastAsia="en-US"/>
              </w:rPr>
            </w:pPr>
            <w:r w:rsidRPr="009116E6">
              <w:rPr>
                <w:rFonts w:cs="Calibri"/>
                <w:b/>
                <w:bCs/>
                <w:sz w:val="18"/>
                <w:szCs w:val="18"/>
                <w:lang w:val="en-US" w:eastAsia="en-US"/>
              </w:rPr>
              <w:t>80 261</w:t>
            </w:r>
          </w:p>
        </w:tc>
        <w:tc>
          <w:tcPr>
            <w:tcW w:w="767" w:type="dxa"/>
            <w:tcBorders>
              <w:top w:val="nil"/>
              <w:left w:val="nil"/>
              <w:bottom w:val="double" w:sz="6"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b/>
                <w:bCs/>
                <w:sz w:val="18"/>
                <w:szCs w:val="18"/>
                <w:lang w:val="en-US" w:eastAsia="en-US"/>
              </w:rPr>
            </w:pPr>
            <w:r w:rsidRPr="009116E6">
              <w:rPr>
                <w:rFonts w:cs="Calibri"/>
                <w:b/>
                <w:bCs/>
                <w:sz w:val="18"/>
                <w:szCs w:val="18"/>
                <w:lang w:val="en-US" w:eastAsia="en-US"/>
              </w:rPr>
              <w:t>50</w:t>
            </w:r>
          </w:p>
        </w:tc>
        <w:tc>
          <w:tcPr>
            <w:tcW w:w="1033" w:type="dxa"/>
            <w:tcBorders>
              <w:top w:val="nil"/>
              <w:left w:val="nil"/>
              <w:bottom w:val="double" w:sz="6" w:space="0" w:color="auto"/>
              <w:right w:val="single" w:sz="4" w:space="0" w:color="auto"/>
            </w:tcBorders>
            <w:shd w:val="clear" w:color="auto" w:fill="auto"/>
            <w:noWrap/>
            <w:vAlign w:val="bottom"/>
            <w:hideMark/>
          </w:tcPr>
          <w:p w:rsidR="00C75A88" w:rsidRPr="009116E6" w:rsidRDefault="00C75A88" w:rsidP="00C75A88">
            <w:pPr>
              <w:jc w:val="right"/>
              <w:outlineLvl w:val="0"/>
              <w:rPr>
                <w:rFonts w:cs="Calibri"/>
                <w:b/>
                <w:bCs/>
                <w:sz w:val="18"/>
                <w:szCs w:val="18"/>
                <w:lang w:val="en-US" w:eastAsia="en-US"/>
              </w:rPr>
            </w:pPr>
            <w:r w:rsidRPr="009116E6">
              <w:rPr>
                <w:rFonts w:cs="Calibri"/>
                <w:b/>
                <w:bCs/>
                <w:sz w:val="18"/>
                <w:szCs w:val="18"/>
                <w:lang w:val="en-US" w:eastAsia="en-US"/>
              </w:rPr>
              <w:t>279 650</w:t>
            </w:r>
          </w:p>
        </w:tc>
      </w:tr>
    </w:tbl>
    <w:p w:rsidR="00C75A88" w:rsidRDefault="00C75A88" w:rsidP="00C75A88">
      <w:pPr>
        <w:rPr>
          <w:b/>
          <w:i/>
          <w:highlight w:val="yellow"/>
          <w:lang w:val="ru-RU"/>
        </w:rPr>
      </w:pPr>
    </w:p>
    <w:p w:rsidR="00C75A88" w:rsidRPr="00423585" w:rsidRDefault="00C75A88" w:rsidP="00C75A88">
      <w:pPr>
        <w:numPr>
          <w:ilvl w:val="0"/>
          <w:numId w:val="8"/>
        </w:numPr>
        <w:spacing w:line="276" w:lineRule="auto"/>
        <w:jc w:val="both"/>
        <w:rPr>
          <w:b/>
          <w:u w:val="single"/>
        </w:rPr>
      </w:pPr>
      <w:r w:rsidRPr="004F4AC0">
        <w:rPr>
          <w:lang w:val="ru-RU"/>
        </w:rPr>
        <w:t xml:space="preserve">През 2017 г., в </w:t>
      </w:r>
      <w:r w:rsidRPr="004F4AC0">
        <w:rPr>
          <w:u w:val="single"/>
          <w:lang w:val="ru-RU"/>
        </w:rPr>
        <w:t>заводи на жп промишлеността</w:t>
      </w:r>
      <w:r w:rsidRPr="004F4AC0">
        <w:rPr>
          <w:lang w:val="ru-RU"/>
        </w:rPr>
        <w:t xml:space="preserve"> е предвидено извършване на 52 броя ТП, </w:t>
      </w:r>
      <w:r w:rsidRPr="004F4AC0">
        <w:t>отчетени са</w:t>
      </w:r>
      <w:r w:rsidRPr="004F4AC0">
        <w:rPr>
          <w:lang w:val="ru-RU"/>
        </w:rPr>
        <w:t xml:space="preserve"> 52 броя или 100% изпълнение. Планирано е извършване на 19 броя МПР, а са отчетени 14 броя, т.е. изпълнението е 74%.</w:t>
      </w:r>
    </w:p>
    <w:p w:rsidR="00C75A88" w:rsidRDefault="00C75A88" w:rsidP="00C75A88">
      <w:pPr>
        <w:rPr>
          <w:b/>
          <w:u w:val="single"/>
          <w:lang w:val="ru-RU"/>
        </w:rPr>
      </w:pPr>
      <w:r w:rsidRPr="00FA52CB">
        <w:rPr>
          <w:b/>
          <w:u w:val="single"/>
          <w:lang w:val="ru-RU"/>
        </w:rPr>
        <w:t>Ремонти  по  необходимост (РН)</w:t>
      </w:r>
    </w:p>
    <w:p w:rsidR="00C75A88" w:rsidRDefault="00C75A88" w:rsidP="00C75A88">
      <w:pPr>
        <w:rPr>
          <w:b/>
          <w:i/>
          <w:lang w:val="en-US"/>
        </w:rPr>
      </w:pPr>
      <w:r w:rsidRPr="00084082">
        <w:rPr>
          <w:b/>
          <w:i/>
          <w:lang w:val="ru-RU"/>
        </w:rPr>
        <w:t>В депа н</w:t>
      </w:r>
      <w:r>
        <w:rPr>
          <w:b/>
          <w:i/>
          <w:lang w:val="ru-RU"/>
        </w:rPr>
        <w:t>а „БДЖ – Товарни превози” ЕООД и „БДЖ – Пътнически превози” ЕООД</w:t>
      </w:r>
    </w:p>
    <w:tbl>
      <w:tblPr>
        <w:tblW w:w="10208" w:type="dxa"/>
        <w:tblInd w:w="-34" w:type="dxa"/>
        <w:tblLook w:val="04A0" w:firstRow="1" w:lastRow="0" w:firstColumn="1" w:lastColumn="0" w:noHBand="0" w:noVBand="1"/>
      </w:tblPr>
      <w:tblGrid>
        <w:gridCol w:w="2219"/>
        <w:gridCol w:w="1624"/>
        <w:gridCol w:w="1624"/>
        <w:gridCol w:w="1625"/>
        <w:gridCol w:w="1476"/>
        <w:gridCol w:w="1640"/>
      </w:tblGrid>
      <w:tr w:rsidR="00C75A88" w:rsidRPr="00256A1A" w:rsidTr="00C75A88">
        <w:trPr>
          <w:trHeight w:val="417"/>
        </w:trPr>
        <w:tc>
          <w:tcPr>
            <w:tcW w:w="2219"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75A88" w:rsidRPr="00256A1A" w:rsidRDefault="00C75A88" w:rsidP="00C75A88">
            <w:pPr>
              <w:jc w:val="center"/>
              <w:rPr>
                <w:rFonts w:cs="Calibri"/>
                <w:b/>
                <w:bCs/>
                <w:sz w:val="18"/>
                <w:szCs w:val="18"/>
                <w:lang w:val="en-US" w:eastAsia="en-US"/>
              </w:rPr>
            </w:pPr>
            <w:r w:rsidRPr="00256A1A">
              <w:rPr>
                <w:rFonts w:cs="Calibri"/>
                <w:b/>
                <w:bCs/>
                <w:sz w:val="18"/>
                <w:szCs w:val="18"/>
                <w:lang w:val="en-US" w:eastAsia="en-US"/>
              </w:rPr>
              <w:t>Ремонти по необходимост</w:t>
            </w:r>
          </w:p>
        </w:tc>
        <w:tc>
          <w:tcPr>
            <w:tcW w:w="1624" w:type="dxa"/>
            <w:tcBorders>
              <w:top w:val="single" w:sz="4" w:space="0" w:color="auto"/>
              <w:left w:val="nil"/>
              <w:bottom w:val="nil"/>
              <w:right w:val="single" w:sz="4" w:space="0" w:color="auto"/>
            </w:tcBorders>
            <w:shd w:val="clear" w:color="auto" w:fill="auto"/>
            <w:vAlign w:val="center"/>
            <w:hideMark/>
          </w:tcPr>
          <w:p w:rsidR="00C75A88" w:rsidRPr="00256A1A" w:rsidRDefault="00C75A88" w:rsidP="00C75A88">
            <w:pPr>
              <w:jc w:val="center"/>
              <w:rPr>
                <w:rFonts w:cs="Calibri"/>
                <w:b/>
                <w:bCs/>
                <w:sz w:val="18"/>
                <w:szCs w:val="18"/>
                <w:lang w:val="en-US" w:eastAsia="en-US"/>
              </w:rPr>
            </w:pPr>
            <w:r w:rsidRPr="00256A1A">
              <w:rPr>
                <w:rFonts w:cs="Calibri"/>
                <w:b/>
                <w:bCs/>
                <w:sz w:val="18"/>
                <w:szCs w:val="18"/>
                <w:lang w:val="en-US" w:eastAsia="en-US"/>
              </w:rPr>
              <w:t>Отчет 2017 г.</w:t>
            </w:r>
          </w:p>
        </w:tc>
        <w:tc>
          <w:tcPr>
            <w:tcW w:w="1624" w:type="dxa"/>
            <w:tcBorders>
              <w:top w:val="single" w:sz="4" w:space="0" w:color="auto"/>
              <w:left w:val="nil"/>
              <w:bottom w:val="single" w:sz="4" w:space="0" w:color="auto"/>
              <w:right w:val="single" w:sz="4" w:space="0" w:color="auto"/>
            </w:tcBorders>
            <w:shd w:val="clear" w:color="auto" w:fill="auto"/>
            <w:vAlign w:val="center"/>
            <w:hideMark/>
          </w:tcPr>
          <w:p w:rsidR="00C75A88" w:rsidRPr="00256A1A" w:rsidRDefault="00C75A88" w:rsidP="00C75A88">
            <w:pPr>
              <w:jc w:val="center"/>
              <w:rPr>
                <w:rFonts w:cs="Calibri"/>
                <w:b/>
                <w:bCs/>
                <w:sz w:val="18"/>
                <w:szCs w:val="18"/>
                <w:lang w:val="en-US" w:eastAsia="en-US"/>
              </w:rPr>
            </w:pPr>
            <w:r w:rsidRPr="00256A1A">
              <w:rPr>
                <w:rFonts w:cs="Calibri"/>
                <w:b/>
                <w:bCs/>
                <w:sz w:val="18"/>
                <w:szCs w:val="18"/>
                <w:lang w:val="en-US" w:eastAsia="en-US"/>
              </w:rPr>
              <w:t>Бюджет 2017 г.</w:t>
            </w:r>
          </w:p>
        </w:tc>
        <w:tc>
          <w:tcPr>
            <w:tcW w:w="1625" w:type="dxa"/>
            <w:tcBorders>
              <w:top w:val="single" w:sz="4" w:space="0" w:color="auto"/>
              <w:left w:val="nil"/>
              <w:bottom w:val="single" w:sz="4" w:space="0" w:color="auto"/>
              <w:right w:val="single" w:sz="4" w:space="0" w:color="auto"/>
            </w:tcBorders>
            <w:shd w:val="clear" w:color="auto" w:fill="auto"/>
            <w:vAlign w:val="center"/>
            <w:hideMark/>
          </w:tcPr>
          <w:p w:rsidR="00C75A88" w:rsidRPr="00256A1A" w:rsidRDefault="00C75A88" w:rsidP="00C75A88">
            <w:pPr>
              <w:jc w:val="center"/>
              <w:rPr>
                <w:rFonts w:cs="Calibri"/>
                <w:b/>
                <w:bCs/>
                <w:sz w:val="18"/>
                <w:szCs w:val="18"/>
                <w:lang w:val="en-US" w:eastAsia="en-US"/>
              </w:rPr>
            </w:pPr>
            <w:r w:rsidRPr="00256A1A">
              <w:rPr>
                <w:rFonts w:cs="Calibri"/>
                <w:b/>
                <w:bCs/>
                <w:sz w:val="18"/>
                <w:szCs w:val="18"/>
                <w:lang w:val="en-US" w:eastAsia="en-US"/>
              </w:rPr>
              <w:t>Отчет 2016 г.</w:t>
            </w:r>
          </w:p>
        </w:tc>
        <w:tc>
          <w:tcPr>
            <w:tcW w:w="1476" w:type="dxa"/>
            <w:tcBorders>
              <w:top w:val="single" w:sz="4" w:space="0" w:color="auto"/>
              <w:left w:val="nil"/>
              <w:bottom w:val="single" w:sz="4" w:space="0" w:color="auto"/>
              <w:right w:val="single" w:sz="4" w:space="0" w:color="auto"/>
            </w:tcBorders>
            <w:shd w:val="clear" w:color="auto" w:fill="auto"/>
            <w:vAlign w:val="center"/>
            <w:hideMark/>
          </w:tcPr>
          <w:p w:rsidR="00C75A88" w:rsidRPr="00256A1A" w:rsidRDefault="00C75A88" w:rsidP="00C75A88">
            <w:pPr>
              <w:jc w:val="center"/>
              <w:rPr>
                <w:rFonts w:cs="Calibri"/>
                <w:b/>
                <w:bCs/>
                <w:sz w:val="18"/>
                <w:szCs w:val="18"/>
                <w:lang w:val="en-US" w:eastAsia="en-US"/>
              </w:rPr>
            </w:pPr>
            <w:r w:rsidRPr="00256A1A">
              <w:rPr>
                <w:rFonts w:cs="Calibri"/>
                <w:b/>
                <w:bCs/>
                <w:sz w:val="18"/>
                <w:szCs w:val="18"/>
                <w:lang w:val="en-US" w:eastAsia="en-US"/>
              </w:rPr>
              <w:t>+/- отчет/бюджет</w:t>
            </w:r>
          </w:p>
        </w:tc>
        <w:tc>
          <w:tcPr>
            <w:tcW w:w="1640" w:type="dxa"/>
            <w:tcBorders>
              <w:top w:val="single" w:sz="4" w:space="0" w:color="auto"/>
              <w:left w:val="nil"/>
              <w:bottom w:val="single" w:sz="4" w:space="0" w:color="auto"/>
              <w:right w:val="single" w:sz="4" w:space="0" w:color="auto"/>
            </w:tcBorders>
            <w:shd w:val="clear" w:color="auto" w:fill="auto"/>
            <w:vAlign w:val="center"/>
            <w:hideMark/>
          </w:tcPr>
          <w:p w:rsidR="00C75A88" w:rsidRPr="00256A1A" w:rsidRDefault="00C75A88" w:rsidP="00C75A88">
            <w:pPr>
              <w:jc w:val="center"/>
              <w:rPr>
                <w:rFonts w:cs="Calibri"/>
                <w:b/>
                <w:bCs/>
                <w:sz w:val="18"/>
                <w:szCs w:val="18"/>
                <w:lang w:val="en-US" w:eastAsia="en-US"/>
              </w:rPr>
            </w:pPr>
            <w:r w:rsidRPr="00256A1A">
              <w:rPr>
                <w:rFonts w:cs="Calibri"/>
                <w:b/>
                <w:bCs/>
                <w:sz w:val="18"/>
                <w:szCs w:val="18"/>
                <w:lang w:val="en-US" w:eastAsia="en-US"/>
              </w:rPr>
              <w:t>+/- отчет 2017/2016</w:t>
            </w:r>
          </w:p>
        </w:tc>
      </w:tr>
      <w:tr w:rsidR="00C75A88" w:rsidRPr="00256A1A" w:rsidTr="00C75A88">
        <w:trPr>
          <w:trHeight w:val="209"/>
        </w:trPr>
        <w:tc>
          <w:tcPr>
            <w:tcW w:w="2219" w:type="dxa"/>
            <w:tcBorders>
              <w:top w:val="nil"/>
              <w:left w:val="single" w:sz="4" w:space="0" w:color="auto"/>
              <w:bottom w:val="nil"/>
              <w:right w:val="nil"/>
            </w:tcBorders>
            <w:shd w:val="clear" w:color="auto" w:fill="auto"/>
            <w:vAlign w:val="bottom"/>
            <w:hideMark/>
          </w:tcPr>
          <w:p w:rsidR="00C75A88" w:rsidRPr="00256A1A" w:rsidRDefault="00C75A88" w:rsidP="00C75A88">
            <w:pPr>
              <w:jc w:val="center"/>
              <w:rPr>
                <w:rFonts w:cs="Calibri"/>
                <w:b/>
                <w:bCs/>
                <w:sz w:val="18"/>
                <w:szCs w:val="18"/>
                <w:lang w:val="en-US" w:eastAsia="en-US"/>
              </w:rPr>
            </w:pPr>
            <w:r w:rsidRPr="00256A1A">
              <w:rPr>
                <w:rFonts w:cs="Calibri"/>
                <w:b/>
                <w:bCs/>
                <w:sz w:val="18"/>
                <w:szCs w:val="18"/>
                <w:lang w:val="en-US" w:eastAsia="en-US"/>
              </w:rPr>
              <w:t>В депа на "БДЖ-ТП"</w:t>
            </w:r>
          </w:p>
        </w:tc>
        <w:tc>
          <w:tcPr>
            <w:tcW w:w="1624" w:type="dxa"/>
            <w:tcBorders>
              <w:top w:val="single" w:sz="4" w:space="0" w:color="auto"/>
              <w:left w:val="single" w:sz="4" w:space="0" w:color="auto"/>
              <w:bottom w:val="single" w:sz="4" w:space="0" w:color="auto"/>
              <w:right w:val="single" w:sz="4" w:space="0" w:color="auto"/>
            </w:tcBorders>
            <w:shd w:val="clear" w:color="auto" w:fill="auto"/>
            <w:vAlign w:val="bottom"/>
            <w:hideMark/>
          </w:tcPr>
          <w:p w:rsidR="00C75A88" w:rsidRPr="00256A1A" w:rsidRDefault="00C75A88" w:rsidP="00C75A88">
            <w:pPr>
              <w:jc w:val="right"/>
              <w:rPr>
                <w:rFonts w:cs="Calibri"/>
                <w:sz w:val="18"/>
                <w:szCs w:val="18"/>
                <w:lang w:val="en-US" w:eastAsia="en-US"/>
              </w:rPr>
            </w:pPr>
            <w:r w:rsidRPr="00256A1A">
              <w:rPr>
                <w:rFonts w:cs="Calibri"/>
                <w:sz w:val="18"/>
                <w:szCs w:val="18"/>
                <w:lang w:val="en-US" w:eastAsia="en-US"/>
              </w:rPr>
              <w:t>1 709</w:t>
            </w:r>
          </w:p>
        </w:tc>
        <w:tc>
          <w:tcPr>
            <w:tcW w:w="1624" w:type="dxa"/>
            <w:tcBorders>
              <w:top w:val="nil"/>
              <w:left w:val="nil"/>
              <w:bottom w:val="single" w:sz="4" w:space="0" w:color="auto"/>
              <w:right w:val="single" w:sz="4" w:space="0" w:color="auto"/>
            </w:tcBorders>
            <w:shd w:val="clear" w:color="auto" w:fill="auto"/>
            <w:vAlign w:val="bottom"/>
            <w:hideMark/>
          </w:tcPr>
          <w:p w:rsidR="00C75A88" w:rsidRPr="00256A1A" w:rsidRDefault="00C75A88" w:rsidP="00C75A88">
            <w:pPr>
              <w:jc w:val="right"/>
              <w:rPr>
                <w:rFonts w:cs="Calibri"/>
                <w:sz w:val="18"/>
                <w:szCs w:val="18"/>
                <w:lang w:val="en-US" w:eastAsia="en-US"/>
              </w:rPr>
            </w:pPr>
            <w:r w:rsidRPr="00256A1A">
              <w:rPr>
                <w:rFonts w:cs="Calibri"/>
                <w:sz w:val="18"/>
                <w:szCs w:val="18"/>
                <w:lang w:val="en-US" w:eastAsia="en-US"/>
              </w:rPr>
              <w:t>1 431</w:t>
            </w:r>
          </w:p>
        </w:tc>
        <w:tc>
          <w:tcPr>
            <w:tcW w:w="1625" w:type="dxa"/>
            <w:tcBorders>
              <w:top w:val="nil"/>
              <w:left w:val="nil"/>
              <w:bottom w:val="single" w:sz="4" w:space="0" w:color="auto"/>
              <w:right w:val="single" w:sz="4" w:space="0" w:color="auto"/>
            </w:tcBorders>
            <w:shd w:val="clear" w:color="auto" w:fill="auto"/>
            <w:vAlign w:val="bottom"/>
            <w:hideMark/>
          </w:tcPr>
          <w:p w:rsidR="00C75A88" w:rsidRPr="00256A1A" w:rsidRDefault="00C75A88" w:rsidP="00C75A88">
            <w:pPr>
              <w:jc w:val="right"/>
              <w:rPr>
                <w:rFonts w:cs="Calibri"/>
                <w:sz w:val="18"/>
                <w:szCs w:val="18"/>
                <w:lang w:val="en-US" w:eastAsia="en-US"/>
              </w:rPr>
            </w:pPr>
            <w:r w:rsidRPr="00256A1A">
              <w:rPr>
                <w:rFonts w:cs="Calibri"/>
                <w:sz w:val="18"/>
                <w:szCs w:val="18"/>
                <w:lang w:val="en-US" w:eastAsia="en-US"/>
              </w:rPr>
              <w:t>1 891</w:t>
            </w:r>
          </w:p>
        </w:tc>
        <w:tc>
          <w:tcPr>
            <w:tcW w:w="1476" w:type="dxa"/>
            <w:tcBorders>
              <w:top w:val="nil"/>
              <w:left w:val="nil"/>
              <w:bottom w:val="single" w:sz="4" w:space="0" w:color="auto"/>
              <w:right w:val="single" w:sz="4" w:space="0" w:color="auto"/>
            </w:tcBorders>
            <w:shd w:val="clear" w:color="auto" w:fill="auto"/>
            <w:vAlign w:val="bottom"/>
            <w:hideMark/>
          </w:tcPr>
          <w:p w:rsidR="00C75A88" w:rsidRPr="00256A1A" w:rsidRDefault="00C75A88" w:rsidP="00C75A88">
            <w:pPr>
              <w:jc w:val="right"/>
              <w:rPr>
                <w:rFonts w:cs="Calibri"/>
                <w:sz w:val="18"/>
                <w:szCs w:val="18"/>
                <w:lang w:val="en-US" w:eastAsia="en-US"/>
              </w:rPr>
            </w:pPr>
            <w:r w:rsidRPr="00256A1A">
              <w:rPr>
                <w:rFonts w:cs="Calibri"/>
                <w:sz w:val="18"/>
                <w:szCs w:val="18"/>
                <w:lang w:val="en-US" w:eastAsia="en-US"/>
              </w:rPr>
              <w:t>278</w:t>
            </w:r>
          </w:p>
        </w:tc>
        <w:tc>
          <w:tcPr>
            <w:tcW w:w="1640" w:type="dxa"/>
            <w:tcBorders>
              <w:top w:val="nil"/>
              <w:left w:val="nil"/>
              <w:bottom w:val="single" w:sz="4" w:space="0" w:color="auto"/>
              <w:right w:val="single" w:sz="4" w:space="0" w:color="auto"/>
            </w:tcBorders>
            <w:shd w:val="clear" w:color="auto" w:fill="auto"/>
            <w:vAlign w:val="bottom"/>
            <w:hideMark/>
          </w:tcPr>
          <w:p w:rsidR="00C75A88" w:rsidRPr="00256A1A" w:rsidRDefault="00C75A88" w:rsidP="00C75A88">
            <w:pPr>
              <w:jc w:val="right"/>
              <w:rPr>
                <w:rFonts w:cs="Calibri"/>
                <w:sz w:val="18"/>
                <w:szCs w:val="18"/>
                <w:lang w:val="en-US" w:eastAsia="en-US"/>
              </w:rPr>
            </w:pPr>
            <w:r w:rsidRPr="00256A1A">
              <w:rPr>
                <w:rFonts w:cs="Calibri"/>
                <w:sz w:val="18"/>
                <w:szCs w:val="18"/>
                <w:lang w:val="en-US" w:eastAsia="en-US"/>
              </w:rPr>
              <w:t>-182</w:t>
            </w:r>
          </w:p>
        </w:tc>
      </w:tr>
      <w:tr w:rsidR="00C75A88" w:rsidRPr="00256A1A" w:rsidTr="00C75A88">
        <w:trPr>
          <w:trHeight w:val="209"/>
        </w:trPr>
        <w:tc>
          <w:tcPr>
            <w:tcW w:w="2219" w:type="dxa"/>
            <w:tcBorders>
              <w:top w:val="single" w:sz="4" w:space="0" w:color="auto"/>
              <w:left w:val="single" w:sz="4" w:space="0" w:color="auto"/>
              <w:bottom w:val="nil"/>
              <w:right w:val="nil"/>
            </w:tcBorders>
            <w:shd w:val="clear" w:color="auto" w:fill="auto"/>
            <w:vAlign w:val="bottom"/>
            <w:hideMark/>
          </w:tcPr>
          <w:p w:rsidR="00C75A88" w:rsidRPr="00256A1A" w:rsidRDefault="00C75A88" w:rsidP="00C75A88">
            <w:pPr>
              <w:jc w:val="center"/>
              <w:rPr>
                <w:rFonts w:cs="Calibri"/>
                <w:b/>
                <w:bCs/>
                <w:sz w:val="18"/>
                <w:szCs w:val="18"/>
                <w:lang w:val="en-US" w:eastAsia="en-US"/>
              </w:rPr>
            </w:pPr>
            <w:r w:rsidRPr="00256A1A">
              <w:rPr>
                <w:rFonts w:cs="Calibri"/>
                <w:b/>
                <w:bCs/>
                <w:sz w:val="18"/>
                <w:szCs w:val="18"/>
                <w:lang w:val="en-US" w:eastAsia="en-US"/>
              </w:rPr>
              <w:t>В депа на "БДЖ-ПП"</w:t>
            </w:r>
          </w:p>
        </w:tc>
        <w:tc>
          <w:tcPr>
            <w:tcW w:w="1624" w:type="dxa"/>
            <w:tcBorders>
              <w:top w:val="nil"/>
              <w:left w:val="single" w:sz="4" w:space="0" w:color="auto"/>
              <w:bottom w:val="single" w:sz="4" w:space="0" w:color="auto"/>
              <w:right w:val="single" w:sz="4" w:space="0" w:color="auto"/>
            </w:tcBorders>
            <w:shd w:val="clear" w:color="auto" w:fill="auto"/>
            <w:vAlign w:val="bottom"/>
            <w:hideMark/>
          </w:tcPr>
          <w:p w:rsidR="00C75A88" w:rsidRPr="00256A1A" w:rsidRDefault="00C75A88" w:rsidP="00C75A88">
            <w:pPr>
              <w:jc w:val="right"/>
              <w:rPr>
                <w:rFonts w:cs="Calibri"/>
                <w:sz w:val="18"/>
                <w:szCs w:val="18"/>
                <w:lang w:val="en-US" w:eastAsia="en-US"/>
              </w:rPr>
            </w:pPr>
            <w:r w:rsidRPr="00256A1A">
              <w:rPr>
                <w:rFonts w:cs="Calibri"/>
                <w:sz w:val="18"/>
                <w:szCs w:val="18"/>
                <w:lang w:val="en-US" w:eastAsia="en-US"/>
              </w:rPr>
              <w:t>176</w:t>
            </w:r>
          </w:p>
        </w:tc>
        <w:tc>
          <w:tcPr>
            <w:tcW w:w="1624" w:type="dxa"/>
            <w:tcBorders>
              <w:top w:val="nil"/>
              <w:left w:val="nil"/>
              <w:bottom w:val="single" w:sz="4" w:space="0" w:color="auto"/>
              <w:right w:val="single" w:sz="4" w:space="0" w:color="auto"/>
            </w:tcBorders>
            <w:shd w:val="clear" w:color="auto" w:fill="auto"/>
            <w:vAlign w:val="bottom"/>
            <w:hideMark/>
          </w:tcPr>
          <w:p w:rsidR="00C75A88" w:rsidRPr="00256A1A" w:rsidRDefault="00C75A88" w:rsidP="00C75A88">
            <w:pPr>
              <w:jc w:val="right"/>
              <w:rPr>
                <w:rFonts w:cs="Calibri"/>
                <w:sz w:val="18"/>
                <w:szCs w:val="18"/>
                <w:lang w:val="en-US" w:eastAsia="en-US"/>
              </w:rPr>
            </w:pPr>
            <w:r w:rsidRPr="00256A1A">
              <w:rPr>
                <w:rFonts w:cs="Calibri"/>
                <w:sz w:val="18"/>
                <w:szCs w:val="18"/>
                <w:lang w:val="en-US" w:eastAsia="en-US"/>
              </w:rPr>
              <w:t>126</w:t>
            </w:r>
          </w:p>
        </w:tc>
        <w:tc>
          <w:tcPr>
            <w:tcW w:w="1625" w:type="dxa"/>
            <w:tcBorders>
              <w:top w:val="nil"/>
              <w:left w:val="nil"/>
              <w:bottom w:val="single" w:sz="4" w:space="0" w:color="auto"/>
              <w:right w:val="single" w:sz="4" w:space="0" w:color="auto"/>
            </w:tcBorders>
            <w:shd w:val="clear" w:color="auto" w:fill="auto"/>
            <w:vAlign w:val="bottom"/>
            <w:hideMark/>
          </w:tcPr>
          <w:p w:rsidR="00C75A88" w:rsidRPr="00256A1A" w:rsidRDefault="00C75A88" w:rsidP="00C75A88">
            <w:pPr>
              <w:jc w:val="right"/>
              <w:rPr>
                <w:rFonts w:cs="Calibri"/>
                <w:sz w:val="18"/>
                <w:szCs w:val="18"/>
                <w:lang w:val="en-US" w:eastAsia="en-US"/>
              </w:rPr>
            </w:pPr>
            <w:r w:rsidRPr="00256A1A">
              <w:rPr>
                <w:rFonts w:cs="Calibri"/>
                <w:sz w:val="18"/>
                <w:szCs w:val="18"/>
                <w:lang w:val="en-US" w:eastAsia="en-US"/>
              </w:rPr>
              <w:t>138</w:t>
            </w:r>
          </w:p>
        </w:tc>
        <w:tc>
          <w:tcPr>
            <w:tcW w:w="1476" w:type="dxa"/>
            <w:tcBorders>
              <w:top w:val="nil"/>
              <w:left w:val="nil"/>
              <w:bottom w:val="single" w:sz="4" w:space="0" w:color="auto"/>
              <w:right w:val="single" w:sz="4" w:space="0" w:color="auto"/>
            </w:tcBorders>
            <w:shd w:val="clear" w:color="auto" w:fill="auto"/>
            <w:vAlign w:val="bottom"/>
            <w:hideMark/>
          </w:tcPr>
          <w:p w:rsidR="00C75A88" w:rsidRPr="00256A1A" w:rsidRDefault="00C75A88" w:rsidP="00C75A88">
            <w:pPr>
              <w:jc w:val="right"/>
              <w:rPr>
                <w:rFonts w:cs="Calibri"/>
                <w:sz w:val="18"/>
                <w:szCs w:val="18"/>
                <w:lang w:val="en-US" w:eastAsia="en-US"/>
              </w:rPr>
            </w:pPr>
            <w:r w:rsidRPr="00256A1A">
              <w:rPr>
                <w:rFonts w:cs="Calibri"/>
                <w:sz w:val="18"/>
                <w:szCs w:val="18"/>
                <w:lang w:val="en-US" w:eastAsia="en-US"/>
              </w:rPr>
              <w:t>50</w:t>
            </w:r>
          </w:p>
        </w:tc>
        <w:tc>
          <w:tcPr>
            <w:tcW w:w="1640" w:type="dxa"/>
            <w:tcBorders>
              <w:top w:val="nil"/>
              <w:left w:val="nil"/>
              <w:bottom w:val="single" w:sz="4" w:space="0" w:color="auto"/>
              <w:right w:val="single" w:sz="4" w:space="0" w:color="auto"/>
            </w:tcBorders>
            <w:shd w:val="clear" w:color="auto" w:fill="auto"/>
            <w:vAlign w:val="bottom"/>
            <w:hideMark/>
          </w:tcPr>
          <w:p w:rsidR="00C75A88" w:rsidRPr="00256A1A" w:rsidRDefault="00C75A88" w:rsidP="00C75A88">
            <w:pPr>
              <w:jc w:val="right"/>
              <w:rPr>
                <w:rFonts w:cs="Calibri"/>
                <w:sz w:val="18"/>
                <w:szCs w:val="18"/>
                <w:lang w:val="en-US" w:eastAsia="en-US"/>
              </w:rPr>
            </w:pPr>
            <w:r w:rsidRPr="00256A1A">
              <w:rPr>
                <w:rFonts w:cs="Calibri"/>
                <w:sz w:val="18"/>
                <w:szCs w:val="18"/>
                <w:lang w:val="en-US" w:eastAsia="en-US"/>
              </w:rPr>
              <w:t>38</w:t>
            </w:r>
          </w:p>
        </w:tc>
      </w:tr>
      <w:tr w:rsidR="00C75A88" w:rsidRPr="00256A1A" w:rsidTr="00C75A88">
        <w:trPr>
          <w:trHeight w:val="196"/>
        </w:trPr>
        <w:tc>
          <w:tcPr>
            <w:tcW w:w="2219" w:type="dxa"/>
            <w:tcBorders>
              <w:top w:val="single" w:sz="4" w:space="0" w:color="auto"/>
              <w:left w:val="single" w:sz="4" w:space="0" w:color="auto"/>
              <w:bottom w:val="double" w:sz="6" w:space="0" w:color="auto"/>
              <w:right w:val="nil"/>
            </w:tcBorders>
            <w:shd w:val="clear" w:color="auto" w:fill="auto"/>
            <w:vAlign w:val="bottom"/>
            <w:hideMark/>
          </w:tcPr>
          <w:p w:rsidR="00C75A88" w:rsidRPr="00256A1A" w:rsidRDefault="00C75A88" w:rsidP="00C75A88">
            <w:pPr>
              <w:jc w:val="center"/>
              <w:rPr>
                <w:rFonts w:cs="Calibri"/>
                <w:b/>
                <w:bCs/>
                <w:sz w:val="18"/>
                <w:szCs w:val="18"/>
                <w:lang w:val="en-US" w:eastAsia="en-US"/>
              </w:rPr>
            </w:pPr>
            <w:r w:rsidRPr="00256A1A">
              <w:rPr>
                <w:rFonts w:cs="Calibri"/>
                <w:b/>
                <w:bCs/>
                <w:sz w:val="18"/>
                <w:szCs w:val="18"/>
                <w:lang w:val="en-US" w:eastAsia="en-US"/>
              </w:rPr>
              <w:t>Общо</w:t>
            </w:r>
          </w:p>
        </w:tc>
        <w:tc>
          <w:tcPr>
            <w:tcW w:w="1624" w:type="dxa"/>
            <w:tcBorders>
              <w:top w:val="nil"/>
              <w:left w:val="single" w:sz="4" w:space="0" w:color="auto"/>
              <w:bottom w:val="double" w:sz="6" w:space="0" w:color="auto"/>
              <w:right w:val="single" w:sz="4" w:space="0" w:color="auto"/>
            </w:tcBorders>
            <w:shd w:val="clear" w:color="auto" w:fill="auto"/>
            <w:vAlign w:val="bottom"/>
            <w:hideMark/>
          </w:tcPr>
          <w:p w:rsidR="00C75A88" w:rsidRPr="00256A1A" w:rsidRDefault="00C75A88" w:rsidP="00C75A88">
            <w:pPr>
              <w:jc w:val="right"/>
              <w:rPr>
                <w:rFonts w:cs="Calibri"/>
                <w:b/>
                <w:bCs/>
                <w:sz w:val="18"/>
                <w:szCs w:val="18"/>
                <w:lang w:val="en-US" w:eastAsia="en-US"/>
              </w:rPr>
            </w:pPr>
            <w:r w:rsidRPr="00256A1A">
              <w:rPr>
                <w:rFonts w:cs="Calibri"/>
                <w:b/>
                <w:bCs/>
                <w:sz w:val="18"/>
                <w:szCs w:val="18"/>
                <w:lang w:val="en-US" w:eastAsia="en-US"/>
              </w:rPr>
              <w:t>1 885</w:t>
            </w:r>
          </w:p>
        </w:tc>
        <w:tc>
          <w:tcPr>
            <w:tcW w:w="1624" w:type="dxa"/>
            <w:tcBorders>
              <w:top w:val="nil"/>
              <w:left w:val="nil"/>
              <w:bottom w:val="double" w:sz="6" w:space="0" w:color="auto"/>
              <w:right w:val="single" w:sz="4" w:space="0" w:color="auto"/>
            </w:tcBorders>
            <w:shd w:val="clear" w:color="auto" w:fill="auto"/>
            <w:vAlign w:val="bottom"/>
            <w:hideMark/>
          </w:tcPr>
          <w:p w:rsidR="00C75A88" w:rsidRPr="00256A1A" w:rsidRDefault="00C75A88" w:rsidP="00C75A88">
            <w:pPr>
              <w:jc w:val="right"/>
              <w:rPr>
                <w:rFonts w:cs="Calibri"/>
                <w:b/>
                <w:bCs/>
                <w:sz w:val="18"/>
                <w:szCs w:val="18"/>
                <w:lang w:val="en-US" w:eastAsia="en-US"/>
              </w:rPr>
            </w:pPr>
            <w:r w:rsidRPr="00256A1A">
              <w:rPr>
                <w:rFonts w:cs="Calibri"/>
                <w:b/>
                <w:bCs/>
                <w:sz w:val="18"/>
                <w:szCs w:val="18"/>
                <w:lang w:val="en-US" w:eastAsia="en-US"/>
              </w:rPr>
              <w:t>1 557</w:t>
            </w:r>
          </w:p>
        </w:tc>
        <w:tc>
          <w:tcPr>
            <w:tcW w:w="1625" w:type="dxa"/>
            <w:tcBorders>
              <w:top w:val="nil"/>
              <w:left w:val="nil"/>
              <w:bottom w:val="double" w:sz="6" w:space="0" w:color="auto"/>
              <w:right w:val="single" w:sz="4" w:space="0" w:color="auto"/>
            </w:tcBorders>
            <w:shd w:val="clear" w:color="auto" w:fill="auto"/>
            <w:vAlign w:val="bottom"/>
            <w:hideMark/>
          </w:tcPr>
          <w:p w:rsidR="00C75A88" w:rsidRPr="00256A1A" w:rsidRDefault="00C75A88" w:rsidP="00C75A88">
            <w:pPr>
              <w:jc w:val="right"/>
              <w:rPr>
                <w:rFonts w:cs="Calibri"/>
                <w:b/>
                <w:bCs/>
                <w:sz w:val="18"/>
                <w:szCs w:val="18"/>
                <w:lang w:val="en-US" w:eastAsia="en-US"/>
              </w:rPr>
            </w:pPr>
            <w:r w:rsidRPr="00256A1A">
              <w:rPr>
                <w:rFonts w:cs="Calibri"/>
                <w:b/>
                <w:bCs/>
                <w:sz w:val="18"/>
                <w:szCs w:val="18"/>
                <w:lang w:val="en-US" w:eastAsia="en-US"/>
              </w:rPr>
              <w:t>2 029</w:t>
            </w:r>
          </w:p>
        </w:tc>
        <w:tc>
          <w:tcPr>
            <w:tcW w:w="1476" w:type="dxa"/>
            <w:tcBorders>
              <w:top w:val="nil"/>
              <w:left w:val="nil"/>
              <w:bottom w:val="double" w:sz="6" w:space="0" w:color="auto"/>
              <w:right w:val="single" w:sz="4" w:space="0" w:color="auto"/>
            </w:tcBorders>
            <w:shd w:val="clear" w:color="auto" w:fill="auto"/>
            <w:vAlign w:val="bottom"/>
            <w:hideMark/>
          </w:tcPr>
          <w:p w:rsidR="00C75A88" w:rsidRPr="00256A1A" w:rsidRDefault="00C75A88" w:rsidP="00C75A88">
            <w:pPr>
              <w:jc w:val="right"/>
              <w:rPr>
                <w:rFonts w:cs="Calibri"/>
                <w:b/>
                <w:bCs/>
                <w:sz w:val="18"/>
                <w:szCs w:val="18"/>
                <w:lang w:val="en-US" w:eastAsia="en-US"/>
              </w:rPr>
            </w:pPr>
            <w:r w:rsidRPr="00256A1A">
              <w:rPr>
                <w:rFonts w:cs="Calibri"/>
                <w:b/>
                <w:bCs/>
                <w:sz w:val="18"/>
                <w:szCs w:val="18"/>
                <w:lang w:val="en-US" w:eastAsia="en-US"/>
              </w:rPr>
              <w:t>328</w:t>
            </w:r>
          </w:p>
        </w:tc>
        <w:tc>
          <w:tcPr>
            <w:tcW w:w="1640" w:type="dxa"/>
            <w:tcBorders>
              <w:top w:val="nil"/>
              <w:left w:val="nil"/>
              <w:bottom w:val="double" w:sz="6" w:space="0" w:color="auto"/>
              <w:right w:val="single" w:sz="4" w:space="0" w:color="auto"/>
            </w:tcBorders>
            <w:shd w:val="clear" w:color="auto" w:fill="auto"/>
            <w:vAlign w:val="bottom"/>
            <w:hideMark/>
          </w:tcPr>
          <w:p w:rsidR="00C75A88" w:rsidRPr="00256A1A" w:rsidRDefault="00C75A88" w:rsidP="00C75A88">
            <w:pPr>
              <w:jc w:val="right"/>
              <w:rPr>
                <w:rFonts w:cs="Calibri"/>
                <w:b/>
                <w:bCs/>
                <w:sz w:val="18"/>
                <w:szCs w:val="18"/>
                <w:lang w:val="en-US" w:eastAsia="en-US"/>
              </w:rPr>
            </w:pPr>
            <w:r w:rsidRPr="00256A1A">
              <w:rPr>
                <w:rFonts w:cs="Calibri"/>
                <w:b/>
                <w:bCs/>
                <w:sz w:val="18"/>
                <w:szCs w:val="18"/>
                <w:lang w:val="en-US" w:eastAsia="en-US"/>
              </w:rPr>
              <w:t>-144</w:t>
            </w:r>
          </w:p>
        </w:tc>
      </w:tr>
    </w:tbl>
    <w:p w:rsidR="00C75A88" w:rsidRDefault="00C75A88" w:rsidP="00C75A88">
      <w:pPr>
        <w:rPr>
          <w:b/>
          <w:i/>
          <w:lang w:val="en-US"/>
        </w:rPr>
      </w:pPr>
    </w:p>
    <w:p w:rsidR="00C75A88" w:rsidRPr="00D51FDE" w:rsidRDefault="00C75A88" w:rsidP="00C75A88">
      <w:pPr>
        <w:numPr>
          <w:ilvl w:val="0"/>
          <w:numId w:val="10"/>
        </w:numPr>
        <w:ind w:left="426" w:firstLine="0"/>
        <w:jc w:val="both"/>
      </w:pPr>
      <w:r w:rsidRPr="00E40C37">
        <w:t xml:space="preserve">Ремонтите по необходимост (РН), извършени в депа на </w:t>
      </w:r>
      <w:r w:rsidRPr="00E40C37">
        <w:rPr>
          <w:u w:val="single"/>
        </w:rPr>
        <w:t>„БДЖ – Товарни превози”</w:t>
      </w:r>
      <w:r w:rsidRPr="00E40C37">
        <w:t xml:space="preserve"> ЕООД през 2017 г. са 1 709 броя, видно от горната таблица. Те са с 278 броя повече от </w:t>
      </w:r>
      <w:r w:rsidRPr="00E40C37">
        <w:lastRenderedPageBreak/>
        <w:t xml:space="preserve">предвидените в бюджета или изпълнението е 119%  и със 182 броя по-малко от отчетените </w:t>
      </w:r>
      <w:r w:rsidRPr="00D51FDE">
        <w:t>през 2016 г.</w:t>
      </w:r>
    </w:p>
    <w:p w:rsidR="00C75A88" w:rsidRPr="00D51FDE" w:rsidRDefault="00C75A88" w:rsidP="00C75A88">
      <w:pPr>
        <w:numPr>
          <w:ilvl w:val="0"/>
          <w:numId w:val="10"/>
        </w:numPr>
        <w:tabs>
          <w:tab w:val="num" w:pos="567"/>
        </w:tabs>
        <w:ind w:left="426" w:firstLine="0"/>
        <w:jc w:val="both"/>
      </w:pPr>
      <w:r w:rsidRPr="00D51FDE">
        <w:t xml:space="preserve">В депа, собственост на </w:t>
      </w:r>
      <w:r w:rsidRPr="00D51FDE">
        <w:rPr>
          <w:u w:val="single"/>
        </w:rPr>
        <w:t>„БДЖ – Пътнически превози” ЕООД</w:t>
      </w:r>
      <w:r w:rsidRPr="00D51FDE">
        <w:t>, през 2017 г. са извършени 176 броя ремонти по необходимост – с 50 броя повече от предвидените в бюджета и с 38 броя повече от отчетените през 2016 г.</w:t>
      </w:r>
    </w:p>
    <w:p w:rsidR="00C75A88" w:rsidRPr="004F4AC0" w:rsidRDefault="00C75A88" w:rsidP="00C75A88">
      <w:pPr>
        <w:ind w:left="426"/>
        <w:jc w:val="both"/>
      </w:pPr>
    </w:p>
    <w:p w:rsidR="00C75A88" w:rsidRDefault="00C75A88" w:rsidP="00C75A88">
      <w:pPr>
        <w:rPr>
          <w:b/>
          <w:i/>
          <w:lang w:val="en-US"/>
        </w:rPr>
      </w:pPr>
      <w:r w:rsidRPr="00FA52CB">
        <w:rPr>
          <w:b/>
          <w:i/>
          <w:lang w:val="ru-RU"/>
        </w:rPr>
        <w:t>В заводи на жп промишлеността</w:t>
      </w:r>
    </w:p>
    <w:tbl>
      <w:tblPr>
        <w:tblW w:w="10135" w:type="dxa"/>
        <w:tblLook w:val="04A0" w:firstRow="1" w:lastRow="0" w:firstColumn="1" w:lastColumn="0" w:noHBand="0" w:noVBand="1"/>
      </w:tblPr>
      <w:tblGrid>
        <w:gridCol w:w="1210"/>
        <w:gridCol w:w="735"/>
        <w:gridCol w:w="1028"/>
        <w:gridCol w:w="714"/>
        <w:gridCol w:w="1171"/>
        <w:gridCol w:w="817"/>
        <w:gridCol w:w="946"/>
        <w:gridCol w:w="611"/>
        <w:gridCol w:w="1092"/>
        <w:gridCol w:w="785"/>
        <w:gridCol w:w="1026"/>
      </w:tblGrid>
      <w:tr w:rsidR="00C75A88" w:rsidRPr="007F43BC" w:rsidTr="00C75A88">
        <w:trPr>
          <w:trHeight w:val="219"/>
        </w:trPr>
        <w:tc>
          <w:tcPr>
            <w:tcW w:w="1210" w:type="dxa"/>
            <w:tcBorders>
              <w:top w:val="single" w:sz="4" w:space="0" w:color="auto"/>
              <w:left w:val="single" w:sz="4" w:space="0" w:color="auto"/>
              <w:bottom w:val="nil"/>
              <w:right w:val="single" w:sz="4" w:space="0" w:color="auto"/>
            </w:tcBorders>
            <w:shd w:val="clear" w:color="auto" w:fill="auto"/>
            <w:hideMark/>
          </w:tcPr>
          <w:p w:rsidR="00C75A88" w:rsidRPr="007F43BC" w:rsidRDefault="00C75A88" w:rsidP="00C75A88">
            <w:pPr>
              <w:jc w:val="center"/>
              <w:outlineLvl w:val="0"/>
              <w:rPr>
                <w:rFonts w:cs="Calibri"/>
                <w:b/>
                <w:bCs/>
                <w:sz w:val="18"/>
                <w:szCs w:val="18"/>
                <w:lang w:val="en-US" w:eastAsia="en-US"/>
              </w:rPr>
            </w:pPr>
            <w:r w:rsidRPr="007F43BC">
              <w:rPr>
                <w:rFonts w:cs="Calibri"/>
                <w:b/>
                <w:bCs/>
                <w:sz w:val="18"/>
                <w:szCs w:val="18"/>
                <w:lang w:val="en-US" w:eastAsia="en-US"/>
              </w:rPr>
              <w:t>РН в заводи</w:t>
            </w:r>
          </w:p>
        </w:tc>
        <w:tc>
          <w:tcPr>
            <w:tcW w:w="1763"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7F43BC" w:rsidRDefault="00C75A88" w:rsidP="00C75A88">
            <w:pPr>
              <w:jc w:val="center"/>
              <w:outlineLvl w:val="0"/>
              <w:rPr>
                <w:rFonts w:cs="Calibri"/>
                <w:b/>
                <w:bCs/>
                <w:sz w:val="18"/>
                <w:szCs w:val="18"/>
                <w:lang w:val="en-US" w:eastAsia="en-US"/>
              </w:rPr>
            </w:pPr>
            <w:r w:rsidRPr="007F43BC">
              <w:rPr>
                <w:rFonts w:cs="Calibri"/>
                <w:b/>
                <w:bCs/>
                <w:sz w:val="18"/>
                <w:szCs w:val="18"/>
                <w:lang w:val="en-US" w:eastAsia="en-US"/>
              </w:rPr>
              <w:t>Отчет 2017 г.</w:t>
            </w:r>
          </w:p>
        </w:tc>
        <w:tc>
          <w:tcPr>
            <w:tcW w:w="1884"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7F43BC" w:rsidRDefault="00C75A88" w:rsidP="00C75A88">
            <w:pPr>
              <w:jc w:val="center"/>
              <w:outlineLvl w:val="0"/>
              <w:rPr>
                <w:rFonts w:cs="Calibri"/>
                <w:b/>
                <w:bCs/>
                <w:sz w:val="18"/>
                <w:szCs w:val="18"/>
                <w:lang w:val="en-US" w:eastAsia="en-US"/>
              </w:rPr>
            </w:pPr>
            <w:r w:rsidRPr="007F43BC">
              <w:rPr>
                <w:rFonts w:cs="Calibri"/>
                <w:b/>
                <w:bCs/>
                <w:sz w:val="18"/>
                <w:szCs w:val="18"/>
                <w:lang w:val="en-US" w:eastAsia="en-US"/>
              </w:rPr>
              <w:t>Бюджет 2017 г.</w:t>
            </w:r>
          </w:p>
        </w:tc>
        <w:tc>
          <w:tcPr>
            <w:tcW w:w="1762"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7F43BC" w:rsidRDefault="00C75A88" w:rsidP="00C75A88">
            <w:pPr>
              <w:jc w:val="center"/>
              <w:outlineLvl w:val="0"/>
              <w:rPr>
                <w:rFonts w:cs="Calibri"/>
                <w:b/>
                <w:bCs/>
                <w:sz w:val="18"/>
                <w:szCs w:val="18"/>
                <w:lang w:val="en-US" w:eastAsia="en-US"/>
              </w:rPr>
            </w:pPr>
            <w:r w:rsidRPr="007F43BC">
              <w:rPr>
                <w:rFonts w:cs="Calibri"/>
                <w:b/>
                <w:bCs/>
                <w:sz w:val="18"/>
                <w:szCs w:val="18"/>
                <w:lang w:val="en-US" w:eastAsia="en-US"/>
              </w:rPr>
              <w:t>Отчет 2016 г.</w:t>
            </w:r>
          </w:p>
        </w:tc>
        <w:tc>
          <w:tcPr>
            <w:tcW w:w="1703"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7F43BC" w:rsidRDefault="00C75A88" w:rsidP="00C75A88">
            <w:pPr>
              <w:jc w:val="center"/>
              <w:outlineLvl w:val="0"/>
              <w:rPr>
                <w:rFonts w:cs="Calibri"/>
                <w:b/>
                <w:bCs/>
                <w:sz w:val="18"/>
                <w:szCs w:val="18"/>
                <w:lang w:val="en-US" w:eastAsia="en-US"/>
              </w:rPr>
            </w:pPr>
            <w:r w:rsidRPr="007F43BC">
              <w:rPr>
                <w:rFonts w:cs="Calibri"/>
                <w:b/>
                <w:bCs/>
                <w:sz w:val="18"/>
                <w:szCs w:val="18"/>
                <w:lang w:val="en-US" w:eastAsia="en-US"/>
              </w:rPr>
              <w:t>+/- отчет/бюджет</w:t>
            </w:r>
          </w:p>
        </w:tc>
        <w:tc>
          <w:tcPr>
            <w:tcW w:w="1811"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7F43BC" w:rsidRDefault="00C75A88" w:rsidP="00C75A88">
            <w:pPr>
              <w:jc w:val="center"/>
              <w:outlineLvl w:val="0"/>
              <w:rPr>
                <w:rFonts w:cs="Calibri"/>
                <w:b/>
                <w:bCs/>
                <w:sz w:val="18"/>
                <w:szCs w:val="18"/>
                <w:lang w:val="en-US" w:eastAsia="en-US"/>
              </w:rPr>
            </w:pPr>
            <w:r w:rsidRPr="007F43BC">
              <w:rPr>
                <w:rFonts w:cs="Calibri"/>
                <w:b/>
                <w:bCs/>
                <w:sz w:val="18"/>
                <w:szCs w:val="18"/>
                <w:lang w:val="en-US" w:eastAsia="en-US"/>
              </w:rPr>
              <w:t>+/- отчет 2017/2016</w:t>
            </w:r>
          </w:p>
        </w:tc>
      </w:tr>
      <w:tr w:rsidR="00C75A88" w:rsidRPr="007F43BC" w:rsidTr="00C75A88">
        <w:trPr>
          <w:trHeight w:val="134"/>
        </w:trPr>
        <w:tc>
          <w:tcPr>
            <w:tcW w:w="1210" w:type="dxa"/>
            <w:tcBorders>
              <w:top w:val="nil"/>
              <w:left w:val="single" w:sz="4" w:space="0" w:color="auto"/>
              <w:bottom w:val="single" w:sz="4" w:space="0" w:color="auto"/>
              <w:right w:val="single" w:sz="4" w:space="0" w:color="auto"/>
            </w:tcBorders>
            <w:shd w:val="clear" w:color="auto" w:fill="auto"/>
            <w:hideMark/>
          </w:tcPr>
          <w:p w:rsidR="00C75A88" w:rsidRPr="007F43BC" w:rsidRDefault="00C75A88" w:rsidP="00C75A88">
            <w:pPr>
              <w:jc w:val="center"/>
              <w:outlineLvl w:val="0"/>
              <w:rPr>
                <w:rFonts w:cs="Calibri"/>
                <w:b/>
                <w:bCs/>
                <w:sz w:val="18"/>
                <w:szCs w:val="18"/>
                <w:lang w:val="en-US" w:eastAsia="en-US"/>
              </w:rPr>
            </w:pPr>
            <w:r w:rsidRPr="007F43BC">
              <w:rPr>
                <w:rFonts w:cs="Calibri"/>
                <w:b/>
                <w:bCs/>
                <w:sz w:val="18"/>
                <w:szCs w:val="18"/>
                <w:lang w:val="en-US" w:eastAsia="en-US"/>
              </w:rPr>
              <w:t> </w:t>
            </w:r>
          </w:p>
        </w:tc>
        <w:tc>
          <w:tcPr>
            <w:tcW w:w="735" w:type="dxa"/>
            <w:tcBorders>
              <w:top w:val="nil"/>
              <w:left w:val="nil"/>
              <w:bottom w:val="single" w:sz="4" w:space="0" w:color="auto"/>
              <w:right w:val="single" w:sz="4" w:space="0" w:color="auto"/>
            </w:tcBorders>
            <w:shd w:val="clear" w:color="auto" w:fill="auto"/>
            <w:noWrap/>
            <w:vAlign w:val="bottom"/>
            <w:hideMark/>
          </w:tcPr>
          <w:p w:rsidR="00C75A88" w:rsidRPr="007F43BC" w:rsidRDefault="00C75A88" w:rsidP="00C75A88">
            <w:pPr>
              <w:jc w:val="center"/>
              <w:outlineLvl w:val="0"/>
              <w:rPr>
                <w:rFonts w:cs="Calibri"/>
                <w:b/>
                <w:bCs/>
                <w:sz w:val="16"/>
                <w:szCs w:val="16"/>
                <w:lang w:val="en-US" w:eastAsia="en-US"/>
              </w:rPr>
            </w:pPr>
            <w:r w:rsidRPr="007F43BC">
              <w:rPr>
                <w:rFonts w:cs="Calibri"/>
                <w:b/>
                <w:bCs/>
                <w:sz w:val="16"/>
                <w:szCs w:val="16"/>
                <w:lang w:val="en-US" w:eastAsia="en-US"/>
              </w:rPr>
              <w:t>брой</w:t>
            </w:r>
          </w:p>
        </w:tc>
        <w:tc>
          <w:tcPr>
            <w:tcW w:w="1028" w:type="dxa"/>
            <w:tcBorders>
              <w:top w:val="nil"/>
              <w:left w:val="nil"/>
              <w:bottom w:val="single" w:sz="4" w:space="0" w:color="auto"/>
              <w:right w:val="single" w:sz="4" w:space="0" w:color="auto"/>
            </w:tcBorders>
            <w:shd w:val="clear" w:color="auto" w:fill="auto"/>
            <w:noWrap/>
            <w:vAlign w:val="bottom"/>
            <w:hideMark/>
          </w:tcPr>
          <w:p w:rsidR="00C75A88" w:rsidRPr="007F43BC" w:rsidRDefault="00C75A88" w:rsidP="00C75A88">
            <w:pPr>
              <w:jc w:val="center"/>
              <w:outlineLvl w:val="0"/>
              <w:rPr>
                <w:rFonts w:cs="Calibri"/>
                <w:b/>
                <w:bCs/>
                <w:sz w:val="16"/>
                <w:szCs w:val="16"/>
                <w:lang w:val="en-US" w:eastAsia="en-US"/>
              </w:rPr>
            </w:pPr>
            <w:r w:rsidRPr="007F43BC">
              <w:rPr>
                <w:rFonts w:cs="Calibri"/>
                <w:b/>
                <w:bCs/>
                <w:sz w:val="16"/>
                <w:szCs w:val="16"/>
                <w:lang w:val="en-US" w:eastAsia="en-US"/>
              </w:rPr>
              <w:t xml:space="preserve">ст-ст </w:t>
            </w:r>
          </w:p>
        </w:tc>
        <w:tc>
          <w:tcPr>
            <w:tcW w:w="714" w:type="dxa"/>
            <w:tcBorders>
              <w:top w:val="nil"/>
              <w:left w:val="nil"/>
              <w:bottom w:val="single" w:sz="4" w:space="0" w:color="auto"/>
              <w:right w:val="single" w:sz="4" w:space="0" w:color="auto"/>
            </w:tcBorders>
            <w:shd w:val="clear" w:color="auto" w:fill="auto"/>
            <w:noWrap/>
            <w:vAlign w:val="bottom"/>
            <w:hideMark/>
          </w:tcPr>
          <w:p w:rsidR="00C75A88" w:rsidRPr="007F43BC" w:rsidRDefault="00C75A88" w:rsidP="00C75A88">
            <w:pPr>
              <w:jc w:val="center"/>
              <w:outlineLvl w:val="0"/>
              <w:rPr>
                <w:rFonts w:cs="Calibri"/>
                <w:b/>
                <w:bCs/>
                <w:sz w:val="16"/>
                <w:szCs w:val="16"/>
                <w:lang w:val="en-US" w:eastAsia="en-US"/>
              </w:rPr>
            </w:pPr>
            <w:r w:rsidRPr="007F43BC">
              <w:rPr>
                <w:rFonts w:cs="Calibri"/>
                <w:b/>
                <w:bCs/>
                <w:sz w:val="16"/>
                <w:szCs w:val="16"/>
                <w:lang w:val="en-US" w:eastAsia="en-US"/>
              </w:rPr>
              <w:t>брой</w:t>
            </w:r>
          </w:p>
        </w:tc>
        <w:tc>
          <w:tcPr>
            <w:tcW w:w="1171" w:type="dxa"/>
            <w:tcBorders>
              <w:top w:val="nil"/>
              <w:left w:val="nil"/>
              <w:bottom w:val="single" w:sz="4" w:space="0" w:color="auto"/>
              <w:right w:val="single" w:sz="4" w:space="0" w:color="auto"/>
            </w:tcBorders>
            <w:shd w:val="clear" w:color="auto" w:fill="auto"/>
            <w:noWrap/>
            <w:vAlign w:val="bottom"/>
            <w:hideMark/>
          </w:tcPr>
          <w:p w:rsidR="00C75A88" w:rsidRPr="007F43BC" w:rsidRDefault="00C75A88" w:rsidP="00C75A88">
            <w:pPr>
              <w:jc w:val="center"/>
              <w:outlineLvl w:val="0"/>
              <w:rPr>
                <w:rFonts w:cs="Calibri"/>
                <w:b/>
                <w:bCs/>
                <w:sz w:val="16"/>
                <w:szCs w:val="16"/>
                <w:lang w:val="en-US" w:eastAsia="en-US"/>
              </w:rPr>
            </w:pPr>
            <w:r w:rsidRPr="007F43BC">
              <w:rPr>
                <w:rFonts w:cs="Calibri"/>
                <w:b/>
                <w:bCs/>
                <w:sz w:val="16"/>
                <w:szCs w:val="16"/>
                <w:lang w:val="en-US" w:eastAsia="en-US"/>
              </w:rPr>
              <w:t xml:space="preserve">ст-ст </w:t>
            </w:r>
          </w:p>
        </w:tc>
        <w:tc>
          <w:tcPr>
            <w:tcW w:w="817" w:type="dxa"/>
            <w:tcBorders>
              <w:top w:val="nil"/>
              <w:left w:val="nil"/>
              <w:bottom w:val="single" w:sz="4" w:space="0" w:color="auto"/>
              <w:right w:val="single" w:sz="4" w:space="0" w:color="auto"/>
            </w:tcBorders>
            <w:shd w:val="clear" w:color="auto" w:fill="auto"/>
            <w:noWrap/>
            <w:vAlign w:val="bottom"/>
            <w:hideMark/>
          </w:tcPr>
          <w:p w:rsidR="00C75A88" w:rsidRPr="007F43BC" w:rsidRDefault="00C75A88" w:rsidP="00C75A88">
            <w:pPr>
              <w:jc w:val="center"/>
              <w:outlineLvl w:val="0"/>
              <w:rPr>
                <w:rFonts w:cs="Calibri"/>
                <w:b/>
                <w:bCs/>
                <w:sz w:val="16"/>
                <w:szCs w:val="16"/>
                <w:lang w:val="en-US" w:eastAsia="en-US"/>
              </w:rPr>
            </w:pPr>
            <w:r w:rsidRPr="007F43BC">
              <w:rPr>
                <w:rFonts w:cs="Calibri"/>
                <w:b/>
                <w:bCs/>
                <w:sz w:val="16"/>
                <w:szCs w:val="16"/>
                <w:lang w:val="en-US" w:eastAsia="en-US"/>
              </w:rPr>
              <w:t>брой</w:t>
            </w:r>
          </w:p>
        </w:tc>
        <w:tc>
          <w:tcPr>
            <w:tcW w:w="946" w:type="dxa"/>
            <w:tcBorders>
              <w:top w:val="nil"/>
              <w:left w:val="nil"/>
              <w:bottom w:val="single" w:sz="4" w:space="0" w:color="auto"/>
              <w:right w:val="single" w:sz="4" w:space="0" w:color="auto"/>
            </w:tcBorders>
            <w:shd w:val="clear" w:color="auto" w:fill="auto"/>
            <w:noWrap/>
            <w:vAlign w:val="bottom"/>
            <w:hideMark/>
          </w:tcPr>
          <w:p w:rsidR="00C75A88" w:rsidRPr="007F43BC" w:rsidRDefault="00C75A88" w:rsidP="00C75A88">
            <w:pPr>
              <w:jc w:val="center"/>
              <w:outlineLvl w:val="0"/>
              <w:rPr>
                <w:rFonts w:cs="Calibri"/>
                <w:b/>
                <w:bCs/>
                <w:sz w:val="16"/>
                <w:szCs w:val="16"/>
                <w:lang w:val="en-US" w:eastAsia="en-US"/>
              </w:rPr>
            </w:pPr>
            <w:r w:rsidRPr="007F43BC">
              <w:rPr>
                <w:rFonts w:cs="Calibri"/>
                <w:b/>
                <w:bCs/>
                <w:sz w:val="16"/>
                <w:szCs w:val="16"/>
                <w:lang w:val="en-US" w:eastAsia="en-US"/>
              </w:rPr>
              <w:t xml:space="preserve">ст-ст </w:t>
            </w:r>
          </w:p>
        </w:tc>
        <w:tc>
          <w:tcPr>
            <w:tcW w:w="611" w:type="dxa"/>
            <w:tcBorders>
              <w:top w:val="nil"/>
              <w:left w:val="nil"/>
              <w:bottom w:val="single" w:sz="4" w:space="0" w:color="auto"/>
              <w:right w:val="single" w:sz="4" w:space="0" w:color="auto"/>
            </w:tcBorders>
            <w:shd w:val="clear" w:color="auto" w:fill="auto"/>
            <w:noWrap/>
            <w:vAlign w:val="bottom"/>
            <w:hideMark/>
          </w:tcPr>
          <w:p w:rsidR="00C75A88" w:rsidRPr="007F43BC" w:rsidRDefault="00C75A88" w:rsidP="00C75A88">
            <w:pPr>
              <w:jc w:val="center"/>
              <w:outlineLvl w:val="0"/>
              <w:rPr>
                <w:rFonts w:cs="Calibri"/>
                <w:b/>
                <w:bCs/>
                <w:sz w:val="16"/>
                <w:szCs w:val="16"/>
                <w:lang w:val="en-US" w:eastAsia="en-US"/>
              </w:rPr>
            </w:pPr>
            <w:r w:rsidRPr="007F43BC">
              <w:rPr>
                <w:rFonts w:cs="Calibri"/>
                <w:b/>
                <w:bCs/>
                <w:sz w:val="16"/>
                <w:szCs w:val="16"/>
                <w:lang w:val="en-US" w:eastAsia="en-US"/>
              </w:rPr>
              <w:t>брой</w:t>
            </w:r>
          </w:p>
        </w:tc>
        <w:tc>
          <w:tcPr>
            <w:tcW w:w="1092" w:type="dxa"/>
            <w:tcBorders>
              <w:top w:val="nil"/>
              <w:left w:val="nil"/>
              <w:bottom w:val="single" w:sz="4" w:space="0" w:color="auto"/>
              <w:right w:val="single" w:sz="4" w:space="0" w:color="auto"/>
            </w:tcBorders>
            <w:shd w:val="clear" w:color="auto" w:fill="auto"/>
            <w:noWrap/>
            <w:vAlign w:val="bottom"/>
            <w:hideMark/>
          </w:tcPr>
          <w:p w:rsidR="00C75A88" w:rsidRPr="007F43BC" w:rsidRDefault="00C75A88" w:rsidP="00C75A88">
            <w:pPr>
              <w:jc w:val="center"/>
              <w:outlineLvl w:val="0"/>
              <w:rPr>
                <w:rFonts w:cs="Calibri"/>
                <w:b/>
                <w:bCs/>
                <w:sz w:val="16"/>
                <w:szCs w:val="16"/>
                <w:lang w:val="en-US" w:eastAsia="en-US"/>
              </w:rPr>
            </w:pPr>
            <w:r w:rsidRPr="007F43BC">
              <w:rPr>
                <w:rFonts w:cs="Calibri"/>
                <w:b/>
                <w:bCs/>
                <w:sz w:val="16"/>
                <w:szCs w:val="16"/>
                <w:lang w:val="en-US" w:eastAsia="en-US"/>
              </w:rPr>
              <w:t xml:space="preserve">ст-ст </w:t>
            </w:r>
          </w:p>
        </w:tc>
        <w:tc>
          <w:tcPr>
            <w:tcW w:w="785" w:type="dxa"/>
            <w:tcBorders>
              <w:top w:val="nil"/>
              <w:left w:val="nil"/>
              <w:bottom w:val="single" w:sz="4" w:space="0" w:color="auto"/>
              <w:right w:val="single" w:sz="4" w:space="0" w:color="auto"/>
            </w:tcBorders>
            <w:shd w:val="clear" w:color="auto" w:fill="auto"/>
            <w:noWrap/>
            <w:vAlign w:val="bottom"/>
            <w:hideMark/>
          </w:tcPr>
          <w:p w:rsidR="00C75A88" w:rsidRPr="007F43BC" w:rsidRDefault="00C75A88" w:rsidP="00C75A88">
            <w:pPr>
              <w:jc w:val="center"/>
              <w:outlineLvl w:val="0"/>
              <w:rPr>
                <w:rFonts w:cs="Calibri"/>
                <w:b/>
                <w:bCs/>
                <w:sz w:val="16"/>
                <w:szCs w:val="16"/>
                <w:lang w:val="en-US" w:eastAsia="en-US"/>
              </w:rPr>
            </w:pPr>
            <w:r w:rsidRPr="007F43BC">
              <w:rPr>
                <w:rFonts w:cs="Calibri"/>
                <w:b/>
                <w:bCs/>
                <w:sz w:val="16"/>
                <w:szCs w:val="16"/>
                <w:lang w:val="en-US" w:eastAsia="en-US"/>
              </w:rPr>
              <w:t>брой</w:t>
            </w:r>
          </w:p>
        </w:tc>
        <w:tc>
          <w:tcPr>
            <w:tcW w:w="1026" w:type="dxa"/>
            <w:tcBorders>
              <w:top w:val="nil"/>
              <w:left w:val="nil"/>
              <w:bottom w:val="single" w:sz="4" w:space="0" w:color="auto"/>
              <w:right w:val="single" w:sz="4" w:space="0" w:color="auto"/>
            </w:tcBorders>
            <w:shd w:val="clear" w:color="auto" w:fill="auto"/>
            <w:noWrap/>
            <w:vAlign w:val="bottom"/>
            <w:hideMark/>
          </w:tcPr>
          <w:p w:rsidR="00C75A88" w:rsidRPr="007F43BC" w:rsidRDefault="00C75A88" w:rsidP="00C75A88">
            <w:pPr>
              <w:jc w:val="center"/>
              <w:outlineLvl w:val="0"/>
              <w:rPr>
                <w:rFonts w:cs="Calibri"/>
                <w:b/>
                <w:bCs/>
                <w:sz w:val="16"/>
                <w:szCs w:val="16"/>
                <w:lang w:val="en-US" w:eastAsia="en-US"/>
              </w:rPr>
            </w:pPr>
            <w:r w:rsidRPr="007F43BC">
              <w:rPr>
                <w:rFonts w:cs="Calibri"/>
                <w:b/>
                <w:bCs/>
                <w:sz w:val="16"/>
                <w:szCs w:val="16"/>
                <w:lang w:val="en-US" w:eastAsia="en-US"/>
              </w:rPr>
              <w:t xml:space="preserve">ст-ст </w:t>
            </w:r>
          </w:p>
        </w:tc>
      </w:tr>
      <w:tr w:rsidR="00C75A88" w:rsidRPr="007F43BC" w:rsidTr="00C75A88">
        <w:trPr>
          <w:trHeight w:val="296"/>
        </w:trPr>
        <w:tc>
          <w:tcPr>
            <w:tcW w:w="1210" w:type="dxa"/>
            <w:tcBorders>
              <w:top w:val="nil"/>
              <w:left w:val="single" w:sz="4" w:space="0" w:color="auto"/>
              <w:bottom w:val="double" w:sz="6" w:space="0" w:color="auto"/>
              <w:right w:val="single" w:sz="4" w:space="0" w:color="auto"/>
            </w:tcBorders>
            <w:shd w:val="clear" w:color="auto" w:fill="auto"/>
            <w:noWrap/>
            <w:vAlign w:val="bottom"/>
            <w:hideMark/>
          </w:tcPr>
          <w:p w:rsidR="00C75A88" w:rsidRPr="007F43BC" w:rsidRDefault="00C75A88" w:rsidP="00C75A88">
            <w:pPr>
              <w:rPr>
                <w:rFonts w:cs="Calibri"/>
                <w:b/>
                <w:bCs/>
                <w:sz w:val="18"/>
                <w:szCs w:val="18"/>
                <w:lang w:val="en-US" w:eastAsia="en-US"/>
              </w:rPr>
            </w:pPr>
            <w:r w:rsidRPr="007F43BC">
              <w:rPr>
                <w:rFonts w:cs="Calibri"/>
                <w:b/>
                <w:bCs/>
                <w:sz w:val="18"/>
                <w:szCs w:val="18"/>
                <w:lang w:val="en-US" w:eastAsia="en-US"/>
              </w:rPr>
              <w:t>Общо</w:t>
            </w:r>
          </w:p>
        </w:tc>
        <w:tc>
          <w:tcPr>
            <w:tcW w:w="735" w:type="dxa"/>
            <w:tcBorders>
              <w:top w:val="nil"/>
              <w:left w:val="nil"/>
              <w:bottom w:val="double" w:sz="6" w:space="0" w:color="auto"/>
              <w:right w:val="single" w:sz="4" w:space="0" w:color="auto"/>
            </w:tcBorders>
            <w:shd w:val="clear" w:color="auto" w:fill="auto"/>
            <w:noWrap/>
            <w:vAlign w:val="bottom"/>
            <w:hideMark/>
          </w:tcPr>
          <w:p w:rsidR="00C75A88" w:rsidRPr="007F43BC" w:rsidRDefault="00C75A88" w:rsidP="00C75A88">
            <w:pPr>
              <w:jc w:val="right"/>
              <w:rPr>
                <w:rFonts w:cs="Calibri"/>
                <w:b/>
                <w:bCs/>
                <w:sz w:val="18"/>
                <w:szCs w:val="18"/>
                <w:lang w:val="en-US" w:eastAsia="en-US"/>
              </w:rPr>
            </w:pPr>
            <w:r w:rsidRPr="007F43BC">
              <w:rPr>
                <w:rFonts w:cs="Calibri"/>
                <w:b/>
                <w:bCs/>
                <w:sz w:val="18"/>
                <w:szCs w:val="18"/>
                <w:lang w:val="en-US" w:eastAsia="en-US"/>
              </w:rPr>
              <w:t>43</w:t>
            </w:r>
          </w:p>
        </w:tc>
        <w:tc>
          <w:tcPr>
            <w:tcW w:w="1028" w:type="dxa"/>
            <w:tcBorders>
              <w:top w:val="nil"/>
              <w:left w:val="nil"/>
              <w:bottom w:val="double" w:sz="6" w:space="0" w:color="auto"/>
              <w:right w:val="single" w:sz="4" w:space="0" w:color="auto"/>
            </w:tcBorders>
            <w:shd w:val="clear" w:color="auto" w:fill="auto"/>
            <w:noWrap/>
            <w:vAlign w:val="bottom"/>
            <w:hideMark/>
          </w:tcPr>
          <w:p w:rsidR="00C75A88" w:rsidRPr="007F43BC" w:rsidRDefault="00C75A88" w:rsidP="00C75A88">
            <w:pPr>
              <w:jc w:val="right"/>
              <w:rPr>
                <w:rFonts w:cs="Calibri"/>
                <w:b/>
                <w:bCs/>
                <w:sz w:val="18"/>
                <w:szCs w:val="18"/>
                <w:lang w:val="en-US" w:eastAsia="en-US"/>
              </w:rPr>
            </w:pPr>
            <w:r w:rsidRPr="007F43BC">
              <w:rPr>
                <w:rFonts w:cs="Calibri"/>
                <w:b/>
                <w:bCs/>
                <w:sz w:val="18"/>
                <w:szCs w:val="18"/>
                <w:lang w:val="en-US" w:eastAsia="en-US"/>
              </w:rPr>
              <w:t>65 093</w:t>
            </w:r>
          </w:p>
        </w:tc>
        <w:tc>
          <w:tcPr>
            <w:tcW w:w="714" w:type="dxa"/>
            <w:tcBorders>
              <w:top w:val="nil"/>
              <w:left w:val="nil"/>
              <w:bottom w:val="double" w:sz="6" w:space="0" w:color="auto"/>
              <w:right w:val="single" w:sz="4" w:space="0" w:color="auto"/>
            </w:tcBorders>
            <w:shd w:val="clear" w:color="auto" w:fill="auto"/>
            <w:noWrap/>
            <w:vAlign w:val="bottom"/>
            <w:hideMark/>
          </w:tcPr>
          <w:p w:rsidR="00C75A88" w:rsidRPr="007F43BC" w:rsidRDefault="00C75A88" w:rsidP="00C75A88">
            <w:pPr>
              <w:jc w:val="right"/>
              <w:rPr>
                <w:rFonts w:cs="Calibri"/>
                <w:b/>
                <w:bCs/>
                <w:sz w:val="18"/>
                <w:szCs w:val="18"/>
                <w:lang w:val="en-US" w:eastAsia="en-US"/>
              </w:rPr>
            </w:pPr>
            <w:r w:rsidRPr="007F43BC">
              <w:rPr>
                <w:rFonts w:cs="Calibri"/>
                <w:b/>
                <w:bCs/>
                <w:sz w:val="18"/>
                <w:szCs w:val="18"/>
                <w:lang w:val="en-US" w:eastAsia="en-US"/>
              </w:rPr>
              <w:t>285</w:t>
            </w:r>
          </w:p>
        </w:tc>
        <w:tc>
          <w:tcPr>
            <w:tcW w:w="1171" w:type="dxa"/>
            <w:tcBorders>
              <w:top w:val="nil"/>
              <w:left w:val="nil"/>
              <w:bottom w:val="double" w:sz="6" w:space="0" w:color="auto"/>
              <w:right w:val="single" w:sz="4" w:space="0" w:color="auto"/>
            </w:tcBorders>
            <w:shd w:val="clear" w:color="auto" w:fill="auto"/>
            <w:noWrap/>
            <w:vAlign w:val="bottom"/>
            <w:hideMark/>
          </w:tcPr>
          <w:p w:rsidR="00C75A88" w:rsidRPr="007F43BC" w:rsidRDefault="00C75A88" w:rsidP="00C75A88">
            <w:pPr>
              <w:jc w:val="right"/>
              <w:rPr>
                <w:rFonts w:cs="Calibri"/>
                <w:b/>
                <w:bCs/>
                <w:sz w:val="18"/>
                <w:szCs w:val="18"/>
                <w:lang w:val="en-US" w:eastAsia="en-US"/>
              </w:rPr>
            </w:pPr>
            <w:r w:rsidRPr="007F43BC">
              <w:rPr>
                <w:rFonts w:cs="Calibri"/>
                <w:b/>
                <w:bCs/>
                <w:sz w:val="18"/>
                <w:szCs w:val="18"/>
                <w:lang w:val="en-US" w:eastAsia="en-US"/>
              </w:rPr>
              <w:t>337 104</w:t>
            </w:r>
          </w:p>
        </w:tc>
        <w:tc>
          <w:tcPr>
            <w:tcW w:w="817" w:type="dxa"/>
            <w:tcBorders>
              <w:top w:val="nil"/>
              <w:left w:val="nil"/>
              <w:bottom w:val="double" w:sz="6" w:space="0" w:color="auto"/>
              <w:right w:val="single" w:sz="4" w:space="0" w:color="auto"/>
            </w:tcBorders>
            <w:shd w:val="clear" w:color="auto" w:fill="auto"/>
            <w:noWrap/>
            <w:vAlign w:val="bottom"/>
            <w:hideMark/>
          </w:tcPr>
          <w:p w:rsidR="00C75A88" w:rsidRPr="007F43BC" w:rsidRDefault="00C75A88" w:rsidP="00C75A88">
            <w:pPr>
              <w:jc w:val="right"/>
              <w:rPr>
                <w:rFonts w:cs="Calibri"/>
                <w:b/>
                <w:bCs/>
                <w:sz w:val="18"/>
                <w:szCs w:val="18"/>
                <w:lang w:val="en-US" w:eastAsia="en-US"/>
              </w:rPr>
            </w:pPr>
            <w:r w:rsidRPr="007F43BC">
              <w:rPr>
                <w:rFonts w:cs="Calibri"/>
                <w:b/>
                <w:bCs/>
                <w:sz w:val="18"/>
                <w:szCs w:val="18"/>
                <w:lang w:val="en-US" w:eastAsia="en-US"/>
              </w:rPr>
              <w:t>4</w:t>
            </w:r>
          </w:p>
        </w:tc>
        <w:tc>
          <w:tcPr>
            <w:tcW w:w="946" w:type="dxa"/>
            <w:tcBorders>
              <w:top w:val="nil"/>
              <w:left w:val="nil"/>
              <w:bottom w:val="double" w:sz="6" w:space="0" w:color="auto"/>
              <w:right w:val="single" w:sz="4" w:space="0" w:color="auto"/>
            </w:tcBorders>
            <w:shd w:val="clear" w:color="auto" w:fill="auto"/>
            <w:noWrap/>
            <w:vAlign w:val="bottom"/>
            <w:hideMark/>
          </w:tcPr>
          <w:p w:rsidR="00C75A88" w:rsidRPr="007F43BC" w:rsidRDefault="00C75A88" w:rsidP="00C75A88">
            <w:pPr>
              <w:jc w:val="right"/>
              <w:rPr>
                <w:rFonts w:cs="Calibri"/>
                <w:b/>
                <w:bCs/>
                <w:sz w:val="18"/>
                <w:szCs w:val="18"/>
                <w:lang w:val="en-US" w:eastAsia="en-US"/>
              </w:rPr>
            </w:pPr>
            <w:r w:rsidRPr="007F43BC">
              <w:rPr>
                <w:rFonts w:cs="Calibri"/>
                <w:b/>
                <w:bCs/>
                <w:sz w:val="18"/>
                <w:szCs w:val="18"/>
                <w:lang w:val="en-US" w:eastAsia="en-US"/>
              </w:rPr>
              <w:t>4 005</w:t>
            </w:r>
          </w:p>
        </w:tc>
        <w:tc>
          <w:tcPr>
            <w:tcW w:w="611" w:type="dxa"/>
            <w:tcBorders>
              <w:top w:val="nil"/>
              <w:left w:val="nil"/>
              <w:bottom w:val="double" w:sz="6" w:space="0" w:color="auto"/>
              <w:right w:val="single" w:sz="4" w:space="0" w:color="auto"/>
            </w:tcBorders>
            <w:shd w:val="clear" w:color="auto" w:fill="auto"/>
            <w:noWrap/>
            <w:vAlign w:val="bottom"/>
            <w:hideMark/>
          </w:tcPr>
          <w:p w:rsidR="00C75A88" w:rsidRPr="007F43BC" w:rsidRDefault="00C75A88" w:rsidP="00C75A88">
            <w:pPr>
              <w:jc w:val="right"/>
              <w:rPr>
                <w:rFonts w:cs="Calibri"/>
                <w:b/>
                <w:bCs/>
                <w:sz w:val="18"/>
                <w:szCs w:val="18"/>
                <w:lang w:val="en-US" w:eastAsia="en-US"/>
              </w:rPr>
            </w:pPr>
            <w:r w:rsidRPr="007F43BC">
              <w:rPr>
                <w:rFonts w:cs="Calibri"/>
                <w:b/>
                <w:bCs/>
                <w:sz w:val="18"/>
                <w:szCs w:val="18"/>
                <w:lang w:val="en-US" w:eastAsia="en-US"/>
              </w:rPr>
              <w:t>-242</w:t>
            </w:r>
          </w:p>
        </w:tc>
        <w:tc>
          <w:tcPr>
            <w:tcW w:w="1092" w:type="dxa"/>
            <w:tcBorders>
              <w:top w:val="nil"/>
              <w:left w:val="nil"/>
              <w:bottom w:val="double" w:sz="6" w:space="0" w:color="auto"/>
              <w:right w:val="single" w:sz="4" w:space="0" w:color="auto"/>
            </w:tcBorders>
            <w:shd w:val="clear" w:color="auto" w:fill="auto"/>
            <w:noWrap/>
            <w:vAlign w:val="bottom"/>
            <w:hideMark/>
          </w:tcPr>
          <w:p w:rsidR="00C75A88" w:rsidRPr="007F43BC" w:rsidRDefault="00C75A88" w:rsidP="00C75A88">
            <w:pPr>
              <w:jc w:val="right"/>
              <w:rPr>
                <w:rFonts w:cs="Calibri"/>
                <w:b/>
                <w:bCs/>
                <w:sz w:val="18"/>
                <w:szCs w:val="18"/>
                <w:lang w:val="en-US" w:eastAsia="en-US"/>
              </w:rPr>
            </w:pPr>
            <w:r w:rsidRPr="007F43BC">
              <w:rPr>
                <w:rFonts w:cs="Calibri"/>
                <w:b/>
                <w:bCs/>
                <w:sz w:val="18"/>
                <w:szCs w:val="18"/>
                <w:lang w:val="en-US" w:eastAsia="en-US"/>
              </w:rPr>
              <w:t>-272 011</w:t>
            </w:r>
          </w:p>
        </w:tc>
        <w:tc>
          <w:tcPr>
            <w:tcW w:w="785" w:type="dxa"/>
            <w:tcBorders>
              <w:top w:val="nil"/>
              <w:left w:val="nil"/>
              <w:bottom w:val="double" w:sz="6" w:space="0" w:color="auto"/>
              <w:right w:val="single" w:sz="4" w:space="0" w:color="auto"/>
            </w:tcBorders>
            <w:shd w:val="clear" w:color="auto" w:fill="auto"/>
            <w:noWrap/>
            <w:vAlign w:val="bottom"/>
            <w:hideMark/>
          </w:tcPr>
          <w:p w:rsidR="00C75A88" w:rsidRPr="007F43BC" w:rsidRDefault="00C75A88" w:rsidP="00C75A88">
            <w:pPr>
              <w:jc w:val="right"/>
              <w:rPr>
                <w:rFonts w:cs="Calibri"/>
                <w:b/>
                <w:bCs/>
                <w:sz w:val="18"/>
                <w:szCs w:val="18"/>
                <w:lang w:val="en-US" w:eastAsia="en-US"/>
              </w:rPr>
            </w:pPr>
            <w:r w:rsidRPr="007F43BC">
              <w:rPr>
                <w:rFonts w:cs="Calibri"/>
                <w:b/>
                <w:bCs/>
                <w:sz w:val="18"/>
                <w:szCs w:val="18"/>
                <w:lang w:val="en-US" w:eastAsia="en-US"/>
              </w:rPr>
              <w:t>39</w:t>
            </w:r>
          </w:p>
        </w:tc>
        <w:tc>
          <w:tcPr>
            <w:tcW w:w="1026" w:type="dxa"/>
            <w:tcBorders>
              <w:top w:val="nil"/>
              <w:left w:val="nil"/>
              <w:bottom w:val="double" w:sz="6" w:space="0" w:color="auto"/>
              <w:right w:val="single" w:sz="4" w:space="0" w:color="auto"/>
            </w:tcBorders>
            <w:shd w:val="clear" w:color="auto" w:fill="auto"/>
            <w:noWrap/>
            <w:vAlign w:val="bottom"/>
            <w:hideMark/>
          </w:tcPr>
          <w:p w:rsidR="00C75A88" w:rsidRPr="007F43BC" w:rsidRDefault="00C75A88" w:rsidP="00C75A88">
            <w:pPr>
              <w:jc w:val="right"/>
              <w:rPr>
                <w:rFonts w:cs="Calibri"/>
                <w:b/>
                <w:bCs/>
                <w:sz w:val="18"/>
                <w:szCs w:val="18"/>
                <w:lang w:val="en-US" w:eastAsia="en-US"/>
              </w:rPr>
            </w:pPr>
            <w:r w:rsidRPr="007F43BC">
              <w:rPr>
                <w:rFonts w:cs="Calibri"/>
                <w:b/>
                <w:bCs/>
                <w:sz w:val="18"/>
                <w:szCs w:val="18"/>
                <w:lang w:val="en-US" w:eastAsia="en-US"/>
              </w:rPr>
              <w:t>61 088</w:t>
            </w:r>
          </w:p>
        </w:tc>
      </w:tr>
    </w:tbl>
    <w:p w:rsidR="00C75A88" w:rsidRPr="00CB3C33" w:rsidRDefault="00C75A88" w:rsidP="00C75A88">
      <w:pPr>
        <w:numPr>
          <w:ilvl w:val="0"/>
          <w:numId w:val="10"/>
        </w:numPr>
        <w:tabs>
          <w:tab w:val="num" w:pos="426"/>
          <w:tab w:val="num" w:pos="567"/>
        </w:tabs>
        <w:ind w:left="426" w:firstLine="0"/>
        <w:jc w:val="both"/>
      </w:pPr>
      <w:r w:rsidRPr="00EE185A">
        <w:t xml:space="preserve">В </w:t>
      </w:r>
      <w:r w:rsidRPr="00EE185A">
        <w:rPr>
          <w:u w:val="single"/>
        </w:rPr>
        <w:t>заводи на жп промишлеността</w:t>
      </w:r>
      <w:r w:rsidRPr="00EE185A">
        <w:t xml:space="preserve">, през 2017 г. е предвидено извършване на 285 броя ремонти по необходимост, а са отчетени 43 броя, т.е. изпълнението е 15%. През 2016 г. са </w:t>
      </w:r>
      <w:r w:rsidRPr="00CB3C33">
        <w:t>извършени 4 броя ремонти по необходимост в заводи.</w:t>
      </w:r>
    </w:p>
    <w:p w:rsidR="00C75A88" w:rsidRPr="00407F2A" w:rsidRDefault="00C75A88" w:rsidP="00C75A88">
      <w:pPr>
        <w:ind w:right="446" w:firstLine="708"/>
        <w:jc w:val="both"/>
        <w:rPr>
          <w:lang w:val="ru-RU"/>
        </w:rPr>
      </w:pPr>
      <w:r w:rsidRPr="00CB3C33">
        <w:t xml:space="preserve">Големият относителен дял (72,9%) на </w:t>
      </w:r>
      <w:r w:rsidRPr="00CB3C33">
        <w:rPr>
          <w:lang w:val="ru-RU"/>
        </w:rPr>
        <w:t>ремонтите по необходимост на тяговия подвижен състав, от общия брой извършени ремонти през 2017 г., е индикатор за лошото техническо състояние на локомотивния парк, 8</w:t>
      </w:r>
      <w:r w:rsidRPr="00CB3C33">
        <w:rPr>
          <w:lang w:val="en-US"/>
        </w:rPr>
        <w:t>8</w:t>
      </w:r>
      <w:r w:rsidRPr="00CB3C33">
        <w:rPr>
          <w:lang w:val="ru-RU"/>
        </w:rPr>
        <w:t>,</w:t>
      </w:r>
      <w:r w:rsidRPr="00CB3C33">
        <w:rPr>
          <w:lang w:val="en-US"/>
        </w:rPr>
        <w:t>7</w:t>
      </w:r>
      <w:r w:rsidRPr="00CB3C33">
        <w:rPr>
          <w:lang w:val="ru-RU"/>
        </w:rPr>
        <w:t>% от който е на възраст над 30 години.</w:t>
      </w:r>
    </w:p>
    <w:p w:rsidR="00C75A88" w:rsidRPr="009D2FB9" w:rsidRDefault="00C75A88" w:rsidP="00C75A88">
      <w:pPr>
        <w:rPr>
          <w:b/>
          <w:highlight w:val="yellow"/>
          <w:u w:val="single"/>
          <w:lang w:val="ru-RU"/>
        </w:rPr>
      </w:pPr>
    </w:p>
    <w:p w:rsidR="00C75A88" w:rsidRDefault="00C75A88" w:rsidP="00C75A88">
      <w:pPr>
        <w:rPr>
          <w:b/>
          <w:u w:val="single"/>
          <w:lang w:val="ru-RU"/>
        </w:rPr>
      </w:pPr>
      <w:r w:rsidRPr="00407F2A">
        <w:rPr>
          <w:b/>
          <w:u w:val="single"/>
          <w:lang w:val="ru-RU"/>
        </w:rPr>
        <w:t>Подемни и капитални ремонти (ПР, КР)</w:t>
      </w:r>
    </w:p>
    <w:p w:rsidR="00C75A88" w:rsidRDefault="00C75A88" w:rsidP="00C75A88">
      <w:pPr>
        <w:jc w:val="both"/>
        <w:rPr>
          <w:b/>
          <w:i/>
          <w:lang w:val="en-US"/>
        </w:rPr>
      </w:pPr>
      <w:r w:rsidRPr="00407F2A">
        <w:rPr>
          <w:b/>
          <w:i/>
          <w:lang w:val="ru-RU"/>
        </w:rPr>
        <w:t>В депа на „БДЖ – Товарни превози” ЕООД</w:t>
      </w:r>
    </w:p>
    <w:tbl>
      <w:tblPr>
        <w:tblW w:w="10115" w:type="dxa"/>
        <w:tblInd w:w="-176" w:type="dxa"/>
        <w:tblLook w:val="04A0" w:firstRow="1" w:lastRow="0" w:firstColumn="1" w:lastColumn="0" w:noHBand="0" w:noVBand="1"/>
      </w:tblPr>
      <w:tblGrid>
        <w:gridCol w:w="843"/>
        <w:gridCol w:w="843"/>
        <w:gridCol w:w="983"/>
        <w:gridCol w:w="843"/>
        <w:gridCol w:w="1140"/>
        <w:gridCol w:w="805"/>
        <w:gridCol w:w="1081"/>
        <w:gridCol w:w="805"/>
        <w:gridCol w:w="1013"/>
        <w:gridCol w:w="647"/>
        <w:gridCol w:w="1112"/>
      </w:tblGrid>
      <w:tr w:rsidR="00C75A88" w:rsidRPr="00B17C43" w:rsidTr="00C75A88">
        <w:trPr>
          <w:trHeight w:val="296"/>
        </w:trPr>
        <w:tc>
          <w:tcPr>
            <w:tcW w:w="843"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C75A88" w:rsidRPr="00B17C43" w:rsidRDefault="00C75A88" w:rsidP="00C75A88">
            <w:pPr>
              <w:jc w:val="center"/>
              <w:rPr>
                <w:rFonts w:cs="Calibri"/>
                <w:b/>
                <w:bCs/>
                <w:sz w:val="18"/>
                <w:szCs w:val="18"/>
                <w:lang w:val="en-US" w:eastAsia="en-US"/>
              </w:rPr>
            </w:pPr>
            <w:r w:rsidRPr="00B17C43">
              <w:rPr>
                <w:rFonts w:cs="Calibri"/>
                <w:b/>
                <w:bCs/>
                <w:sz w:val="18"/>
                <w:szCs w:val="18"/>
                <w:lang w:val="en-US" w:eastAsia="en-US"/>
              </w:rPr>
              <w:t>Вид ремонт</w:t>
            </w:r>
          </w:p>
        </w:tc>
        <w:tc>
          <w:tcPr>
            <w:tcW w:w="1826"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B17C43" w:rsidRDefault="00C75A88" w:rsidP="00C75A88">
            <w:pPr>
              <w:jc w:val="center"/>
              <w:rPr>
                <w:rFonts w:cs="Calibri"/>
                <w:b/>
                <w:bCs/>
                <w:sz w:val="18"/>
                <w:szCs w:val="18"/>
                <w:lang w:val="en-US" w:eastAsia="en-US"/>
              </w:rPr>
            </w:pPr>
            <w:r w:rsidRPr="00B17C43">
              <w:rPr>
                <w:rFonts w:cs="Calibri"/>
                <w:b/>
                <w:bCs/>
                <w:sz w:val="18"/>
                <w:szCs w:val="18"/>
                <w:lang w:val="en-US" w:eastAsia="en-US"/>
              </w:rPr>
              <w:t>Отчет 2017 г.</w:t>
            </w:r>
          </w:p>
        </w:tc>
        <w:tc>
          <w:tcPr>
            <w:tcW w:w="1983"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B17C43" w:rsidRDefault="00C75A88" w:rsidP="00C75A88">
            <w:pPr>
              <w:jc w:val="center"/>
              <w:rPr>
                <w:rFonts w:cs="Calibri"/>
                <w:b/>
                <w:bCs/>
                <w:sz w:val="18"/>
                <w:szCs w:val="18"/>
                <w:lang w:val="en-US" w:eastAsia="en-US"/>
              </w:rPr>
            </w:pPr>
            <w:r w:rsidRPr="00B17C43">
              <w:rPr>
                <w:rFonts w:cs="Calibri"/>
                <w:b/>
                <w:bCs/>
                <w:sz w:val="18"/>
                <w:szCs w:val="18"/>
                <w:lang w:val="en-US" w:eastAsia="en-US"/>
              </w:rPr>
              <w:t>Бюджет 2017 г.</w:t>
            </w:r>
          </w:p>
        </w:tc>
        <w:tc>
          <w:tcPr>
            <w:tcW w:w="1886"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B17C43" w:rsidRDefault="00C75A88" w:rsidP="00C75A88">
            <w:pPr>
              <w:jc w:val="center"/>
              <w:rPr>
                <w:rFonts w:cs="Calibri"/>
                <w:b/>
                <w:bCs/>
                <w:sz w:val="18"/>
                <w:szCs w:val="18"/>
                <w:lang w:val="en-US" w:eastAsia="en-US"/>
              </w:rPr>
            </w:pPr>
            <w:r w:rsidRPr="00B17C43">
              <w:rPr>
                <w:rFonts w:cs="Calibri"/>
                <w:b/>
                <w:bCs/>
                <w:sz w:val="18"/>
                <w:szCs w:val="18"/>
                <w:lang w:val="en-US" w:eastAsia="en-US"/>
              </w:rPr>
              <w:t>Отчет 2016 г.</w:t>
            </w:r>
          </w:p>
        </w:tc>
        <w:tc>
          <w:tcPr>
            <w:tcW w:w="1818"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B17C43" w:rsidRDefault="00C75A88" w:rsidP="00C75A88">
            <w:pPr>
              <w:jc w:val="center"/>
              <w:rPr>
                <w:rFonts w:cs="Calibri"/>
                <w:b/>
                <w:bCs/>
                <w:sz w:val="18"/>
                <w:szCs w:val="18"/>
                <w:lang w:val="en-US" w:eastAsia="en-US"/>
              </w:rPr>
            </w:pPr>
            <w:r w:rsidRPr="00B17C43">
              <w:rPr>
                <w:rFonts w:cs="Calibri"/>
                <w:b/>
                <w:bCs/>
                <w:sz w:val="18"/>
                <w:szCs w:val="18"/>
                <w:lang w:val="en-US" w:eastAsia="en-US"/>
              </w:rPr>
              <w:t>+/- отчет/бюджет</w:t>
            </w:r>
          </w:p>
        </w:tc>
        <w:tc>
          <w:tcPr>
            <w:tcW w:w="1759" w:type="dxa"/>
            <w:gridSpan w:val="2"/>
            <w:tcBorders>
              <w:top w:val="single" w:sz="4" w:space="0" w:color="auto"/>
              <w:left w:val="nil"/>
              <w:bottom w:val="single" w:sz="4" w:space="0" w:color="auto"/>
              <w:right w:val="single" w:sz="4" w:space="0" w:color="000000"/>
            </w:tcBorders>
            <w:shd w:val="clear" w:color="auto" w:fill="auto"/>
            <w:vAlign w:val="center"/>
            <w:hideMark/>
          </w:tcPr>
          <w:p w:rsidR="00C75A88" w:rsidRPr="00B17C43" w:rsidRDefault="00C75A88" w:rsidP="00C75A88">
            <w:pPr>
              <w:jc w:val="center"/>
              <w:rPr>
                <w:rFonts w:cs="Calibri"/>
                <w:b/>
                <w:bCs/>
                <w:sz w:val="18"/>
                <w:szCs w:val="18"/>
                <w:lang w:val="en-US" w:eastAsia="en-US"/>
              </w:rPr>
            </w:pPr>
            <w:r w:rsidRPr="00B17C43">
              <w:rPr>
                <w:rFonts w:cs="Calibri"/>
                <w:b/>
                <w:bCs/>
                <w:sz w:val="18"/>
                <w:szCs w:val="18"/>
                <w:lang w:val="en-US" w:eastAsia="en-US"/>
              </w:rPr>
              <w:t>+/- отчет 2017/2016</w:t>
            </w:r>
          </w:p>
        </w:tc>
      </w:tr>
      <w:tr w:rsidR="00C75A88" w:rsidRPr="00B17C43" w:rsidTr="00C75A88">
        <w:trPr>
          <w:trHeight w:val="152"/>
        </w:trPr>
        <w:tc>
          <w:tcPr>
            <w:tcW w:w="843" w:type="dxa"/>
            <w:vMerge/>
            <w:tcBorders>
              <w:top w:val="single" w:sz="4" w:space="0" w:color="auto"/>
              <w:left w:val="single" w:sz="4" w:space="0" w:color="auto"/>
              <w:bottom w:val="single" w:sz="4" w:space="0" w:color="000000"/>
              <w:right w:val="single" w:sz="4" w:space="0" w:color="auto"/>
            </w:tcBorders>
            <w:vAlign w:val="center"/>
            <w:hideMark/>
          </w:tcPr>
          <w:p w:rsidR="00C75A88" w:rsidRPr="00B17C43" w:rsidRDefault="00C75A88" w:rsidP="00C75A88">
            <w:pPr>
              <w:rPr>
                <w:rFonts w:cs="Calibri"/>
                <w:b/>
                <w:bCs/>
                <w:sz w:val="18"/>
                <w:szCs w:val="18"/>
                <w:lang w:val="en-US" w:eastAsia="en-US"/>
              </w:rPr>
            </w:pPr>
          </w:p>
        </w:tc>
        <w:tc>
          <w:tcPr>
            <w:tcW w:w="843" w:type="dxa"/>
            <w:tcBorders>
              <w:top w:val="nil"/>
              <w:left w:val="nil"/>
              <w:bottom w:val="single" w:sz="4" w:space="0" w:color="auto"/>
              <w:right w:val="single" w:sz="4" w:space="0" w:color="auto"/>
            </w:tcBorders>
            <w:shd w:val="clear" w:color="auto" w:fill="auto"/>
            <w:noWrap/>
            <w:vAlign w:val="bottom"/>
            <w:hideMark/>
          </w:tcPr>
          <w:p w:rsidR="00C75A88" w:rsidRPr="00B17C43" w:rsidRDefault="00C75A88" w:rsidP="00C75A88">
            <w:pPr>
              <w:jc w:val="center"/>
              <w:rPr>
                <w:rFonts w:cs="Calibri"/>
                <w:b/>
                <w:bCs/>
                <w:sz w:val="16"/>
                <w:szCs w:val="16"/>
                <w:lang w:val="en-US" w:eastAsia="en-US"/>
              </w:rPr>
            </w:pPr>
            <w:r w:rsidRPr="00B17C43">
              <w:rPr>
                <w:rFonts w:cs="Calibri"/>
                <w:b/>
                <w:bCs/>
                <w:sz w:val="16"/>
                <w:szCs w:val="16"/>
                <w:lang w:val="en-US" w:eastAsia="en-US"/>
              </w:rPr>
              <w:t>брой</w:t>
            </w:r>
          </w:p>
        </w:tc>
        <w:tc>
          <w:tcPr>
            <w:tcW w:w="983" w:type="dxa"/>
            <w:tcBorders>
              <w:top w:val="nil"/>
              <w:left w:val="nil"/>
              <w:bottom w:val="single" w:sz="4" w:space="0" w:color="auto"/>
              <w:right w:val="single" w:sz="4" w:space="0" w:color="auto"/>
            </w:tcBorders>
            <w:shd w:val="clear" w:color="auto" w:fill="auto"/>
            <w:noWrap/>
            <w:vAlign w:val="bottom"/>
            <w:hideMark/>
          </w:tcPr>
          <w:p w:rsidR="00C75A88" w:rsidRPr="00B17C43" w:rsidRDefault="00C75A88" w:rsidP="00C75A88">
            <w:pPr>
              <w:jc w:val="center"/>
              <w:rPr>
                <w:rFonts w:cs="Calibri"/>
                <w:b/>
                <w:bCs/>
                <w:sz w:val="16"/>
                <w:szCs w:val="16"/>
                <w:lang w:val="en-US" w:eastAsia="en-US"/>
              </w:rPr>
            </w:pPr>
            <w:r w:rsidRPr="00B17C43">
              <w:rPr>
                <w:rFonts w:cs="Calibri"/>
                <w:b/>
                <w:bCs/>
                <w:sz w:val="16"/>
                <w:szCs w:val="16"/>
                <w:lang w:val="en-US" w:eastAsia="en-US"/>
              </w:rPr>
              <w:t>ст-ст (лв)</w:t>
            </w:r>
          </w:p>
        </w:tc>
        <w:tc>
          <w:tcPr>
            <w:tcW w:w="843" w:type="dxa"/>
            <w:tcBorders>
              <w:top w:val="nil"/>
              <w:left w:val="nil"/>
              <w:bottom w:val="single" w:sz="4" w:space="0" w:color="auto"/>
              <w:right w:val="single" w:sz="4" w:space="0" w:color="auto"/>
            </w:tcBorders>
            <w:shd w:val="clear" w:color="auto" w:fill="auto"/>
            <w:noWrap/>
            <w:vAlign w:val="bottom"/>
            <w:hideMark/>
          </w:tcPr>
          <w:p w:rsidR="00C75A88" w:rsidRPr="00B17C43" w:rsidRDefault="00C75A88" w:rsidP="00C75A88">
            <w:pPr>
              <w:jc w:val="center"/>
              <w:rPr>
                <w:rFonts w:cs="Calibri"/>
                <w:b/>
                <w:bCs/>
                <w:sz w:val="16"/>
                <w:szCs w:val="16"/>
                <w:lang w:val="en-US" w:eastAsia="en-US"/>
              </w:rPr>
            </w:pPr>
            <w:r w:rsidRPr="00B17C43">
              <w:rPr>
                <w:rFonts w:cs="Calibri"/>
                <w:b/>
                <w:bCs/>
                <w:sz w:val="16"/>
                <w:szCs w:val="16"/>
                <w:lang w:val="en-US" w:eastAsia="en-US"/>
              </w:rPr>
              <w:t>брой</w:t>
            </w:r>
          </w:p>
        </w:tc>
        <w:tc>
          <w:tcPr>
            <w:tcW w:w="1140" w:type="dxa"/>
            <w:tcBorders>
              <w:top w:val="nil"/>
              <w:left w:val="nil"/>
              <w:bottom w:val="single" w:sz="4" w:space="0" w:color="auto"/>
              <w:right w:val="single" w:sz="4" w:space="0" w:color="auto"/>
            </w:tcBorders>
            <w:shd w:val="clear" w:color="auto" w:fill="auto"/>
            <w:noWrap/>
            <w:vAlign w:val="bottom"/>
            <w:hideMark/>
          </w:tcPr>
          <w:p w:rsidR="00C75A88" w:rsidRPr="00B17C43" w:rsidRDefault="00C75A88" w:rsidP="00C75A88">
            <w:pPr>
              <w:jc w:val="center"/>
              <w:rPr>
                <w:rFonts w:cs="Calibri"/>
                <w:b/>
                <w:bCs/>
                <w:sz w:val="16"/>
                <w:szCs w:val="16"/>
                <w:lang w:val="en-US" w:eastAsia="en-US"/>
              </w:rPr>
            </w:pPr>
            <w:r w:rsidRPr="00B17C43">
              <w:rPr>
                <w:rFonts w:cs="Calibri"/>
                <w:b/>
                <w:bCs/>
                <w:sz w:val="16"/>
                <w:szCs w:val="16"/>
                <w:lang w:val="en-US" w:eastAsia="en-US"/>
              </w:rPr>
              <w:t>ст-ст (лв)</w:t>
            </w:r>
          </w:p>
        </w:tc>
        <w:tc>
          <w:tcPr>
            <w:tcW w:w="805" w:type="dxa"/>
            <w:tcBorders>
              <w:top w:val="nil"/>
              <w:left w:val="nil"/>
              <w:bottom w:val="single" w:sz="4" w:space="0" w:color="auto"/>
              <w:right w:val="single" w:sz="4" w:space="0" w:color="auto"/>
            </w:tcBorders>
            <w:shd w:val="clear" w:color="auto" w:fill="auto"/>
            <w:noWrap/>
            <w:vAlign w:val="bottom"/>
            <w:hideMark/>
          </w:tcPr>
          <w:p w:rsidR="00C75A88" w:rsidRPr="00B17C43" w:rsidRDefault="00C75A88" w:rsidP="00C75A88">
            <w:pPr>
              <w:jc w:val="center"/>
              <w:rPr>
                <w:rFonts w:cs="Calibri"/>
                <w:b/>
                <w:bCs/>
                <w:sz w:val="16"/>
                <w:szCs w:val="16"/>
                <w:lang w:val="en-US" w:eastAsia="en-US"/>
              </w:rPr>
            </w:pPr>
            <w:r w:rsidRPr="00B17C43">
              <w:rPr>
                <w:rFonts w:cs="Calibri"/>
                <w:b/>
                <w:bCs/>
                <w:sz w:val="16"/>
                <w:szCs w:val="16"/>
                <w:lang w:val="en-US" w:eastAsia="en-US"/>
              </w:rPr>
              <w:t>брой</w:t>
            </w:r>
          </w:p>
        </w:tc>
        <w:tc>
          <w:tcPr>
            <w:tcW w:w="1081" w:type="dxa"/>
            <w:tcBorders>
              <w:top w:val="nil"/>
              <w:left w:val="nil"/>
              <w:bottom w:val="single" w:sz="4" w:space="0" w:color="auto"/>
              <w:right w:val="single" w:sz="4" w:space="0" w:color="auto"/>
            </w:tcBorders>
            <w:shd w:val="clear" w:color="auto" w:fill="auto"/>
            <w:noWrap/>
            <w:vAlign w:val="bottom"/>
            <w:hideMark/>
          </w:tcPr>
          <w:p w:rsidR="00C75A88" w:rsidRPr="00B17C43" w:rsidRDefault="00C75A88" w:rsidP="00C75A88">
            <w:pPr>
              <w:jc w:val="center"/>
              <w:rPr>
                <w:rFonts w:cs="Calibri"/>
                <w:b/>
                <w:bCs/>
                <w:sz w:val="16"/>
                <w:szCs w:val="16"/>
                <w:lang w:val="en-US" w:eastAsia="en-US"/>
              </w:rPr>
            </w:pPr>
            <w:r w:rsidRPr="00B17C43">
              <w:rPr>
                <w:rFonts w:cs="Calibri"/>
                <w:b/>
                <w:bCs/>
                <w:sz w:val="16"/>
                <w:szCs w:val="16"/>
                <w:lang w:val="en-US" w:eastAsia="en-US"/>
              </w:rPr>
              <w:t>ст-ст (лв)</w:t>
            </w:r>
          </w:p>
        </w:tc>
        <w:tc>
          <w:tcPr>
            <w:tcW w:w="805" w:type="dxa"/>
            <w:tcBorders>
              <w:top w:val="nil"/>
              <w:left w:val="nil"/>
              <w:bottom w:val="single" w:sz="4" w:space="0" w:color="auto"/>
              <w:right w:val="single" w:sz="4" w:space="0" w:color="auto"/>
            </w:tcBorders>
            <w:shd w:val="clear" w:color="auto" w:fill="auto"/>
            <w:noWrap/>
            <w:vAlign w:val="bottom"/>
            <w:hideMark/>
          </w:tcPr>
          <w:p w:rsidR="00C75A88" w:rsidRPr="00B17C43" w:rsidRDefault="00C75A88" w:rsidP="00C75A88">
            <w:pPr>
              <w:jc w:val="center"/>
              <w:rPr>
                <w:rFonts w:cs="Calibri"/>
                <w:b/>
                <w:bCs/>
                <w:sz w:val="16"/>
                <w:szCs w:val="16"/>
                <w:lang w:val="en-US" w:eastAsia="en-US"/>
              </w:rPr>
            </w:pPr>
            <w:r w:rsidRPr="00B17C43">
              <w:rPr>
                <w:rFonts w:cs="Calibri"/>
                <w:b/>
                <w:bCs/>
                <w:sz w:val="16"/>
                <w:szCs w:val="16"/>
                <w:lang w:val="en-US" w:eastAsia="en-US"/>
              </w:rPr>
              <w:t>брой</w:t>
            </w:r>
          </w:p>
        </w:tc>
        <w:tc>
          <w:tcPr>
            <w:tcW w:w="1013" w:type="dxa"/>
            <w:tcBorders>
              <w:top w:val="nil"/>
              <w:left w:val="nil"/>
              <w:bottom w:val="single" w:sz="4" w:space="0" w:color="auto"/>
              <w:right w:val="single" w:sz="4" w:space="0" w:color="auto"/>
            </w:tcBorders>
            <w:shd w:val="clear" w:color="auto" w:fill="auto"/>
            <w:noWrap/>
            <w:vAlign w:val="bottom"/>
            <w:hideMark/>
          </w:tcPr>
          <w:p w:rsidR="00C75A88" w:rsidRPr="00B17C43" w:rsidRDefault="00C75A88" w:rsidP="00C75A88">
            <w:pPr>
              <w:jc w:val="center"/>
              <w:rPr>
                <w:rFonts w:cs="Calibri"/>
                <w:b/>
                <w:bCs/>
                <w:sz w:val="16"/>
                <w:szCs w:val="16"/>
                <w:lang w:val="en-US" w:eastAsia="en-US"/>
              </w:rPr>
            </w:pPr>
            <w:r w:rsidRPr="00B17C43">
              <w:rPr>
                <w:rFonts w:cs="Calibri"/>
                <w:b/>
                <w:bCs/>
                <w:sz w:val="16"/>
                <w:szCs w:val="16"/>
                <w:lang w:val="en-US" w:eastAsia="en-US"/>
              </w:rPr>
              <w:t>ст-ст (лв)</w:t>
            </w:r>
          </w:p>
        </w:tc>
        <w:tc>
          <w:tcPr>
            <w:tcW w:w="647" w:type="dxa"/>
            <w:tcBorders>
              <w:top w:val="nil"/>
              <w:left w:val="nil"/>
              <w:bottom w:val="single" w:sz="4" w:space="0" w:color="auto"/>
              <w:right w:val="single" w:sz="4" w:space="0" w:color="auto"/>
            </w:tcBorders>
            <w:shd w:val="clear" w:color="auto" w:fill="auto"/>
            <w:noWrap/>
            <w:vAlign w:val="bottom"/>
            <w:hideMark/>
          </w:tcPr>
          <w:p w:rsidR="00C75A88" w:rsidRPr="00B17C43" w:rsidRDefault="00C75A88" w:rsidP="00C75A88">
            <w:pPr>
              <w:jc w:val="center"/>
              <w:rPr>
                <w:rFonts w:cs="Calibri"/>
                <w:b/>
                <w:bCs/>
                <w:sz w:val="16"/>
                <w:szCs w:val="16"/>
                <w:lang w:val="en-US" w:eastAsia="en-US"/>
              </w:rPr>
            </w:pPr>
            <w:r w:rsidRPr="00B17C43">
              <w:rPr>
                <w:rFonts w:cs="Calibri"/>
                <w:b/>
                <w:bCs/>
                <w:sz w:val="16"/>
                <w:szCs w:val="16"/>
                <w:lang w:val="en-US" w:eastAsia="en-US"/>
              </w:rPr>
              <w:t>брой</w:t>
            </w:r>
          </w:p>
        </w:tc>
        <w:tc>
          <w:tcPr>
            <w:tcW w:w="1112" w:type="dxa"/>
            <w:tcBorders>
              <w:top w:val="nil"/>
              <w:left w:val="nil"/>
              <w:bottom w:val="single" w:sz="4" w:space="0" w:color="auto"/>
              <w:right w:val="single" w:sz="4" w:space="0" w:color="auto"/>
            </w:tcBorders>
            <w:shd w:val="clear" w:color="auto" w:fill="auto"/>
            <w:noWrap/>
            <w:vAlign w:val="bottom"/>
            <w:hideMark/>
          </w:tcPr>
          <w:p w:rsidR="00C75A88" w:rsidRPr="00B17C43" w:rsidRDefault="00C75A88" w:rsidP="00C75A88">
            <w:pPr>
              <w:jc w:val="center"/>
              <w:rPr>
                <w:rFonts w:cs="Calibri"/>
                <w:b/>
                <w:bCs/>
                <w:sz w:val="16"/>
                <w:szCs w:val="16"/>
                <w:lang w:val="en-US" w:eastAsia="en-US"/>
              </w:rPr>
            </w:pPr>
            <w:r w:rsidRPr="00B17C43">
              <w:rPr>
                <w:rFonts w:cs="Calibri"/>
                <w:b/>
                <w:bCs/>
                <w:sz w:val="16"/>
                <w:szCs w:val="16"/>
                <w:lang w:val="en-US" w:eastAsia="en-US"/>
              </w:rPr>
              <w:t>ст-ст (лв)</w:t>
            </w:r>
          </w:p>
        </w:tc>
      </w:tr>
      <w:tr w:rsidR="00C75A88" w:rsidRPr="00B17C43" w:rsidTr="00C75A88">
        <w:trPr>
          <w:trHeight w:val="152"/>
        </w:trPr>
        <w:tc>
          <w:tcPr>
            <w:tcW w:w="843" w:type="dxa"/>
            <w:tcBorders>
              <w:top w:val="nil"/>
              <w:left w:val="single" w:sz="4" w:space="0" w:color="auto"/>
              <w:bottom w:val="single" w:sz="4" w:space="0" w:color="auto"/>
              <w:right w:val="single" w:sz="4" w:space="0" w:color="auto"/>
            </w:tcBorders>
            <w:shd w:val="clear" w:color="auto" w:fill="auto"/>
            <w:noWrap/>
            <w:vAlign w:val="bottom"/>
            <w:hideMark/>
          </w:tcPr>
          <w:p w:rsidR="00C75A88" w:rsidRPr="00B17C43" w:rsidRDefault="00C75A88" w:rsidP="00C75A88">
            <w:pPr>
              <w:rPr>
                <w:rFonts w:cs="Calibri"/>
                <w:b/>
                <w:bCs/>
                <w:sz w:val="18"/>
                <w:szCs w:val="18"/>
                <w:lang w:val="en-US" w:eastAsia="en-US"/>
              </w:rPr>
            </w:pPr>
            <w:r w:rsidRPr="00B17C43">
              <w:rPr>
                <w:rFonts w:cs="Calibri"/>
                <w:b/>
                <w:bCs/>
                <w:sz w:val="18"/>
                <w:szCs w:val="18"/>
                <w:lang w:val="en-US" w:eastAsia="en-US"/>
              </w:rPr>
              <w:t>ГПР</w:t>
            </w:r>
          </w:p>
        </w:tc>
        <w:tc>
          <w:tcPr>
            <w:tcW w:w="843" w:type="dxa"/>
            <w:tcBorders>
              <w:top w:val="nil"/>
              <w:left w:val="nil"/>
              <w:bottom w:val="single" w:sz="4" w:space="0" w:color="auto"/>
              <w:right w:val="single" w:sz="4" w:space="0" w:color="auto"/>
            </w:tcBorders>
            <w:shd w:val="clear" w:color="auto" w:fill="auto"/>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0</w:t>
            </w:r>
          </w:p>
        </w:tc>
        <w:tc>
          <w:tcPr>
            <w:tcW w:w="983" w:type="dxa"/>
            <w:tcBorders>
              <w:top w:val="nil"/>
              <w:left w:val="nil"/>
              <w:bottom w:val="single" w:sz="4" w:space="0" w:color="auto"/>
              <w:right w:val="single" w:sz="4" w:space="0" w:color="auto"/>
            </w:tcBorders>
            <w:shd w:val="clear" w:color="auto" w:fill="auto"/>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0</w:t>
            </w:r>
          </w:p>
        </w:tc>
        <w:tc>
          <w:tcPr>
            <w:tcW w:w="843" w:type="dxa"/>
            <w:tcBorders>
              <w:top w:val="nil"/>
              <w:left w:val="nil"/>
              <w:bottom w:val="single" w:sz="4" w:space="0" w:color="auto"/>
              <w:right w:val="single" w:sz="4" w:space="0" w:color="auto"/>
            </w:tcBorders>
            <w:shd w:val="clear" w:color="auto" w:fill="auto"/>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1</w:t>
            </w:r>
          </w:p>
        </w:tc>
        <w:tc>
          <w:tcPr>
            <w:tcW w:w="1140" w:type="dxa"/>
            <w:tcBorders>
              <w:top w:val="nil"/>
              <w:left w:val="nil"/>
              <w:bottom w:val="single" w:sz="4" w:space="0" w:color="auto"/>
              <w:right w:val="single" w:sz="4" w:space="0" w:color="auto"/>
            </w:tcBorders>
            <w:shd w:val="clear" w:color="auto" w:fill="auto"/>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41 800</w:t>
            </w:r>
          </w:p>
        </w:tc>
        <w:tc>
          <w:tcPr>
            <w:tcW w:w="805" w:type="dxa"/>
            <w:tcBorders>
              <w:top w:val="nil"/>
              <w:left w:val="nil"/>
              <w:bottom w:val="single" w:sz="4" w:space="0" w:color="auto"/>
              <w:right w:val="single" w:sz="4" w:space="0" w:color="auto"/>
            </w:tcBorders>
            <w:shd w:val="clear" w:color="auto" w:fill="auto"/>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0</w:t>
            </w:r>
          </w:p>
        </w:tc>
        <w:tc>
          <w:tcPr>
            <w:tcW w:w="1081" w:type="dxa"/>
            <w:tcBorders>
              <w:top w:val="nil"/>
              <w:left w:val="nil"/>
              <w:bottom w:val="single" w:sz="4" w:space="0" w:color="auto"/>
              <w:right w:val="single" w:sz="4" w:space="0" w:color="auto"/>
            </w:tcBorders>
            <w:shd w:val="clear" w:color="auto" w:fill="auto"/>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0</w:t>
            </w:r>
          </w:p>
        </w:tc>
        <w:tc>
          <w:tcPr>
            <w:tcW w:w="805" w:type="dxa"/>
            <w:tcBorders>
              <w:top w:val="nil"/>
              <w:left w:val="nil"/>
              <w:bottom w:val="single" w:sz="4" w:space="0" w:color="auto"/>
              <w:right w:val="single" w:sz="4" w:space="0" w:color="auto"/>
            </w:tcBorders>
            <w:shd w:val="clear" w:color="auto" w:fill="auto"/>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-1</w:t>
            </w:r>
          </w:p>
        </w:tc>
        <w:tc>
          <w:tcPr>
            <w:tcW w:w="1013" w:type="dxa"/>
            <w:tcBorders>
              <w:top w:val="nil"/>
              <w:left w:val="nil"/>
              <w:bottom w:val="single" w:sz="4" w:space="0" w:color="auto"/>
              <w:right w:val="single" w:sz="4" w:space="0" w:color="auto"/>
            </w:tcBorders>
            <w:shd w:val="clear" w:color="auto" w:fill="auto"/>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-41 800</w:t>
            </w:r>
          </w:p>
        </w:tc>
        <w:tc>
          <w:tcPr>
            <w:tcW w:w="647" w:type="dxa"/>
            <w:tcBorders>
              <w:top w:val="nil"/>
              <w:left w:val="nil"/>
              <w:bottom w:val="single" w:sz="4" w:space="0" w:color="auto"/>
              <w:right w:val="single" w:sz="4" w:space="0" w:color="auto"/>
            </w:tcBorders>
            <w:shd w:val="clear" w:color="auto" w:fill="auto"/>
            <w:noWrap/>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0</w:t>
            </w:r>
          </w:p>
        </w:tc>
        <w:tc>
          <w:tcPr>
            <w:tcW w:w="1112" w:type="dxa"/>
            <w:tcBorders>
              <w:top w:val="nil"/>
              <w:left w:val="nil"/>
              <w:bottom w:val="single" w:sz="4" w:space="0" w:color="auto"/>
              <w:right w:val="single" w:sz="4" w:space="0" w:color="auto"/>
            </w:tcBorders>
            <w:shd w:val="clear" w:color="auto" w:fill="auto"/>
            <w:noWrap/>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0</w:t>
            </w:r>
          </w:p>
        </w:tc>
      </w:tr>
      <w:tr w:rsidR="00C75A88" w:rsidRPr="00B17C43" w:rsidTr="00C75A88">
        <w:trPr>
          <w:trHeight w:val="74"/>
        </w:trPr>
        <w:tc>
          <w:tcPr>
            <w:tcW w:w="843" w:type="dxa"/>
            <w:tcBorders>
              <w:top w:val="nil"/>
              <w:left w:val="single" w:sz="4" w:space="0" w:color="auto"/>
              <w:bottom w:val="single" w:sz="4" w:space="0" w:color="auto"/>
              <w:right w:val="single" w:sz="4" w:space="0" w:color="auto"/>
            </w:tcBorders>
            <w:shd w:val="clear" w:color="auto" w:fill="auto"/>
            <w:noWrap/>
            <w:vAlign w:val="bottom"/>
            <w:hideMark/>
          </w:tcPr>
          <w:p w:rsidR="00C75A88" w:rsidRPr="00B17C43" w:rsidRDefault="00C75A88" w:rsidP="00C75A88">
            <w:pPr>
              <w:rPr>
                <w:rFonts w:cs="Calibri"/>
                <w:b/>
                <w:bCs/>
                <w:sz w:val="18"/>
                <w:szCs w:val="18"/>
                <w:lang w:val="en-US" w:eastAsia="en-US"/>
              </w:rPr>
            </w:pPr>
            <w:r w:rsidRPr="00B17C43">
              <w:rPr>
                <w:rFonts w:cs="Calibri"/>
                <w:b/>
                <w:bCs/>
                <w:sz w:val="18"/>
                <w:szCs w:val="18"/>
                <w:lang w:val="en-US" w:eastAsia="en-US"/>
              </w:rPr>
              <w:t>ПР</w:t>
            </w:r>
          </w:p>
        </w:tc>
        <w:tc>
          <w:tcPr>
            <w:tcW w:w="843" w:type="dxa"/>
            <w:tcBorders>
              <w:top w:val="nil"/>
              <w:left w:val="nil"/>
              <w:bottom w:val="single" w:sz="4" w:space="0" w:color="auto"/>
              <w:right w:val="single" w:sz="4" w:space="0" w:color="auto"/>
            </w:tcBorders>
            <w:shd w:val="clear" w:color="auto" w:fill="auto"/>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5</w:t>
            </w:r>
          </w:p>
        </w:tc>
        <w:tc>
          <w:tcPr>
            <w:tcW w:w="983" w:type="dxa"/>
            <w:tcBorders>
              <w:top w:val="nil"/>
              <w:left w:val="nil"/>
              <w:bottom w:val="single" w:sz="4" w:space="0" w:color="auto"/>
              <w:right w:val="single" w:sz="4" w:space="0" w:color="auto"/>
            </w:tcBorders>
            <w:shd w:val="clear" w:color="auto" w:fill="auto"/>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562 168</w:t>
            </w:r>
          </w:p>
        </w:tc>
        <w:tc>
          <w:tcPr>
            <w:tcW w:w="843" w:type="dxa"/>
            <w:tcBorders>
              <w:top w:val="nil"/>
              <w:left w:val="nil"/>
              <w:bottom w:val="single" w:sz="4" w:space="0" w:color="auto"/>
              <w:right w:val="single" w:sz="4" w:space="0" w:color="auto"/>
            </w:tcBorders>
            <w:shd w:val="clear" w:color="auto" w:fill="auto"/>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14</w:t>
            </w:r>
          </w:p>
        </w:tc>
        <w:tc>
          <w:tcPr>
            <w:tcW w:w="1140" w:type="dxa"/>
            <w:tcBorders>
              <w:top w:val="nil"/>
              <w:left w:val="nil"/>
              <w:bottom w:val="single" w:sz="4" w:space="0" w:color="auto"/>
              <w:right w:val="single" w:sz="4" w:space="0" w:color="auto"/>
            </w:tcBorders>
            <w:shd w:val="clear" w:color="auto" w:fill="auto"/>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1 392 640</w:t>
            </w:r>
          </w:p>
        </w:tc>
        <w:tc>
          <w:tcPr>
            <w:tcW w:w="805" w:type="dxa"/>
            <w:tcBorders>
              <w:top w:val="nil"/>
              <w:left w:val="nil"/>
              <w:bottom w:val="single" w:sz="4" w:space="0" w:color="auto"/>
              <w:right w:val="single" w:sz="4" w:space="0" w:color="auto"/>
            </w:tcBorders>
            <w:shd w:val="clear" w:color="auto" w:fill="auto"/>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6</w:t>
            </w:r>
          </w:p>
        </w:tc>
        <w:tc>
          <w:tcPr>
            <w:tcW w:w="1081" w:type="dxa"/>
            <w:tcBorders>
              <w:top w:val="nil"/>
              <w:left w:val="nil"/>
              <w:bottom w:val="single" w:sz="4" w:space="0" w:color="auto"/>
              <w:right w:val="single" w:sz="4" w:space="0" w:color="auto"/>
            </w:tcBorders>
            <w:shd w:val="clear" w:color="auto" w:fill="auto"/>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615 815</w:t>
            </w:r>
          </w:p>
        </w:tc>
        <w:tc>
          <w:tcPr>
            <w:tcW w:w="805" w:type="dxa"/>
            <w:tcBorders>
              <w:top w:val="nil"/>
              <w:left w:val="nil"/>
              <w:bottom w:val="single" w:sz="4" w:space="0" w:color="auto"/>
              <w:right w:val="single" w:sz="4" w:space="0" w:color="auto"/>
            </w:tcBorders>
            <w:shd w:val="clear" w:color="auto" w:fill="auto"/>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-9</w:t>
            </w:r>
          </w:p>
        </w:tc>
        <w:tc>
          <w:tcPr>
            <w:tcW w:w="1013" w:type="dxa"/>
            <w:tcBorders>
              <w:top w:val="nil"/>
              <w:left w:val="nil"/>
              <w:bottom w:val="single" w:sz="4" w:space="0" w:color="auto"/>
              <w:right w:val="single" w:sz="4" w:space="0" w:color="auto"/>
            </w:tcBorders>
            <w:shd w:val="clear" w:color="auto" w:fill="auto"/>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-830 472</w:t>
            </w:r>
          </w:p>
        </w:tc>
        <w:tc>
          <w:tcPr>
            <w:tcW w:w="647" w:type="dxa"/>
            <w:tcBorders>
              <w:top w:val="nil"/>
              <w:left w:val="nil"/>
              <w:bottom w:val="single" w:sz="4" w:space="0" w:color="auto"/>
              <w:right w:val="single" w:sz="4" w:space="0" w:color="auto"/>
            </w:tcBorders>
            <w:shd w:val="clear" w:color="auto" w:fill="auto"/>
            <w:noWrap/>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-1</w:t>
            </w:r>
          </w:p>
        </w:tc>
        <w:tc>
          <w:tcPr>
            <w:tcW w:w="1112" w:type="dxa"/>
            <w:tcBorders>
              <w:top w:val="nil"/>
              <w:left w:val="nil"/>
              <w:bottom w:val="single" w:sz="4" w:space="0" w:color="auto"/>
              <w:right w:val="single" w:sz="4" w:space="0" w:color="auto"/>
            </w:tcBorders>
            <w:shd w:val="clear" w:color="auto" w:fill="auto"/>
            <w:noWrap/>
            <w:vAlign w:val="bottom"/>
            <w:hideMark/>
          </w:tcPr>
          <w:p w:rsidR="00C75A88" w:rsidRPr="00B17C43" w:rsidRDefault="00C75A88" w:rsidP="00C75A88">
            <w:pPr>
              <w:jc w:val="right"/>
              <w:rPr>
                <w:rFonts w:cs="Calibri"/>
                <w:sz w:val="18"/>
                <w:szCs w:val="18"/>
                <w:lang w:val="en-US" w:eastAsia="en-US"/>
              </w:rPr>
            </w:pPr>
            <w:r w:rsidRPr="00B17C43">
              <w:rPr>
                <w:rFonts w:cs="Calibri"/>
                <w:sz w:val="18"/>
                <w:szCs w:val="18"/>
                <w:lang w:val="en-US" w:eastAsia="en-US"/>
              </w:rPr>
              <w:t>-53 647</w:t>
            </w:r>
          </w:p>
        </w:tc>
      </w:tr>
      <w:tr w:rsidR="00C75A88" w:rsidRPr="00B17C43" w:rsidTr="00C75A88">
        <w:trPr>
          <w:trHeight w:val="152"/>
        </w:trPr>
        <w:tc>
          <w:tcPr>
            <w:tcW w:w="843" w:type="dxa"/>
            <w:tcBorders>
              <w:top w:val="nil"/>
              <w:left w:val="single" w:sz="4" w:space="0" w:color="auto"/>
              <w:bottom w:val="double" w:sz="6" w:space="0" w:color="auto"/>
              <w:right w:val="single" w:sz="4" w:space="0" w:color="auto"/>
            </w:tcBorders>
            <w:shd w:val="clear" w:color="auto" w:fill="auto"/>
            <w:noWrap/>
            <w:vAlign w:val="bottom"/>
            <w:hideMark/>
          </w:tcPr>
          <w:p w:rsidR="00C75A88" w:rsidRPr="00B17C43" w:rsidRDefault="00C75A88" w:rsidP="00C75A88">
            <w:pPr>
              <w:rPr>
                <w:rFonts w:cs="Calibri"/>
                <w:b/>
                <w:bCs/>
                <w:sz w:val="18"/>
                <w:szCs w:val="18"/>
                <w:lang w:val="en-US" w:eastAsia="en-US"/>
              </w:rPr>
            </w:pPr>
            <w:r w:rsidRPr="00B17C43">
              <w:rPr>
                <w:rFonts w:cs="Calibri"/>
                <w:b/>
                <w:bCs/>
                <w:sz w:val="18"/>
                <w:szCs w:val="18"/>
                <w:lang w:val="en-US" w:eastAsia="en-US"/>
              </w:rPr>
              <w:t>Общо</w:t>
            </w:r>
          </w:p>
        </w:tc>
        <w:tc>
          <w:tcPr>
            <w:tcW w:w="843" w:type="dxa"/>
            <w:tcBorders>
              <w:top w:val="nil"/>
              <w:left w:val="nil"/>
              <w:bottom w:val="double" w:sz="6" w:space="0" w:color="auto"/>
              <w:right w:val="single" w:sz="4" w:space="0" w:color="auto"/>
            </w:tcBorders>
            <w:shd w:val="clear" w:color="auto" w:fill="auto"/>
            <w:noWrap/>
            <w:vAlign w:val="bottom"/>
            <w:hideMark/>
          </w:tcPr>
          <w:p w:rsidR="00C75A88" w:rsidRPr="00B17C43" w:rsidRDefault="00C75A88" w:rsidP="00C75A88">
            <w:pPr>
              <w:jc w:val="right"/>
              <w:rPr>
                <w:rFonts w:cs="Calibri"/>
                <w:b/>
                <w:bCs/>
                <w:sz w:val="18"/>
                <w:szCs w:val="18"/>
                <w:lang w:val="en-US" w:eastAsia="en-US"/>
              </w:rPr>
            </w:pPr>
            <w:r w:rsidRPr="00B17C43">
              <w:rPr>
                <w:rFonts w:cs="Calibri"/>
                <w:b/>
                <w:bCs/>
                <w:sz w:val="18"/>
                <w:szCs w:val="18"/>
                <w:lang w:val="en-US" w:eastAsia="en-US"/>
              </w:rPr>
              <w:t>5</w:t>
            </w:r>
          </w:p>
        </w:tc>
        <w:tc>
          <w:tcPr>
            <w:tcW w:w="983" w:type="dxa"/>
            <w:tcBorders>
              <w:top w:val="nil"/>
              <w:left w:val="nil"/>
              <w:bottom w:val="double" w:sz="6" w:space="0" w:color="auto"/>
              <w:right w:val="single" w:sz="4" w:space="0" w:color="auto"/>
            </w:tcBorders>
            <w:shd w:val="clear" w:color="auto" w:fill="auto"/>
            <w:noWrap/>
            <w:vAlign w:val="bottom"/>
            <w:hideMark/>
          </w:tcPr>
          <w:p w:rsidR="00C75A88" w:rsidRPr="00B17C43" w:rsidRDefault="00C75A88" w:rsidP="00C75A88">
            <w:pPr>
              <w:jc w:val="right"/>
              <w:rPr>
                <w:rFonts w:cs="Calibri"/>
                <w:b/>
                <w:bCs/>
                <w:sz w:val="18"/>
                <w:szCs w:val="18"/>
                <w:lang w:val="en-US" w:eastAsia="en-US"/>
              </w:rPr>
            </w:pPr>
            <w:r w:rsidRPr="00B17C43">
              <w:rPr>
                <w:rFonts w:cs="Calibri"/>
                <w:b/>
                <w:bCs/>
                <w:sz w:val="18"/>
                <w:szCs w:val="18"/>
                <w:lang w:val="en-US" w:eastAsia="en-US"/>
              </w:rPr>
              <w:t>562 168</w:t>
            </w:r>
          </w:p>
        </w:tc>
        <w:tc>
          <w:tcPr>
            <w:tcW w:w="843" w:type="dxa"/>
            <w:tcBorders>
              <w:top w:val="nil"/>
              <w:left w:val="nil"/>
              <w:bottom w:val="double" w:sz="6" w:space="0" w:color="auto"/>
              <w:right w:val="single" w:sz="4" w:space="0" w:color="auto"/>
            </w:tcBorders>
            <w:shd w:val="clear" w:color="auto" w:fill="auto"/>
            <w:noWrap/>
            <w:vAlign w:val="bottom"/>
            <w:hideMark/>
          </w:tcPr>
          <w:p w:rsidR="00C75A88" w:rsidRPr="00B17C43" w:rsidRDefault="00C75A88" w:rsidP="00C75A88">
            <w:pPr>
              <w:jc w:val="right"/>
              <w:rPr>
                <w:rFonts w:cs="Calibri"/>
                <w:b/>
                <w:bCs/>
                <w:sz w:val="18"/>
                <w:szCs w:val="18"/>
                <w:lang w:val="en-US" w:eastAsia="en-US"/>
              </w:rPr>
            </w:pPr>
            <w:r w:rsidRPr="00B17C43">
              <w:rPr>
                <w:rFonts w:cs="Calibri"/>
                <w:b/>
                <w:bCs/>
                <w:sz w:val="18"/>
                <w:szCs w:val="18"/>
                <w:lang w:val="en-US" w:eastAsia="en-US"/>
              </w:rPr>
              <w:t>15</w:t>
            </w:r>
          </w:p>
        </w:tc>
        <w:tc>
          <w:tcPr>
            <w:tcW w:w="1140" w:type="dxa"/>
            <w:tcBorders>
              <w:top w:val="nil"/>
              <w:left w:val="nil"/>
              <w:bottom w:val="double" w:sz="6" w:space="0" w:color="auto"/>
              <w:right w:val="single" w:sz="4" w:space="0" w:color="auto"/>
            </w:tcBorders>
            <w:shd w:val="clear" w:color="auto" w:fill="auto"/>
            <w:noWrap/>
            <w:vAlign w:val="bottom"/>
            <w:hideMark/>
          </w:tcPr>
          <w:p w:rsidR="00C75A88" w:rsidRPr="00B17C43" w:rsidRDefault="00C75A88" w:rsidP="00C75A88">
            <w:pPr>
              <w:jc w:val="right"/>
              <w:rPr>
                <w:rFonts w:cs="Calibri"/>
                <w:b/>
                <w:bCs/>
                <w:sz w:val="18"/>
                <w:szCs w:val="18"/>
                <w:lang w:val="en-US" w:eastAsia="en-US"/>
              </w:rPr>
            </w:pPr>
            <w:r w:rsidRPr="00B17C43">
              <w:rPr>
                <w:rFonts w:cs="Calibri"/>
                <w:b/>
                <w:bCs/>
                <w:sz w:val="18"/>
                <w:szCs w:val="18"/>
                <w:lang w:val="en-US" w:eastAsia="en-US"/>
              </w:rPr>
              <w:t>1 434 440</w:t>
            </w:r>
          </w:p>
        </w:tc>
        <w:tc>
          <w:tcPr>
            <w:tcW w:w="805" w:type="dxa"/>
            <w:tcBorders>
              <w:top w:val="nil"/>
              <w:left w:val="nil"/>
              <w:bottom w:val="double" w:sz="6" w:space="0" w:color="auto"/>
              <w:right w:val="single" w:sz="4" w:space="0" w:color="auto"/>
            </w:tcBorders>
            <w:shd w:val="clear" w:color="auto" w:fill="auto"/>
            <w:noWrap/>
            <w:vAlign w:val="bottom"/>
            <w:hideMark/>
          </w:tcPr>
          <w:p w:rsidR="00C75A88" w:rsidRPr="00B17C43" w:rsidRDefault="00C75A88" w:rsidP="00C75A88">
            <w:pPr>
              <w:jc w:val="right"/>
              <w:rPr>
                <w:rFonts w:cs="Calibri"/>
                <w:b/>
                <w:bCs/>
                <w:sz w:val="18"/>
                <w:szCs w:val="18"/>
                <w:lang w:val="en-US" w:eastAsia="en-US"/>
              </w:rPr>
            </w:pPr>
            <w:r w:rsidRPr="00B17C43">
              <w:rPr>
                <w:rFonts w:cs="Calibri"/>
                <w:b/>
                <w:bCs/>
                <w:sz w:val="18"/>
                <w:szCs w:val="18"/>
                <w:lang w:val="en-US" w:eastAsia="en-US"/>
              </w:rPr>
              <w:t>6</w:t>
            </w:r>
          </w:p>
        </w:tc>
        <w:tc>
          <w:tcPr>
            <w:tcW w:w="1081" w:type="dxa"/>
            <w:tcBorders>
              <w:top w:val="nil"/>
              <w:left w:val="nil"/>
              <w:bottom w:val="double" w:sz="6" w:space="0" w:color="auto"/>
              <w:right w:val="single" w:sz="4" w:space="0" w:color="auto"/>
            </w:tcBorders>
            <w:shd w:val="clear" w:color="auto" w:fill="auto"/>
            <w:noWrap/>
            <w:vAlign w:val="bottom"/>
            <w:hideMark/>
          </w:tcPr>
          <w:p w:rsidR="00C75A88" w:rsidRPr="00B17C43" w:rsidRDefault="00C75A88" w:rsidP="00C75A88">
            <w:pPr>
              <w:jc w:val="right"/>
              <w:rPr>
                <w:rFonts w:cs="Calibri"/>
                <w:b/>
                <w:bCs/>
                <w:sz w:val="18"/>
                <w:szCs w:val="18"/>
                <w:lang w:val="en-US" w:eastAsia="en-US"/>
              </w:rPr>
            </w:pPr>
            <w:r w:rsidRPr="00B17C43">
              <w:rPr>
                <w:rFonts w:cs="Calibri"/>
                <w:b/>
                <w:bCs/>
                <w:sz w:val="18"/>
                <w:szCs w:val="18"/>
                <w:lang w:val="en-US" w:eastAsia="en-US"/>
              </w:rPr>
              <w:t>615 815</w:t>
            </w:r>
          </w:p>
        </w:tc>
        <w:tc>
          <w:tcPr>
            <w:tcW w:w="805" w:type="dxa"/>
            <w:tcBorders>
              <w:top w:val="nil"/>
              <w:left w:val="nil"/>
              <w:bottom w:val="double" w:sz="6" w:space="0" w:color="auto"/>
              <w:right w:val="single" w:sz="4" w:space="0" w:color="auto"/>
            </w:tcBorders>
            <w:shd w:val="clear" w:color="auto" w:fill="auto"/>
            <w:noWrap/>
            <w:vAlign w:val="bottom"/>
            <w:hideMark/>
          </w:tcPr>
          <w:p w:rsidR="00C75A88" w:rsidRPr="00B17C43" w:rsidRDefault="00C75A88" w:rsidP="00C75A88">
            <w:pPr>
              <w:jc w:val="right"/>
              <w:rPr>
                <w:rFonts w:cs="Calibri"/>
                <w:b/>
                <w:bCs/>
                <w:sz w:val="18"/>
                <w:szCs w:val="18"/>
                <w:lang w:val="en-US" w:eastAsia="en-US"/>
              </w:rPr>
            </w:pPr>
            <w:r w:rsidRPr="00B17C43">
              <w:rPr>
                <w:rFonts w:cs="Calibri"/>
                <w:b/>
                <w:bCs/>
                <w:sz w:val="18"/>
                <w:szCs w:val="18"/>
                <w:lang w:val="en-US" w:eastAsia="en-US"/>
              </w:rPr>
              <w:t>-10</w:t>
            </w:r>
          </w:p>
        </w:tc>
        <w:tc>
          <w:tcPr>
            <w:tcW w:w="1013" w:type="dxa"/>
            <w:tcBorders>
              <w:top w:val="nil"/>
              <w:left w:val="nil"/>
              <w:bottom w:val="double" w:sz="6" w:space="0" w:color="auto"/>
              <w:right w:val="single" w:sz="4" w:space="0" w:color="auto"/>
            </w:tcBorders>
            <w:shd w:val="clear" w:color="auto" w:fill="auto"/>
            <w:noWrap/>
            <w:vAlign w:val="bottom"/>
            <w:hideMark/>
          </w:tcPr>
          <w:p w:rsidR="00C75A88" w:rsidRPr="00B17C43" w:rsidRDefault="00C75A88" w:rsidP="00C75A88">
            <w:pPr>
              <w:jc w:val="right"/>
              <w:rPr>
                <w:rFonts w:cs="Calibri"/>
                <w:b/>
                <w:bCs/>
                <w:sz w:val="18"/>
                <w:szCs w:val="18"/>
                <w:lang w:val="en-US" w:eastAsia="en-US"/>
              </w:rPr>
            </w:pPr>
            <w:r w:rsidRPr="00B17C43">
              <w:rPr>
                <w:rFonts w:cs="Calibri"/>
                <w:b/>
                <w:bCs/>
                <w:sz w:val="18"/>
                <w:szCs w:val="18"/>
                <w:lang w:val="en-US" w:eastAsia="en-US"/>
              </w:rPr>
              <w:t>-872 272</w:t>
            </w:r>
          </w:p>
        </w:tc>
        <w:tc>
          <w:tcPr>
            <w:tcW w:w="647" w:type="dxa"/>
            <w:tcBorders>
              <w:top w:val="nil"/>
              <w:left w:val="nil"/>
              <w:bottom w:val="double" w:sz="6" w:space="0" w:color="auto"/>
              <w:right w:val="single" w:sz="4" w:space="0" w:color="auto"/>
            </w:tcBorders>
            <w:shd w:val="clear" w:color="auto" w:fill="auto"/>
            <w:noWrap/>
            <w:vAlign w:val="bottom"/>
            <w:hideMark/>
          </w:tcPr>
          <w:p w:rsidR="00C75A88" w:rsidRPr="00B17C43" w:rsidRDefault="00C75A88" w:rsidP="00C75A88">
            <w:pPr>
              <w:jc w:val="right"/>
              <w:rPr>
                <w:rFonts w:cs="Calibri"/>
                <w:b/>
                <w:bCs/>
                <w:sz w:val="18"/>
                <w:szCs w:val="18"/>
                <w:lang w:val="en-US" w:eastAsia="en-US"/>
              </w:rPr>
            </w:pPr>
            <w:r w:rsidRPr="00B17C43">
              <w:rPr>
                <w:rFonts w:cs="Calibri"/>
                <w:b/>
                <w:bCs/>
                <w:sz w:val="18"/>
                <w:szCs w:val="18"/>
                <w:lang w:val="en-US" w:eastAsia="en-US"/>
              </w:rPr>
              <w:t>-1</w:t>
            </w:r>
          </w:p>
        </w:tc>
        <w:tc>
          <w:tcPr>
            <w:tcW w:w="1112" w:type="dxa"/>
            <w:tcBorders>
              <w:top w:val="nil"/>
              <w:left w:val="nil"/>
              <w:bottom w:val="double" w:sz="6" w:space="0" w:color="auto"/>
              <w:right w:val="single" w:sz="4" w:space="0" w:color="auto"/>
            </w:tcBorders>
            <w:shd w:val="clear" w:color="auto" w:fill="auto"/>
            <w:noWrap/>
            <w:vAlign w:val="bottom"/>
            <w:hideMark/>
          </w:tcPr>
          <w:p w:rsidR="00C75A88" w:rsidRPr="00B17C43" w:rsidRDefault="00C75A88" w:rsidP="00C75A88">
            <w:pPr>
              <w:jc w:val="right"/>
              <w:rPr>
                <w:rFonts w:cs="Calibri"/>
                <w:b/>
                <w:bCs/>
                <w:sz w:val="18"/>
                <w:szCs w:val="18"/>
                <w:lang w:val="en-US" w:eastAsia="en-US"/>
              </w:rPr>
            </w:pPr>
            <w:r w:rsidRPr="00B17C43">
              <w:rPr>
                <w:rFonts w:cs="Calibri"/>
                <w:b/>
                <w:bCs/>
                <w:sz w:val="18"/>
                <w:szCs w:val="18"/>
                <w:lang w:val="en-US" w:eastAsia="en-US"/>
              </w:rPr>
              <w:t>-53 647</w:t>
            </w:r>
          </w:p>
        </w:tc>
      </w:tr>
    </w:tbl>
    <w:p w:rsidR="00C75A88" w:rsidRPr="00791ED4" w:rsidRDefault="00C75A88" w:rsidP="00C75A88">
      <w:pPr>
        <w:ind w:left="720"/>
        <w:jc w:val="both"/>
        <w:rPr>
          <w:highlight w:val="yellow"/>
        </w:rPr>
      </w:pPr>
    </w:p>
    <w:p w:rsidR="00C75A88" w:rsidRPr="00475872" w:rsidRDefault="00C75A88" w:rsidP="00C75A88">
      <w:pPr>
        <w:numPr>
          <w:ilvl w:val="0"/>
          <w:numId w:val="8"/>
        </w:numPr>
        <w:spacing w:line="276" w:lineRule="auto"/>
        <w:jc w:val="both"/>
      </w:pPr>
      <w:r w:rsidRPr="00475872">
        <w:rPr>
          <w:lang w:val="ru-RU"/>
        </w:rPr>
        <w:t xml:space="preserve">През 2017 г. е предвидено извършване на един голям периодичен ремонт </w:t>
      </w:r>
      <w:r w:rsidRPr="00475872">
        <w:rPr>
          <w:lang w:val="en-US"/>
        </w:rPr>
        <w:t>(</w:t>
      </w:r>
      <w:r w:rsidRPr="00475872">
        <w:t>ГПР</w:t>
      </w:r>
      <w:r w:rsidRPr="00475872">
        <w:rPr>
          <w:lang w:val="en-US"/>
        </w:rPr>
        <w:t>)</w:t>
      </w:r>
      <w:r w:rsidRPr="00475872">
        <w:t xml:space="preserve"> </w:t>
      </w:r>
      <w:r w:rsidRPr="00475872">
        <w:rPr>
          <w:lang w:val="ru-RU"/>
        </w:rPr>
        <w:t xml:space="preserve">и 14 подемни ремонта в депа на </w:t>
      </w:r>
      <w:r w:rsidRPr="00475872">
        <w:rPr>
          <w:u w:val="single"/>
        </w:rPr>
        <w:t>„БДЖ – Товарни превози” ЕООД</w:t>
      </w:r>
      <w:r w:rsidRPr="00475872">
        <w:t>. Отчетени са пет подемни ремонта, извършени в ЛД Стара Загора – локомотиви 43-515 и 55-123, в ЛД Русе – локомотиви 45-165, 07-001 и 43-553. През съответния период на 2016 г. са отчетени 6 подемни ремонта.</w:t>
      </w:r>
    </w:p>
    <w:p w:rsidR="00C75A88" w:rsidRDefault="00C75A88" w:rsidP="00C75A88">
      <w:pPr>
        <w:rPr>
          <w:b/>
          <w:i/>
          <w:lang w:val="en-US"/>
        </w:rPr>
      </w:pPr>
      <w:r w:rsidRPr="00407F2A">
        <w:rPr>
          <w:b/>
          <w:i/>
          <w:lang w:val="ru-RU"/>
        </w:rPr>
        <w:t>В заводи на жп промишлеността</w:t>
      </w:r>
    </w:p>
    <w:tbl>
      <w:tblPr>
        <w:tblW w:w="10169" w:type="dxa"/>
        <w:tblInd w:w="-176" w:type="dxa"/>
        <w:tblLayout w:type="fixed"/>
        <w:tblLook w:val="04A0" w:firstRow="1" w:lastRow="0" w:firstColumn="1" w:lastColumn="0" w:noHBand="0" w:noVBand="1"/>
      </w:tblPr>
      <w:tblGrid>
        <w:gridCol w:w="705"/>
        <w:gridCol w:w="843"/>
        <w:gridCol w:w="704"/>
        <w:gridCol w:w="984"/>
        <w:gridCol w:w="704"/>
        <w:gridCol w:w="984"/>
        <w:gridCol w:w="704"/>
        <w:gridCol w:w="984"/>
        <w:gridCol w:w="704"/>
        <w:gridCol w:w="984"/>
        <w:gridCol w:w="814"/>
        <w:gridCol w:w="1055"/>
      </w:tblGrid>
      <w:tr w:rsidR="00C75A88" w:rsidRPr="00380B5F" w:rsidTr="00C75A88">
        <w:trPr>
          <w:trHeight w:val="294"/>
        </w:trPr>
        <w:tc>
          <w:tcPr>
            <w:tcW w:w="705"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75A88" w:rsidRPr="00380B5F" w:rsidRDefault="00C75A88" w:rsidP="00C75A88">
            <w:pPr>
              <w:jc w:val="center"/>
              <w:rPr>
                <w:rFonts w:cs="Calibri"/>
                <w:b/>
                <w:bCs/>
                <w:sz w:val="18"/>
                <w:szCs w:val="18"/>
                <w:lang w:val="en-US" w:eastAsia="en-US"/>
              </w:rPr>
            </w:pPr>
            <w:r w:rsidRPr="00380B5F">
              <w:rPr>
                <w:rFonts w:cs="Calibri"/>
                <w:b/>
                <w:bCs/>
                <w:sz w:val="18"/>
                <w:szCs w:val="18"/>
                <w:lang w:val="en-US" w:eastAsia="en-US"/>
              </w:rPr>
              <w:t>ПР</w:t>
            </w:r>
          </w:p>
        </w:tc>
        <w:tc>
          <w:tcPr>
            <w:tcW w:w="843" w:type="dxa"/>
            <w:vMerge w:val="restart"/>
            <w:tcBorders>
              <w:top w:val="single" w:sz="4" w:space="0" w:color="auto"/>
              <w:left w:val="single" w:sz="4" w:space="0" w:color="auto"/>
              <w:bottom w:val="single" w:sz="4" w:space="0" w:color="000000"/>
              <w:right w:val="single" w:sz="4" w:space="0" w:color="auto"/>
            </w:tcBorders>
            <w:shd w:val="clear" w:color="000000" w:fill="FFFFFF"/>
            <w:hideMark/>
          </w:tcPr>
          <w:p w:rsidR="00C75A88" w:rsidRPr="00380B5F" w:rsidRDefault="00C75A88" w:rsidP="00C75A88">
            <w:pPr>
              <w:jc w:val="center"/>
              <w:rPr>
                <w:rFonts w:cs="Calibri"/>
                <w:b/>
                <w:bCs/>
                <w:sz w:val="18"/>
                <w:szCs w:val="18"/>
                <w:lang w:val="en-US" w:eastAsia="en-US"/>
              </w:rPr>
            </w:pPr>
            <w:r w:rsidRPr="00380B5F">
              <w:rPr>
                <w:rFonts w:cs="Calibri"/>
                <w:b/>
                <w:bCs/>
                <w:sz w:val="18"/>
                <w:szCs w:val="18"/>
                <w:lang w:val="en-US" w:eastAsia="en-US"/>
              </w:rPr>
              <w:t>Серия</w:t>
            </w:r>
          </w:p>
        </w:tc>
        <w:tc>
          <w:tcPr>
            <w:tcW w:w="1688" w:type="dxa"/>
            <w:gridSpan w:val="2"/>
            <w:tcBorders>
              <w:top w:val="single" w:sz="4" w:space="0" w:color="auto"/>
              <w:left w:val="nil"/>
              <w:bottom w:val="single" w:sz="4" w:space="0" w:color="auto"/>
              <w:right w:val="single" w:sz="4" w:space="0" w:color="000000"/>
            </w:tcBorders>
            <w:shd w:val="clear" w:color="auto" w:fill="auto"/>
            <w:hideMark/>
          </w:tcPr>
          <w:p w:rsidR="00C75A88" w:rsidRPr="00380B5F" w:rsidRDefault="00C75A88" w:rsidP="00C75A88">
            <w:pPr>
              <w:jc w:val="center"/>
              <w:rPr>
                <w:rFonts w:cs="Calibri"/>
                <w:b/>
                <w:bCs/>
                <w:sz w:val="18"/>
                <w:szCs w:val="18"/>
                <w:lang w:val="en-US" w:eastAsia="en-US"/>
              </w:rPr>
            </w:pPr>
            <w:r w:rsidRPr="00380B5F">
              <w:rPr>
                <w:rFonts w:cs="Calibri"/>
                <w:b/>
                <w:bCs/>
                <w:sz w:val="18"/>
                <w:szCs w:val="18"/>
                <w:lang w:val="en-US" w:eastAsia="en-US"/>
              </w:rPr>
              <w:t>отчет  2017 г.</w:t>
            </w:r>
          </w:p>
        </w:tc>
        <w:tc>
          <w:tcPr>
            <w:tcW w:w="1688" w:type="dxa"/>
            <w:gridSpan w:val="2"/>
            <w:tcBorders>
              <w:top w:val="single" w:sz="4" w:space="0" w:color="auto"/>
              <w:left w:val="nil"/>
              <w:bottom w:val="single" w:sz="4" w:space="0" w:color="auto"/>
              <w:right w:val="single" w:sz="4" w:space="0" w:color="000000"/>
            </w:tcBorders>
            <w:shd w:val="clear" w:color="auto" w:fill="auto"/>
            <w:hideMark/>
          </w:tcPr>
          <w:p w:rsidR="00C75A88" w:rsidRPr="00380B5F" w:rsidRDefault="00C75A88" w:rsidP="00C75A88">
            <w:pPr>
              <w:jc w:val="center"/>
              <w:rPr>
                <w:rFonts w:cs="Calibri"/>
                <w:b/>
                <w:bCs/>
                <w:sz w:val="18"/>
                <w:szCs w:val="18"/>
                <w:lang w:val="en-US" w:eastAsia="en-US"/>
              </w:rPr>
            </w:pPr>
            <w:r w:rsidRPr="00380B5F">
              <w:rPr>
                <w:rFonts w:cs="Calibri"/>
                <w:b/>
                <w:bCs/>
                <w:sz w:val="18"/>
                <w:szCs w:val="18"/>
                <w:lang w:val="en-US" w:eastAsia="en-US"/>
              </w:rPr>
              <w:t>бюджет 2017 г.</w:t>
            </w:r>
          </w:p>
        </w:tc>
        <w:tc>
          <w:tcPr>
            <w:tcW w:w="1688" w:type="dxa"/>
            <w:gridSpan w:val="2"/>
            <w:tcBorders>
              <w:top w:val="single" w:sz="4" w:space="0" w:color="auto"/>
              <w:left w:val="nil"/>
              <w:bottom w:val="single" w:sz="4" w:space="0" w:color="auto"/>
              <w:right w:val="single" w:sz="4" w:space="0" w:color="000000"/>
            </w:tcBorders>
            <w:shd w:val="clear" w:color="auto" w:fill="auto"/>
            <w:hideMark/>
          </w:tcPr>
          <w:p w:rsidR="00C75A88" w:rsidRPr="00380B5F" w:rsidRDefault="00C75A88" w:rsidP="00C75A88">
            <w:pPr>
              <w:jc w:val="center"/>
              <w:rPr>
                <w:rFonts w:cs="Calibri"/>
                <w:b/>
                <w:bCs/>
                <w:sz w:val="18"/>
                <w:szCs w:val="18"/>
                <w:lang w:val="en-US" w:eastAsia="en-US"/>
              </w:rPr>
            </w:pPr>
            <w:r w:rsidRPr="00380B5F">
              <w:rPr>
                <w:rFonts w:cs="Calibri"/>
                <w:b/>
                <w:bCs/>
                <w:sz w:val="18"/>
                <w:szCs w:val="18"/>
                <w:lang w:val="en-US" w:eastAsia="en-US"/>
              </w:rPr>
              <w:t>отчет 2016 г.</w:t>
            </w:r>
          </w:p>
        </w:tc>
        <w:tc>
          <w:tcPr>
            <w:tcW w:w="1688" w:type="dxa"/>
            <w:gridSpan w:val="2"/>
            <w:tcBorders>
              <w:top w:val="single" w:sz="4" w:space="0" w:color="auto"/>
              <w:left w:val="nil"/>
              <w:bottom w:val="single" w:sz="4" w:space="0" w:color="auto"/>
              <w:right w:val="single" w:sz="4" w:space="0" w:color="000000"/>
            </w:tcBorders>
            <w:shd w:val="clear" w:color="auto" w:fill="auto"/>
            <w:hideMark/>
          </w:tcPr>
          <w:p w:rsidR="00C75A88" w:rsidRPr="00380B5F" w:rsidRDefault="00C75A88" w:rsidP="00C75A88">
            <w:pPr>
              <w:jc w:val="center"/>
              <w:rPr>
                <w:rFonts w:cs="Calibri"/>
                <w:b/>
                <w:bCs/>
                <w:sz w:val="18"/>
                <w:szCs w:val="18"/>
                <w:lang w:val="en-US" w:eastAsia="en-US"/>
              </w:rPr>
            </w:pPr>
            <w:r w:rsidRPr="00380B5F">
              <w:rPr>
                <w:rFonts w:cs="Calibri"/>
                <w:b/>
                <w:bCs/>
                <w:sz w:val="18"/>
                <w:szCs w:val="18"/>
                <w:lang w:val="en-US" w:eastAsia="en-US"/>
              </w:rPr>
              <w:t>+/- отчет/бюджет</w:t>
            </w:r>
          </w:p>
        </w:tc>
        <w:tc>
          <w:tcPr>
            <w:tcW w:w="1869" w:type="dxa"/>
            <w:gridSpan w:val="2"/>
            <w:tcBorders>
              <w:top w:val="single" w:sz="4" w:space="0" w:color="auto"/>
              <w:left w:val="nil"/>
              <w:bottom w:val="single" w:sz="4" w:space="0" w:color="auto"/>
              <w:right w:val="single" w:sz="4" w:space="0" w:color="000000"/>
            </w:tcBorders>
            <w:shd w:val="clear" w:color="auto" w:fill="auto"/>
            <w:hideMark/>
          </w:tcPr>
          <w:p w:rsidR="00C75A88" w:rsidRPr="00380B5F" w:rsidRDefault="00C75A88" w:rsidP="00C75A88">
            <w:pPr>
              <w:jc w:val="center"/>
              <w:rPr>
                <w:rFonts w:cs="Calibri"/>
                <w:b/>
                <w:bCs/>
                <w:sz w:val="18"/>
                <w:szCs w:val="18"/>
                <w:lang w:val="en-US" w:eastAsia="en-US"/>
              </w:rPr>
            </w:pPr>
            <w:r w:rsidRPr="00380B5F">
              <w:rPr>
                <w:rFonts w:cs="Calibri"/>
                <w:b/>
                <w:bCs/>
                <w:sz w:val="18"/>
                <w:szCs w:val="18"/>
                <w:lang w:val="en-US" w:eastAsia="en-US"/>
              </w:rPr>
              <w:t>+/- отчет 2017/2016</w:t>
            </w:r>
          </w:p>
        </w:tc>
      </w:tr>
      <w:tr w:rsidR="00C75A88" w:rsidRPr="00380B5F" w:rsidTr="00C75A88">
        <w:trPr>
          <w:trHeight w:val="232"/>
        </w:trPr>
        <w:tc>
          <w:tcPr>
            <w:tcW w:w="705" w:type="dxa"/>
            <w:vMerge/>
            <w:tcBorders>
              <w:top w:val="single" w:sz="4" w:space="0" w:color="auto"/>
              <w:left w:val="single" w:sz="4" w:space="0" w:color="auto"/>
              <w:bottom w:val="single" w:sz="4" w:space="0" w:color="000000"/>
              <w:right w:val="single" w:sz="4" w:space="0" w:color="auto"/>
            </w:tcBorders>
            <w:vAlign w:val="center"/>
            <w:hideMark/>
          </w:tcPr>
          <w:p w:rsidR="00C75A88" w:rsidRPr="00380B5F" w:rsidRDefault="00C75A88" w:rsidP="00C75A88">
            <w:pPr>
              <w:rPr>
                <w:rFonts w:cs="Calibri"/>
                <w:b/>
                <w:bCs/>
                <w:sz w:val="18"/>
                <w:szCs w:val="18"/>
                <w:lang w:val="en-US" w:eastAsia="en-US"/>
              </w:rPr>
            </w:pPr>
          </w:p>
        </w:tc>
        <w:tc>
          <w:tcPr>
            <w:tcW w:w="843" w:type="dxa"/>
            <w:vMerge/>
            <w:tcBorders>
              <w:top w:val="single" w:sz="4" w:space="0" w:color="auto"/>
              <w:left w:val="single" w:sz="4" w:space="0" w:color="auto"/>
              <w:bottom w:val="single" w:sz="4" w:space="0" w:color="000000"/>
              <w:right w:val="single" w:sz="4" w:space="0" w:color="auto"/>
            </w:tcBorders>
            <w:vAlign w:val="center"/>
            <w:hideMark/>
          </w:tcPr>
          <w:p w:rsidR="00C75A88" w:rsidRPr="00380B5F" w:rsidRDefault="00C75A88" w:rsidP="00C75A88">
            <w:pPr>
              <w:rPr>
                <w:rFonts w:cs="Calibri"/>
                <w:b/>
                <w:bCs/>
                <w:sz w:val="18"/>
                <w:szCs w:val="18"/>
                <w:lang w:val="en-US" w:eastAsia="en-US"/>
              </w:rPr>
            </w:pPr>
          </w:p>
        </w:tc>
        <w:tc>
          <w:tcPr>
            <w:tcW w:w="704"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6"/>
                <w:szCs w:val="16"/>
                <w:lang w:val="en-US" w:eastAsia="en-US"/>
              </w:rPr>
            </w:pPr>
            <w:r w:rsidRPr="00380B5F">
              <w:rPr>
                <w:rFonts w:cs="Calibri"/>
                <w:b/>
                <w:bCs/>
                <w:sz w:val="16"/>
                <w:szCs w:val="16"/>
                <w:lang w:val="en-US" w:eastAsia="en-US"/>
              </w:rPr>
              <w:t>бр.</w:t>
            </w:r>
          </w:p>
        </w:tc>
        <w:tc>
          <w:tcPr>
            <w:tcW w:w="984"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6"/>
                <w:szCs w:val="16"/>
                <w:lang w:val="en-US" w:eastAsia="en-US"/>
              </w:rPr>
            </w:pPr>
            <w:r w:rsidRPr="00380B5F">
              <w:rPr>
                <w:rFonts w:cs="Calibri"/>
                <w:b/>
                <w:bCs/>
                <w:sz w:val="16"/>
                <w:szCs w:val="16"/>
                <w:lang w:val="en-US" w:eastAsia="en-US"/>
              </w:rPr>
              <w:t>ст-ст (лв)</w:t>
            </w:r>
          </w:p>
        </w:tc>
        <w:tc>
          <w:tcPr>
            <w:tcW w:w="704"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6"/>
                <w:szCs w:val="16"/>
                <w:lang w:val="en-US" w:eastAsia="en-US"/>
              </w:rPr>
            </w:pPr>
            <w:r w:rsidRPr="00380B5F">
              <w:rPr>
                <w:rFonts w:cs="Calibri"/>
                <w:b/>
                <w:bCs/>
                <w:sz w:val="16"/>
                <w:szCs w:val="16"/>
                <w:lang w:val="en-US" w:eastAsia="en-US"/>
              </w:rPr>
              <w:t>бр.</w:t>
            </w:r>
          </w:p>
        </w:tc>
        <w:tc>
          <w:tcPr>
            <w:tcW w:w="984"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6"/>
                <w:szCs w:val="16"/>
                <w:lang w:val="en-US" w:eastAsia="en-US"/>
              </w:rPr>
            </w:pPr>
            <w:r w:rsidRPr="00380B5F">
              <w:rPr>
                <w:rFonts w:cs="Calibri"/>
                <w:b/>
                <w:bCs/>
                <w:sz w:val="16"/>
                <w:szCs w:val="16"/>
                <w:lang w:val="en-US" w:eastAsia="en-US"/>
              </w:rPr>
              <w:t>ст-ст (лв)</w:t>
            </w:r>
          </w:p>
        </w:tc>
        <w:tc>
          <w:tcPr>
            <w:tcW w:w="704"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6"/>
                <w:szCs w:val="16"/>
                <w:lang w:val="en-US" w:eastAsia="en-US"/>
              </w:rPr>
            </w:pPr>
            <w:r w:rsidRPr="00380B5F">
              <w:rPr>
                <w:rFonts w:cs="Calibri"/>
                <w:b/>
                <w:bCs/>
                <w:sz w:val="16"/>
                <w:szCs w:val="16"/>
                <w:lang w:val="en-US" w:eastAsia="en-US"/>
              </w:rPr>
              <w:t>бр.</w:t>
            </w:r>
          </w:p>
        </w:tc>
        <w:tc>
          <w:tcPr>
            <w:tcW w:w="984"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6"/>
                <w:szCs w:val="16"/>
                <w:lang w:val="en-US" w:eastAsia="en-US"/>
              </w:rPr>
            </w:pPr>
            <w:r w:rsidRPr="00380B5F">
              <w:rPr>
                <w:rFonts w:cs="Calibri"/>
                <w:b/>
                <w:bCs/>
                <w:sz w:val="16"/>
                <w:szCs w:val="16"/>
                <w:lang w:val="en-US" w:eastAsia="en-US"/>
              </w:rPr>
              <w:t>ст-ст (лв)</w:t>
            </w:r>
          </w:p>
        </w:tc>
        <w:tc>
          <w:tcPr>
            <w:tcW w:w="704"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6"/>
                <w:szCs w:val="16"/>
                <w:lang w:val="en-US" w:eastAsia="en-US"/>
              </w:rPr>
            </w:pPr>
            <w:r w:rsidRPr="00380B5F">
              <w:rPr>
                <w:rFonts w:cs="Calibri"/>
                <w:b/>
                <w:bCs/>
                <w:sz w:val="16"/>
                <w:szCs w:val="16"/>
                <w:lang w:val="en-US" w:eastAsia="en-US"/>
              </w:rPr>
              <w:t>бр.</w:t>
            </w:r>
          </w:p>
        </w:tc>
        <w:tc>
          <w:tcPr>
            <w:tcW w:w="984"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6"/>
                <w:szCs w:val="16"/>
                <w:lang w:val="en-US" w:eastAsia="en-US"/>
              </w:rPr>
            </w:pPr>
            <w:r w:rsidRPr="00380B5F">
              <w:rPr>
                <w:rFonts w:cs="Calibri"/>
                <w:b/>
                <w:bCs/>
                <w:sz w:val="16"/>
                <w:szCs w:val="16"/>
                <w:lang w:val="en-US" w:eastAsia="en-US"/>
              </w:rPr>
              <w:t>ст-ст (лв)</w:t>
            </w:r>
          </w:p>
        </w:tc>
        <w:tc>
          <w:tcPr>
            <w:tcW w:w="814"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6"/>
                <w:szCs w:val="16"/>
                <w:lang w:val="en-US" w:eastAsia="en-US"/>
              </w:rPr>
            </w:pPr>
            <w:r w:rsidRPr="00380B5F">
              <w:rPr>
                <w:rFonts w:cs="Calibri"/>
                <w:b/>
                <w:bCs/>
                <w:sz w:val="16"/>
                <w:szCs w:val="16"/>
                <w:lang w:val="en-US" w:eastAsia="en-US"/>
              </w:rPr>
              <w:t>бр.</w:t>
            </w:r>
          </w:p>
        </w:tc>
        <w:tc>
          <w:tcPr>
            <w:tcW w:w="1055"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6"/>
                <w:szCs w:val="16"/>
                <w:lang w:val="en-US" w:eastAsia="en-US"/>
              </w:rPr>
            </w:pPr>
            <w:r w:rsidRPr="00380B5F">
              <w:rPr>
                <w:rFonts w:cs="Calibri"/>
                <w:b/>
                <w:bCs/>
                <w:sz w:val="16"/>
                <w:szCs w:val="16"/>
                <w:lang w:val="en-US" w:eastAsia="en-US"/>
              </w:rPr>
              <w:t>ст-ст (лв)</w:t>
            </w:r>
          </w:p>
        </w:tc>
      </w:tr>
      <w:tr w:rsidR="00C75A88" w:rsidRPr="00380B5F" w:rsidTr="00C75A88">
        <w:trPr>
          <w:trHeight w:val="232"/>
        </w:trPr>
        <w:tc>
          <w:tcPr>
            <w:tcW w:w="705" w:type="dxa"/>
            <w:vMerge/>
            <w:tcBorders>
              <w:top w:val="single" w:sz="4" w:space="0" w:color="auto"/>
              <w:left w:val="single" w:sz="4" w:space="0" w:color="auto"/>
              <w:bottom w:val="single" w:sz="4" w:space="0" w:color="000000"/>
              <w:right w:val="single" w:sz="4" w:space="0" w:color="auto"/>
            </w:tcBorders>
            <w:vAlign w:val="center"/>
            <w:hideMark/>
          </w:tcPr>
          <w:p w:rsidR="00C75A88" w:rsidRPr="00380B5F" w:rsidRDefault="00C75A88" w:rsidP="00C75A88">
            <w:pPr>
              <w:rPr>
                <w:rFonts w:cs="Calibri"/>
                <w:b/>
                <w:bCs/>
                <w:sz w:val="18"/>
                <w:szCs w:val="18"/>
                <w:lang w:val="en-US" w:eastAsia="en-US"/>
              </w:rPr>
            </w:pPr>
          </w:p>
        </w:tc>
        <w:tc>
          <w:tcPr>
            <w:tcW w:w="843" w:type="dxa"/>
            <w:tcBorders>
              <w:top w:val="nil"/>
              <w:left w:val="nil"/>
              <w:bottom w:val="nil"/>
              <w:right w:val="single" w:sz="4" w:space="0" w:color="auto"/>
            </w:tcBorders>
            <w:shd w:val="clear" w:color="000000" w:fill="FFFFFF"/>
            <w:noWrap/>
            <w:vAlign w:val="center"/>
            <w:hideMark/>
          </w:tcPr>
          <w:p w:rsidR="00C75A88" w:rsidRPr="00380B5F" w:rsidRDefault="00C75A88" w:rsidP="00C75A88">
            <w:pPr>
              <w:jc w:val="center"/>
              <w:rPr>
                <w:rFonts w:cs="Calibri"/>
                <w:b/>
                <w:bCs/>
                <w:sz w:val="18"/>
                <w:szCs w:val="18"/>
                <w:lang w:val="en-US" w:eastAsia="en-US"/>
              </w:rPr>
            </w:pPr>
            <w:r w:rsidRPr="00380B5F">
              <w:rPr>
                <w:rFonts w:cs="Calibri"/>
                <w:b/>
                <w:bCs/>
                <w:sz w:val="18"/>
                <w:szCs w:val="18"/>
                <w:lang w:val="en-US" w:eastAsia="en-US"/>
              </w:rPr>
              <w:t>43</w:t>
            </w:r>
          </w:p>
        </w:tc>
        <w:tc>
          <w:tcPr>
            <w:tcW w:w="70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0</w:t>
            </w:r>
          </w:p>
        </w:tc>
        <w:tc>
          <w:tcPr>
            <w:tcW w:w="98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0</w:t>
            </w:r>
          </w:p>
        </w:tc>
        <w:tc>
          <w:tcPr>
            <w:tcW w:w="70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2</w:t>
            </w:r>
          </w:p>
        </w:tc>
        <w:tc>
          <w:tcPr>
            <w:tcW w:w="98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900 000</w:t>
            </w:r>
          </w:p>
        </w:tc>
        <w:tc>
          <w:tcPr>
            <w:tcW w:w="70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0</w:t>
            </w:r>
          </w:p>
        </w:tc>
        <w:tc>
          <w:tcPr>
            <w:tcW w:w="98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0</w:t>
            </w:r>
          </w:p>
        </w:tc>
        <w:tc>
          <w:tcPr>
            <w:tcW w:w="704" w:type="dxa"/>
            <w:tcBorders>
              <w:top w:val="nil"/>
              <w:left w:val="nil"/>
              <w:bottom w:val="single" w:sz="4" w:space="0" w:color="auto"/>
              <w:right w:val="single" w:sz="4" w:space="0" w:color="auto"/>
            </w:tcBorders>
            <w:shd w:val="clear" w:color="auto" w:fill="auto"/>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-2</w:t>
            </w:r>
          </w:p>
        </w:tc>
        <w:tc>
          <w:tcPr>
            <w:tcW w:w="984" w:type="dxa"/>
            <w:tcBorders>
              <w:top w:val="nil"/>
              <w:left w:val="nil"/>
              <w:bottom w:val="single" w:sz="4" w:space="0" w:color="auto"/>
              <w:right w:val="single" w:sz="4" w:space="0" w:color="auto"/>
            </w:tcBorders>
            <w:shd w:val="clear" w:color="auto" w:fill="auto"/>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-900 000</w:t>
            </w:r>
          </w:p>
        </w:tc>
        <w:tc>
          <w:tcPr>
            <w:tcW w:w="81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0</w:t>
            </w:r>
          </w:p>
        </w:tc>
        <w:tc>
          <w:tcPr>
            <w:tcW w:w="1055"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0</w:t>
            </w:r>
          </w:p>
        </w:tc>
      </w:tr>
      <w:tr w:rsidR="00C75A88" w:rsidRPr="00380B5F" w:rsidTr="00C75A88">
        <w:trPr>
          <w:trHeight w:val="232"/>
        </w:trPr>
        <w:tc>
          <w:tcPr>
            <w:tcW w:w="705" w:type="dxa"/>
            <w:vMerge/>
            <w:tcBorders>
              <w:top w:val="single" w:sz="4" w:space="0" w:color="auto"/>
              <w:left w:val="single" w:sz="4" w:space="0" w:color="auto"/>
              <w:bottom w:val="single" w:sz="4" w:space="0" w:color="000000"/>
              <w:right w:val="single" w:sz="4" w:space="0" w:color="auto"/>
            </w:tcBorders>
            <w:vAlign w:val="center"/>
            <w:hideMark/>
          </w:tcPr>
          <w:p w:rsidR="00C75A88" w:rsidRPr="00380B5F" w:rsidRDefault="00C75A88" w:rsidP="00C75A88">
            <w:pPr>
              <w:rPr>
                <w:rFonts w:cs="Calibri"/>
                <w:b/>
                <w:bCs/>
                <w:sz w:val="18"/>
                <w:szCs w:val="18"/>
                <w:lang w:val="en-US" w:eastAsia="en-US"/>
              </w:rPr>
            </w:pPr>
          </w:p>
        </w:tc>
        <w:tc>
          <w:tcPr>
            <w:tcW w:w="843" w:type="dxa"/>
            <w:tcBorders>
              <w:top w:val="single" w:sz="4" w:space="0" w:color="000000"/>
              <w:left w:val="nil"/>
              <w:bottom w:val="nil"/>
              <w:right w:val="single" w:sz="4" w:space="0" w:color="auto"/>
            </w:tcBorders>
            <w:shd w:val="clear" w:color="000000" w:fill="FFFFFF"/>
            <w:noWrap/>
            <w:vAlign w:val="center"/>
            <w:hideMark/>
          </w:tcPr>
          <w:p w:rsidR="00C75A88" w:rsidRPr="00380B5F" w:rsidRDefault="00C75A88" w:rsidP="00C75A88">
            <w:pPr>
              <w:jc w:val="center"/>
              <w:rPr>
                <w:rFonts w:cs="Calibri"/>
                <w:b/>
                <w:bCs/>
                <w:sz w:val="18"/>
                <w:szCs w:val="18"/>
                <w:lang w:val="en-US" w:eastAsia="en-US"/>
              </w:rPr>
            </w:pPr>
            <w:r w:rsidRPr="00380B5F">
              <w:rPr>
                <w:rFonts w:cs="Calibri"/>
                <w:b/>
                <w:bCs/>
                <w:sz w:val="18"/>
                <w:szCs w:val="18"/>
                <w:lang w:val="en-US" w:eastAsia="en-US"/>
              </w:rPr>
              <w:t>46</w:t>
            </w:r>
          </w:p>
        </w:tc>
        <w:tc>
          <w:tcPr>
            <w:tcW w:w="70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1</w:t>
            </w:r>
          </w:p>
        </w:tc>
        <w:tc>
          <w:tcPr>
            <w:tcW w:w="98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450 000</w:t>
            </w:r>
          </w:p>
        </w:tc>
        <w:tc>
          <w:tcPr>
            <w:tcW w:w="70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0</w:t>
            </w:r>
          </w:p>
        </w:tc>
        <w:tc>
          <w:tcPr>
            <w:tcW w:w="98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0</w:t>
            </w:r>
          </w:p>
        </w:tc>
        <w:tc>
          <w:tcPr>
            <w:tcW w:w="70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0</w:t>
            </w:r>
          </w:p>
        </w:tc>
        <w:tc>
          <w:tcPr>
            <w:tcW w:w="98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0</w:t>
            </w:r>
          </w:p>
        </w:tc>
        <w:tc>
          <w:tcPr>
            <w:tcW w:w="704" w:type="dxa"/>
            <w:tcBorders>
              <w:top w:val="nil"/>
              <w:left w:val="nil"/>
              <w:bottom w:val="single" w:sz="4" w:space="0" w:color="auto"/>
              <w:right w:val="single" w:sz="4" w:space="0" w:color="auto"/>
            </w:tcBorders>
            <w:shd w:val="clear" w:color="auto" w:fill="auto"/>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1</w:t>
            </w:r>
          </w:p>
        </w:tc>
        <w:tc>
          <w:tcPr>
            <w:tcW w:w="984" w:type="dxa"/>
            <w:tcBorders>
              <w:top w:val="nil"/>
              <w:left w:val="nil"/>
              <w:bottom w:val="single" w:sz="4" w:space="0" w:color="auto"/>
              <w:right w:val="single" w:sz="4" w:space="0" w:color="auto"/>
            </w:tcBorders>
            <w:shd w:val="clear" w:color="auto" w:fill="auto"/>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450 000</w:t>
            </w:r>
          </w:p>
        </w:tc>
        <w:tc>
          <w:tcPr>
            <w:tcW w:w="81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1</w:t>
            </w:r>
          </w:p>
        </w:tc>
        <w:tc>
          <w:tcPr>
            <w:tcW w:w="1055"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450 000</w:t>
            </w:r>
          </w:p>
        </w:tc>
      </w:tr>
      <w:tr w:rsidR="00C75A88" w:rsidRPr="00380B5F" w:rsidTr="00C75A88">
        <w:trPr>
          <w:trHeight w:val="232"/>
        </w:trPr>
        <w:tc>
          <w:tcPr>
            <w:tcW w:w="705" w:type="dxa"/>
            <w:vMerge/>
            <w:tcBorders>
              <w:top w:val="single" w:sz="4" w:space="0" w:color="auto"/>
              <w:left w:val="single" w:sz="4" w:space="0" w:color="auto"/>
              <w:bottom w:val="single" w:sz="4" w:space="0" w:color="000000"/>
              <w:right w:val="single" w:sz="4" w:space="0" w:color="auto"/>
            </w:tcBorders>
            <w:vAlign w:val="center"/>
            <w:hideMark/>
          </w:tcPr>
          <w:p w:rsidR="00C75A88" w:rsidRPr="00380B5F" w:rsidRDefault="00C75A88" w:rsidP="00C75A88">
            <w:pPr>
              <w:rPr>
                <w:rFonts w:cs="Calibri"/>
                <w:b/>
                <w:bCs/>
                <w:sz w:val="18"/>
                <w:szCs w:val="18"/>
                <w:lang w:val="en-US" w:eastAsia="en-US"/>
              </w:rPr>
            </w:pPr>
          </w:p>
        </w:tc>
        <w:tc>
          <w:tcPr>
            <w:tcW w:w="843" w:type="dxa"/>
            <w:tcBorders>
              <w:top w:val="single" w:sz="4" w:space="0" w:color="000000"/>
              <w:left w:val="nil"/>
              <w:bottom w:val="nil"/>
              <w:right w:val="single" w:sz="4" w:space="0" w:color="auto"/>
            </w:tcBorders>
            <w:shd w:val="clear" w:color="000000" w:fill="FFFFFF"/>
            <w:noWrap/>
            <w:vAlign w:val="center"/>
            <w:hideMark/>
          </w:tcPr>
          <w:p w:rsidR="00C75A88" w:rsidRPr="00380B5F" w:rsidRDefault="00C75A88" w:rsidP="00C75A88">
            <w:pPr>
              <w:jc w:val="center"/>
              <w:rPr>
                <w:rFonts w:cs="Calibri"/>
                <w:b/>
                <w:bCs/>
                <w:sz w:val="18"/>
                <w:szCs w:val="18"/>
                <w:lang w:val="en-US" w:eastAsia="en-US"/>
              </w:rPr>
            </w:pPr>
            <w:r w:rsidRPr="00380B5F">
              <w:rPr>
                <w:rFonts w:cs="Calibri"/>
                <w:b/>
                <w:bCs/>
                <w:sz w:val="18"/>
                <w:szCs w:val="18"/>
                <w:lang w:val="en-US" w:eastAsia="en-US"/>
              </w:rPr>
              <w:t>06</w:t>
            </w:r>
          </w:p>
        </w:tc>
        <w:tc>
          <w:tcPr>
            <w:tcW w:w="70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3</w:t>
            </w:r>
          </w:p>
        </w:tc>
        <w:tc>
          <w:tcPr>
            <w:tcW w:w="98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1 310 771</w:t>
            </w:r>
          </w:p>
        </w:tc>
        <w:tc>
          <w:tcPr>
            <w:tcW w:w="70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2</w:t>
            </w:r>
          </w:p>
        </w:tc>
        <w:tc>
          <w:tcPr>
            <w:tcW w:w="98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1 200 000</w:t>
            </w:r>
          </w:p>
        </w:tc>
        <w:tc>
          <w:tcPr>
            <w:tcW w:w="70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0</w:t>
            </w:r>
          </w:p>
        </w:tc>
        <w:tc>
          <w:tcPr>
            <w:tcW w:w="98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0</w:t>
            </w:r>
          </w:p>
        </w:tc>
        <w:tc>
          <w:tcPr>
            <w:tcW w:w="704" w:type="dxa"/>
            <w:tcBorders>
              <w:top w:val="nil"/>
              <w:left w:val="nil"/>
              <w:bottom w:val="single" w:sz="4" w:space="0" w:color="auto"/>
              <w:right w:val="single" w:sz="4" w:space="0" w:color="auto"/>
            </w:tcBorders>
            <w:shd w:val="clear" w:color="auto" w:fill="auto"/>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1</w:t>
            </w:r>
          </w:p>
        </w:tc>
        <w:tc>
          <w:tcPr>
            <w:tcW w:w="984" w:type="dxa"/>
            <w:tcBorders>
              <w:top w:val="nil"/>
              <w:left w:val="nil"/>
              <w:bottom w:val="single" w:sz="4" w:space="0" w:color="auto"/>
              <w:right w:val="single" w:sz="4" w:space="0" w:color="auto"/>
            </w:tcBorders>
            <w:shd w:val="clear" w:color="auto" w:fill="auto"/>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110 771</w:t>
            </w:r>
          </w:p>
        </w:tc>
        <w:tc>
          <w:tcPr>
            <w:tcW w:w="81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3</w:t>
            </w:r>
          </w:p>
        </w:tc>
        <w:tc>
          <w:tcPr>
            <w:tcW w:w="1055"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1 310 771</w:t>
            </w:r>
          </w:p>
        </w:tc>
      </w:tr>
      <w:tr w:rsidR="00C75A88" w:rsidRPr="00380B5F" w:rsidTr="00C75A88">
        <w:trPr>
          <w:trHeight w:val="232"/>
        </w:trPr>
        <w:tc>
          <w:tcPr>
            <w:tcW w:w="705" w:type="dxa"/>
            <w:vMerge/>
            <w:tcBorders>
              <w:top w:val="single" w:sz="4" w:space="0" w:color="auto"/>
              <w:left w:val="single" w:sz="4" w:space="0" w:color="auto"/>
              <w:bottom w:val="single" w:sz="4" w:space="0" w:color="000000"/>
              <w:right w:val="single" w:sz="4" w:space="0" w:color="auto"/>
            </w:tcBorders>
            <w:vAlign w:val="center"/>
            <w:hideMark/>
          </w:tcPr>
          <w:p w:rsidR="00C75A88" w:rsidRPr="00380B5F" w:rsidRDefault="00C75A88" w:rsidP="00C75A88">
            <w:pPr>
              <w:rPr>
                <w:rFonts w:cs="Calibri"/>
                <w:b/>
                <w:bCs/>
                <w:sz w:val="18"/>
                <w:szCs w:val="18"/>
                <w:lang w:val="en-US" w:eastAsia="en-US"/>
              </w:rPr>
            </w:pPr>
          </w:p>
        </w:tc>
        <w:tc>
          <w:tcPr>
            <w:tcW w:w="843" w:type="dxa"/>
            <w:tcBorders>
              <w:top w:val="single" w:sz="4" w:space="0" w:color="000000"/>
              <w:left w:val="nil"/>
              <w:bottom w:val="nil"/>
              <w:right w:val="single" w:sz="4" w:space="0" w:color="auto"/>
            </w:tcBorders>
            <w:shd w:val="clear" w:color="000000" w:fill="FFFFFF"/>
            <w:noWrap/>
            <w:vAlign w:val="center"/>
            <w:hideMark/>
          </w:tcPr>
          <w:p w:rsidR="00C75A88" w:rsidRPr="00380B5F" w:rsidRDefault="00C75A88" w:rsidP="00C75A88">
            <w:pPr>
              <w:jc w:val="center"/>
              <w:rPr>
                <w:rFonts w:cs="Calibri"/>
                <w:b/>
                <w:bCs/>
                <w:sz w:val="18"/>
                <w:szCs w:val="18"/>
                <w:lang w:val="en-US" w:eastAsia="en-US"/>
              </w:rPr>
            </w:pPr>
            <w:r w:rsidRPr="00380B5F">
              <w:rPr>
                <w:rFonts w:cs="Calibri"/>
                <w:b/>
                <w:bCs/>
                <w:sz w:val="18"/>
                <w:szCs w:val="18"/>
                <w:lang w:val="en-US" w:eastAsia="en-US"/>
              </w:rPr>
              <w:t>55</w:t>
            </w:r>
          </w:p>
        </w:tc>
        <w:tc>
          <w:tcPr>
            <w:tcW w:w="70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1</w:t>
            </w:r>
          </w:p>
        </w:tc>
        <w:tc>
          <w:tcPr>
            <w:tcW w:w="98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295 500</w:t>
            </w:r>
          </w:p>
        </w:tc>
        <w:tc>
          <w:tcPr>
            <w:tcW w:w="70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2</w:t>
            </w:r>
          </w:p>
        </w:tc>
        <w:tc>
          <w:tcPr>
            <w:tcW w:w="98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800 000</w:t>
            </w:r>
          </w:p>
        </w:tc>
        <w:tc>
          <w:tcPr>
            <w:tcW w:w="70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0</w:t>
            </w:r>
          </w:p>
        </w:tc>
        <w:tc>
          <w:tcPr>
            <w:tcW w:w="98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0</w:t>
            </w:r>
          </w:p>
        </w:tc>
        <w:tc>
          <w:tcPr>
            <w:tcW w:w="704" w:type="dxa"/>
            <w:tcBorders>
              <w:top w:val="nil"/>
              <w:left w:val="nil"/>
              <w:bottom w:val="single" w:sz="4" w:space="0" w:color="auto"/>
              <w:right w:val="single" w:sz="4" w:space="0" w:color="auto"/>
            </w:tcBorders>
            <w:shd w:val="clear" w:color="auto" w:fill="auto"/>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-1</w:t>
            </w:r>
          </w:p>
        </w:tc>
        <w:tc>
          <w:tcPr>
            <w:tcW w:w="984" w:type="dxa"/>
            <w:tcBorders>
              <w:top w:val="nil"/>
              <w:left w:val="nil"/>
              <w:bottom w:val="single" w:sz="4" w:space="0" w:color="auto"/>
              <w:right w:val="single" w:sz="4" w:space="0" w:color="auto"/>
            </w:tcBorders>
            <w:shd w:val="clear" w:color="auto" w:fill="auto"/>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-504 500</w:t>
            </w:r>
          </w:p>
        </w:tc>
        <w:tc>
          <w:tcPr>
            <w:tcW w:w="814"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1</w:t>
            </w:r>
          </w:p>
        </w:tc>
        <w:tc>
          <w:tcPr>
            <w:tcW w:w="1055" w:type="dxa"/>
            <w:tcBorders>
              <w:top w:val="nil"/>
              <w:left w:val="nil"/>
              <w:bottom w:val="single" w:sz="4" w:space="0" w:color="auto"/>
              <w:right w:val="single" w:sz="4" w:space="0" w:color="auto"/>
            </w:tcBorders>
            <w:shd w:val="clear" w:color="auto" w:fill="auto"/>
            <w:noWrap/>
            <w:vAlign w:val="bottom"/>
            <w:hideMark/>
          </w:tcPr>
          <w:p w:rsidR="00C75A88" w:rsidRPr="00380B5F" w:rsidRDefault="00C75A88" w:rsidP="00C75A88">
            <w:pPr>
              <w:jc w:val="right"/>
              <w:rPr>
                <w:rFonts w:cs="Calibri"/>
                <w:sz w:val="18"/>
                <w:szCs w:val="18"/>
                <w:lang w:val="en-US" w:eastAsia="en-US"/>
              </w:rPr>
            </w:pPr>
            <w:r w:rsidRPr="00380B5F">
              <w:rPr>
                <w:rFonts w:cs="Calibri"/>
                <w:sz w:val="18"/>
                <w:szCs w:val="18"/>
                <w:lang w:val="en-US" w:eastAsia="en-US"/>
              </w:rPr>
              <w:t>295 500</w:t>
            </w:r>
          </w:p>
        </w:tc>
      </w:tr>
      <w:tr w:rsidR="00C75A88" w:rsidRPr="00380B5F" w:rsidTr="00C75A88">
        <w:trPr>
          <w:trHeight w:val="244"/>
        </w:trPr>
        <w:tc>
          <w:tcPr>
            <w:tcW w:w="1548" w:type="dxa"/>
            <w:gridSpan w:val="2"/>
            <w:tcBorders>
              <w:top w:val="single" w:sz="4" w:space="0" w:color="auto"/>
              <w:left w:val="single" w:sz="4" w:space="0" w:color="auto"/>
              <w:bottom w:val="double" w:sz="6" w:space="0" w:color="auto"/>
              <w:right w:val="single" w:sz="4" w:space="0" w:color="000000"/>
            </w:tcBorders>
            <w:shd w:val="clear" w:color="auto" w:fill="auto"/>
            <w:noWrap/>
            <w:vAlign w:val="bottom"/>
            <w:hideMark/>
          </w:tcPr>
          <w:p w:rsidR="00C75A88" w:rsidRPr="00380B5F" w:rsidRDefault="00C75A88" w:rsidP="00C75A88">
            <w:pPr>
              <w:jc w:val="center"/>
              <w:rPr>
                <w:rFonts w:cs="Calibri"/>
                <w:b/>
                <w:bCs/>
                <w:sz w:val="18"/>
                <w:szCs w:val="18"/>
                <w:lang w:val="en-US" w:eastAsia="en-US"/>
              </w:rPr>
            </w:pPr>
            <w:r w:rsidRPr="00380B5F">
              <w:rPr>
                <w:rFonts w:cs="Calibri"/>
                <w:b/>
                <w:bCs/>
                <w:sz w:val="18"/>
                <w:szCs w:val="18"/>
                <w:lang w:val="en-US" w:eastAsia="en-US"/>
              </w:rPr>
              <w:t>Общо ПР</w:t>
            </w:r>
          </w:p>
        </w:tc>
        <w:tc>
          <w:tcPr>
            <w:tcW w:w="704"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5</w:t>
            </w:r>
          </w:p>
        </w:tc>
        <w:tc>
          <w:tcPr>
            <w:tcW w:w="984"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2 056 271</w:t>
            </w:r>
          </w:p>
        </w:tc>
        <w:tc>
          <w:tcPr>
            <w:tcW w:w="704"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6</w:t>
            </w:r>
          </w:p>
        </w:tc>
        <w:tc>
          <w:tcPr>
            <w:tcW w:w="984"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2 900 000</w:t>
            </w:r>
          </w:p>
        </w:tc>
        <w:tc>
          <w:tcPr>
            <w:tcW w:w="704"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0</w:t>
            </w:r>
          </w:p>
        </w:tc>
        <w:tc>
          <w:tcPr>
            <w:tcW w:w="984"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0</w:t>
            </w:r>
          </w:p>
        </w:tc>
        <w:tc>
          <w:tcPr>
            <w:tcW w:w="704"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-1</w:t>
            </w:r>
          </w:p>
        </w:tc>
        <w:tc>
          <w:tcPr>
            <w:tcW w:w="984"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-843 729</w:t>
            </w:r>
          </w:p>
        </w:tc>
        <w:tc>
          <w:tcPr>
            <w:tcW w:w="814"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5</w:t>
            </w:r>
          </w:p>
        </w:tc>
        <w:tc>
          <w:tcPr>
            <w:tcW w:w="1055"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2 056 271</w:t>
            </w:r>
          </w:p>
        </w:tc>
      </w:tr>
    </w:tbl>
    <w:p w:rsidR="00C75A88" w:rsidRDefault="00C75A88" w:rsidP="00C75A88">
      <w:pPr>
        <w:rPr>
          <w:b/>
          <w:i/>
          <w:lang w:val="en-US"/>
        </w:rPr>
      </w:pPr>
    </w:p>
    <w:p w:rsidR="00C75A88" w:rsidRPr="00817327" w:rsidRDefault="00C75A88" w:rsidP="00C75A88">
      <w:pPr>
        <w:numPr>
          <w:ilvl w:val="0"/>
          <w:numId w:val="8"/>
        </w:numPr>
        <w:spacing w:after="120" w:line="276" w:lineRule="auto"/>
        <w:jc w:val="both"/>
      </w:pPr>
      <w:r w:rsidRPr="00817327">
        <w:t xml:space="preserve">През 2017 г. в </w:t>
      </w:r>
      <w:r w:rsidRPr="00817327">
        <w:rPr>
          <w:u w:val="single"/>
        </w:rPr>
        <w:t>заводи на жп промишлеността</w:t>
      </w:r>
      <w:r w:rsidRPr="00817327">
        <w:t xml:space="preserve"> е планирано извършване на шест подемни ремонта на локомотиви, собственост на „БДЖ  –  Товарни превози” ЕООД.  Отчетени са пет подемни ремонта на локомотиви 46-037, 06-080, 06-097, 06-111 и на 55-004, извършени в „Релок” АД в Р Румъния, започнати през 2016 г. </w:t>
      </w:r>
    </w:p>
    <w:tbl>
      <w:tblPr>
        <w:tblW w:w="10169" w:type="dxa"/>
        <w:tblInd w:w="-176" w:type="dxa"/>
        <w:tblLook w:val="04A0" w:firstRow="1" w:lastRow="0" w:firstColumn="1" w:lastColumn="0" w:noHBand="0" w:noVBand="1"/>
      </w:tblPr>
      <w:tblGrid>
        <w:gridCol w:w="710"/>
        <w:gridCol w:w="888"/>
        <w:gridCol w:w="715"/>
        <w:gridCol w:w="948"/>
        <w:gridCol w:w="709"/>
        <w:gridCol w:w="992"/>
        <w:gridCol w:w="709"/>
        <w:gridCol w:w="1083"/>
        <w:gridCol w:w="618"/>
        <w:gridCol w:w="1124"/>
        <w:gridCol w:w="719"/>
        <w:gridCol w:w="954"/>
      </w:tblGrid>
      <w:tr w:rsidR="00C75A88" w:rsidRPr="00380B5F" w:rsidTr="00C75A88">
        <w:trPr>
          <w:trHeight w:val="241"/>
        </w:trPr>
        <w:tc>
          <w:tcPr>
            <w:tcW w:w="710"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75A88" w:rsidRPr="00380B5F" w:rsidRDefault="00C75A88" w:rsidP="00C75A88">
            <w:pPr>
              <w:jc w:val="center"/>
              <w:rPr>
                <w:rFonts w:cs="Calibri"/>
                <w:b/>
                <w:bCs/>
                <w:sz w:val="20"/>
                <w:szCs w:val="20"/>
                <w:lang w:val="en-US" w:eastAsia="en-US"/>
              </w:rPr>
            </w:pPr>
            <w:r w:rsidRPr="00380B5F">
              <w:rPr>
                <w:rFonts w:cs="Calibri"/>
                <w:b/>
                <w:bCs/>
                <w:sz w:val="20"/>
                <w:szCs w:val="20"/>
                <w:lang w:val="en-US" w:eastAsia="en-US"/>
              </w:rPr>
              <w:t>КР</w:t>
            </w:r>
          </w:p>
        </w:tc>
        <w:tc>
          <w:tcPr>
            <w:tcW w:w="888" w:type="dxa"/>
            <w:vMerge w:val="restart"/>
            <w:tcBorders>
              <w:top w:val="single" w:sz="4" w:space="0" w:color="auto"/>
              <w:left w:val="single" w:sz="4" w:space="0" w:color="auto"/>
              <w:bottom w:val="single" w:sz="4" w:space="0" w:color="000000"/>
              <w:right w:val="single" w:sz="4" w:space="0" w:color="auto"/>
            </w:tcBorders>
            <w:shd w:val="clear" w:color="000000" w:fill="FFFFFF"/>
            <w:hideMark/>
          </w:tcPr>
          <w:p w:rsidR="00C75A88" w:rsidRPr="00380B5F" w:rsidRDefault="00C75A88" w:rsidP="00C75A88">
            <w:pPr>
              <w:jc w:val="center"/>
              <w:rPr>
                <w:rFonts w:cs="Calibri"/>
                <w:b/>
                <w:bCs/>
                <w:sz w:val="20"/>
                <w:szCs w:val="20"/>
                <w:lang w:val="en-US" w:eastAsia="en-US"/>
              </w:rPr>
            </w:pPr>
            <w:r w:rsidRPr="00380B5F">
              <w:rPr>
                <w:rFonts w:cs="Calibri"/>
                <w:b/>
                <w:bCs/>
                <w:sz w:val="20"/>
                <w:szCs w:val="20"/>
                <w:lang w:val="en-US" w:eastAsia="en-US"/>
              </w:rPr>
              <w:t>Серия</w:t>
            </w:r>
          </w:p>
        </w:tc>
        <w:tc>
          <w:tcPr>
            <w:tcW w:w="1663" w:type="dxa"/>
            <w:gridSpan w:val="2"/>
            <w:tcBorders>
              <w:top w:val="single" w:sz="4" w:space="0" w:color="auto"/>
              <w:left w:val="nil"/>
              <w:bottom w:val="single" w:sz="4" w:space="0" w:color="auto"/>
              <w:right w:val="single" w:sz="4" w:space="0" w:color="000000"/>
            </w:tcBorders>
            <w:shd w:val="clear" w:color="auto" w:fill="auto"/>
            <w:hideMark/>
          </w:tcPr>
          <w:p w:rsidR="00C75A88" w:rsidRPr="00380B5F" w:rsidRDefault="00C75A88" w:rsidP="00C75A88">
            <w:pPr>
              <w:jc w:val="center"/>
              <w:rPr>
                <w:rFonts w:cs="Calibri"/>
                <w:b/>
                <w:bCs/>
                <w:sz w:val="17"/>
                <w:szCs w:val="17"/>
                <w:lang w:val="en-US" w:eastAsia="en-US"/>
              </w:rPr>
            </w:pPr>
            <w:r w:rsidRPr="00380B5F">
              <w:rPr>
                <w:rFonts w:cs="Calibri"/>
                <w:b/>
                <w:bCs/>
                <w:sz w:val="17"/>
                <w:szCs w:val="17"/>
                <w:lang w:val="en-US" w:eastAsia="en-US"/>
              </w:rPr>
              <w:t>отчет  2017 г.</w:t>
            </w:r>
          </w:p>
        </w:tc>
        <w:tc>
          <w:tcPr>
            <w:tcW w:w="1701" w:type="dxa"/>
            <w:gridSpan w:val="2"/>
            <w:tcBorders>
              <w:top w:val="single" w:sz="4" w:space="0" w:color="auto"/>
              <w:left w:val="nil"/>
              <w:bottom w:val="single" w:sz="4" w:space="0" w:color="auto"/>
              <w:right w:val="single" w:sz="4" w:space="0" w:color="000000"/>
            </w:tcBorders>
            <w:shd w:val="clear" w:color="auto" w:fill="auto"/>
            <w:hideMark/>
          </w:tcPr>
          <w:p w:rsidR="00C75A88" w:rsidRPr="00380B5F" w:rsidRDefault="00C75A88" w:rsidP="00C75A88">
            <w:pPr>
              <w:jc w:val="center"/>
              <w:rPr>
                <w:rFonts w:cs="Calibri"/>
                <w:b/>
                <w:bCs/>
                <w:sz w:val="17"/>
                <w:szCs w:val="17"/>
                <w:lang w:val="en-US" w:eastAsia="en-US"/>
              </w:rPr>
            </w:pPr>
            <w:r w:rsidRPr="00380B5F">
              <w:rPr>
                <w:rFonts w:cs="Calibri"/>
                <w:b/>
                <w:bCs/>
                <w:sz w:val="17"/>
                <w:szCs w:val="17"/>
                <w:lang w:val="en-US" w:eastAsia="en-US"/>
              </w:rPr>
              <w:t>бюджет 2017 г.</w:t>
            </w:r>
          </w:p>
        </w:tc>
        <w:tc>
          <w:tcPr>
            <w:tcW w:w="1792" w:type="dxa"/>
            <w:gridSpan w:val="2"/>
            <w:tcBorders>
              <w:top w:val="single" w:sz="4" w:space="0" w:color="auto"/>
              <w:left w:val="nil"/>
              <w:bottom w:val="single" w:sz="4" w:space="0" w:color="auto"/>
              <w:right w:val="single" w:sz="4" w:space="0" w:color="000000"/>
            </w:tcBorders>
            <w:shd w:val="clear" w:color="auto" w:fill="auto"/>
            <w:hideMark/>
          </w:tcPr>
          <w:p w:rsidR="00C75A88" w:rsidRPr="00380B5F" w:rsidRDefault="00C75A88" w:rsidP="00C75A88">
            <w:pPr>
              <w:jc w:val="center"/>
              <w:rPr>
                <w:rFonts w:cs="Calibri"/>
                <w:b/>
                <w:bCs/>
                <w:sz w:val="17"/>
                <w:szCs w:val="17"/>
                <w:lang w:val="en-US" w:eastAsia="en-US"/>
              </w:rPr>
            </w:pPr>
            <w:r w:rsidRPr="00380B5F">
              <w:rPr>
                <w:rFonts w:cs="Calibri"/>
                <w:b/>
                <w:bCs/>
                <w:sz w:val="17"/>
                <w:szCs w:val="17"/>
                <w:lang w:val="en-US" w:eastAsia="en-US"/>
              </w:rPr>
              <w:t>отчет 2016 г.</w:t>
            </w:r>
          </w:p>
        </w:tc>
        <w:tc>
          <w:tcPr>
            <w:tcW w:w="1742" w:type="dxa"/>
            <w:gridSpan w:val="2"/>
            <w:tcBorders>
              <w:top w:val="single" w:sz="4" w:space="0" w:color="auto"/>
              <w:left w:val="nil"/>
              <w:bottom w:val="single" w:sz="4" w:space="0" w:color="auto"/>
              <w:right w:val="single" w:sz="4" w:space="0" w:color="000000"/>
            </w:tcBorders>
            <w:shd w:val="clear" w:color="auto" w:fill="auto"/>
            <w:hideMark/>
          </w:tcPr>
          <w:p w:rsidR="00C75A88" w:rsidRPr="00380B5F" w:rsidRDefault="00C75A88" w:rsidP="00C75A88">
            <w:pPr>
              <w:jc w:val="center"/>
              <w:rPr>
                <w:rFonts w:cs="Calibri"/>
                <w:b/>
                <w:bCs/>
                <w:sz w:val="17"/>
                <w:szCs w:val="17"/>
                <w:lang w:val="en-US" w:eastAsia="en-US"/>
              </w:rPr>
            </w:pPr>
            <w:r w:rsidRPr="00380B5F">
              <w:rPr>
                <w:rFonts w:cs="Calibri"/>
                <w:b/>
                <w:bCs/>
                <w:sz w:val="17"/>
                <w:szCs w:val="17"/>
                <w:lang w:val="en-US" w:eastAsia="en-US"/>
              </w:rPr>
              <w:t>+/- отчет/бюджет</w:t>
            </w:r>
          </w:p>
        </w:tc>
        <w:tc>
          <w:tcPr>
            <w:tcW w:w="1673" w:type="dxa"/>
            <w:gridSpan w:val="2"/>
            <w:tcBorders>
              <w:top w:val="single" w:sz="4" w:space="0" w:color="auto"/>
              <w:left w:val="nil"/>
              <w:bottom w:val="single" w:sz="4" w:space="0" w:color="auto"/>
              <w:right w:val="single" w:sz="4" w:space="0" w:color="000000"/>
            </w:tcBorders>
            <w:shd w:val="clear" w:color="auto" w:fill="auto"/>
            <w:hideMark/>
          </w:tcPr>
          <w:p w:rsidR="00C75A88" w:rsidRPr="00380B5F" w:rsidRDefault="00C75A88" w:rsidP="00C75A88">
            <w:pPr>
              <w:jc w:val="center"/>
              <w:rPr>
                <w:rFonts w:cs="Calibri"/>
                <w:b/>
                <w:bCs/>
                <w:sz w:val="17"/>
                <w:szCs w:val="17"/>
                <w:lang w:val="en-US" w:eastAsia="en-US"/>
              </w:rPr>
            </w:pPr>
            <w:r w:rsidRPr="00380B5F">
              <w:rPr>
                <w:rFonts w:cs="Calibri"/>
                <w:b/>
                <w:bCs/>
                <w:sz w:val="17"/>
                <w:szCs w:val="17"/>
                <w:lang w:val="en-US" w:eastAsia="en-US"/>
              </w:rPr>
              <w:t>+/- отчет 2017/2016</w:t>
            </w:r>
          </w:p>
        </w:tc>
      </w:tr>
      <w:tr w:rsidR="00C75A88" w:rsidRPr="00380B5F" w:rsidTr="00C75A88">
        <w:trPr>
          <w:trHeight w:val="241"/>
        </w:trPr>
        <w:tc>
          <w:tcPr>
            <w:tcW w:w="710" w:type="dxa"/>
            <w:vMerge/>
            <w:tcBorders>
              <w:top w:val="single" w:sz="4" w:space="0" w:color="auto"/>
              <w:left w:val="single" w:sz="4" w:space="0" w:color="auto"/>
              <w:bottom w:val="single" w:sz="4" w:space="0" w:color="000000"/>
              <w:right w:val="single" w:sz="4" w:space="0" w:color="auto"/>
            </w:tcBorders>
            <w:vAlign w:val="center"/>
            <w:hideMark/>
          </w:tcPr>
          <w:p w:rsidR="00C75A88" w:rsidRPr="00380B5F" w:rsidRDefault="00C75A88" w:rsidP="00C75A88">
            <w:pPr>
              <w:rPr>
                <w:rFonts w:cs="Calibri"/>
                <w:b/>
                <w:bCs/>
                <w:sz w:val="20"/>
                <w:szCs w:val="20"/>
                <w:lang w:val="en-US" w:eastAsia="en-US"/>
              </w:rPr>
            </w:pPr>
          </w:p>
        </w:tc>
        <w:tc>
          <w:tcPr>
            <w:tcW w:w="888" w:type="dxa"/>
            <w:vMerge/>
            <w:tcBorders>
              <w:top w:val="single" w:sz="4" w:space="0" w:color="auto"/>
              <w:left w:val="single" w:sz="4" w:space="0" w:color="auto"/>
              <w:bottom w:val="single" w:sz="4" w:space="0" w:color="000000"/>
              <w:right w:val="single" w:sz="4" w:space="0" w:color="auto"/>
            </w:tcBorders>
            <w:vAlign w:val="center"/>
            <w:hideMark/>
          </w:tcPr>
          <w:p w:rsidR="00C75A88" w:rsidRPr="00380B5F" w:rsidRDefault="00C75A88" w:rsidP="00C75A88">
            <w:pPr>
              <w:rPr>
                <w:rFonts w:cs="Calibri"/>
                <w:b/>
                <w:bCs/>
                <w:sz w:val="20"/>
                <w:szCs w:val="20"/>
                <w:lang w:val="en-US" w:eastAsia="en-US"/>
              </w:rPr>
            </w:pPr>
          </w:p>
        </w:tc>
        <w:tc>
          <w:tcPr>
            <w:tcW w:w="715"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7"/>
                <w:szCs w:val="17"/>
                <w:lang w:val="en-US" w:eastAsia="en-US"/>
              </w:rPr>
            </w:pPr>
            <w:r w:rsidRPr="00380B5F">
              <w:rPr>
                <w:rFonts w:cs="Calibri"/>
                <w:b/>
                <w:bCs/>
                <w:sz w:val="17"/>
                <w:szCs w:val="17"/>
                <w:lang w:val="en-US" w:eastAsia="en-US"/>
              </w:rPr>
              <w:t>бр.</w:t>
            </w:r>
          </w:p>
        </w:tc>
        <w:tc>
          <w:tcPr>
            <w:tcW w:w="948"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7"/>
                <w:szCs w:val="17"/>
                <w:lang w:val="en-US" w:eastAsia="en-US"/>
              </w:rPr>
            </w:pPr>
            <w:r w:rsidRPr="00380B5F">
              <w:rPr>
                <w:rFonts w:cs="Calibri"/>
                <w:b/>
                <w:bCs/>
                <w:sz w:val="17"/>
                <w:szCs w:val="17"/>
                <w:lang w:val="en-US" w:eastAsia="en-US"/>
              </w:rPr>
              <w:t>ст-ст (лв)</w:t>
            </w:r>
          </w:p>
        </w:tc>
        <w:tc>
          <w:tcPr>
            <w:tcW w:w="709"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7"/>
                <w:szCs w:val="17"/>
                <w:lang w:val="en-US" w:eastAsia="en-US"/>
              </w:rPr>
            </w:pPr>
            <w:r w:rsidRPr="00380B5F">
              <w:rPr>
                <w:rFonts w:cs="Calibri"/>
                <w:b/>
                <w:bCs/>
                <w:sz w:val="17"/>
                <w:szCs w:val="17"/>
                <w:lang w:val="en-US" w:eastAsia="en-US"/>
              </w:rPr>
              <w:t>бр.</w:t>
            </w:r>
          </w:p>
        </w:tc>
        <w:tc>
          <w:tcPr>
            <w:tcW w:w="992"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7"/>
                <w:szCs w:val="17"/>
                <w:lang w:val="en-US" w:eastAsia="en-US"/>
              </w:rPr>
            </w:pPr>
            <w:r w:rsidRPr="00380B5F">
              <w:rPr>
                <w:rFonts w:cs="Calibri"/>
                <w:b/>
                <w:bCs/>
                <w:sz w:val="17"/>
                <w:szCs w:val="17"/>
                <w:lang w:val="en-US" w:eastAsia="en-US"/>
              </w:rPr>
              <w:t>ст-ст (лв)</w:t>
            </w:r>
          </w:p>
        </w:tc>
        <w:tc>
          <w:tcPr>
            <w:tcW w:w="709"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7"/>
                <w:szCs w:val="17"/>
                <w:lang w:val="en-US" w:eastAsia="en-US"/>
              </w:rPr>
            </w:pPr>
            <w:r w:rsidRPr="00380B5F">
              <w:rPr>
                <w:rFonts w:cs="Calibri"/>
                <w:b/>
                <w:bCs/>
                <w:sz w:val="17"/>
                <w:szCs w:val="17"/>
                <w:lang w:val="en-US" w:eastAsia="en-US"/>
              </w:rPr>
              <w:t>бр.</w:t>
            </w:r>
          </w:p>
        </w:tc>
        <w:tc>
          <w:tcPr>
            <w:tcW w:w="1083"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7"/>
                <w:szCs w:val="17"/>
                <w:lang w:val="en-US" w:eastAsia="en-US"/>
              </w:rPr>
            </w:pPr>
            <w:r w:rsidRPr="00380B5F">
              <w:rPr>
                <w:rFonts w:cs="Calibri"/>
                <w:b/>
                <w:bCs/>
                <w:sz w:val="17"/>
                <w:szCs w:val="17"/>
                <w:lang w:val="en-US" w:eastAsia="en-US"/>
              </w:rPr>
              <w:t>ст-ст (лв)</w:t>
            </w:r>
          </w:p>
        </w:tc>
        <w:tc>
          <w:tcPr>
            <w:tcW w:w="618"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7"/>
                <w:szCs w:val="17"/>
                <w:lang w:val="en-US" w:eastAsia="en-US"/>
              </w:rPr>
            </w:pPr>
            <w:r w:rsidRPr="00380B5F">
              <w:rPr>
                <w:rFonts w:cs="Calibri"/>
                <w:b/>
                <w:bCs/>
                <w:sz w:val="17"/>
                <w:szCs w:val="17"/>
                <w:lang w:val="en-US" w:eastAsia="en-US"/>
              </w:rPr>
              <w:t>бр.</w:t>
            </w:r>
          </w:p>
        </w:tc>
        <w:tc>
          <w:tcPr>
            <w:tcW w:w="1124"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7"/>
                <w:szCs w:val="17"/>
                <w:lang w:val="en-US" w:eastAsia="en-US"/>
              </w:rPr>
            </w:pPr>
            <w:r w:rsidRPr="00380B5F">
              <w:rPr>
                <w:rFonts w:cs="Calibri"/>
                <w:b/>
                <w:bCs/>
                <w:sz w:val="17"/>
                <w:szCs w:val="17"/>
                <w:lang w:val="en-US" w:eastAsia="en-US"/>
              </w:rPr>
              <w:t>ст-ст (лв)</w:t>
            </w:r>
          </w:p>
        </w:tc>
        <w:tc>
          <w:tcPr>
            <w:tcW w:w="719"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7"/>
                <w:szCs w:val="17"/>
                <w:lang w:val="en-US" w:eastAsia="en-US"/>
              </w:rPr>
            </w:pPr>
            <w:r w:rsidRPr="00380B5F">
              <w:rPr>
                <w:rFonts w:cs="Calibri"/>
                <w:b/>
                <w:bCs/>
                <w:sz w:val="17"/>
                <w:szCs w:val="17"/>
                <w:lang w:val="en-US" w:eastAsia="en-US"/>
              </w:rPr>
              <w:t>бр.</w:t>
            </w:r>
          </w:p>
        </w:tc>
        <w:tc>
          <w:tcPr>
            <w:tcW w:w="954" w:type="dxa"/>
            <w:tcBorders>
              <w:top w:val="nil"/>
              <w:left w:val="nil"/>
              <w:bottom w:val="single" w:sz="4" w:space="0" w:color="auto"/>
              <w:right w:val="single" w:sz="4" w:space="0" w:color="auto"/>
            </w:tcBorders>
            <w:shd w:val="clear" w:color="auto" w:fill="auto"/>
            <w:noWrap/>
            <w:hideMark/>
          </w:tcPr>
          <w:p w:rsidR="00C75A88" w:rsidRPr="00380B5F" w:rsidRDefault="00C75A88" w:rsidP="00C75A88">
            <w:pPr>
              <w:jc w:val="center"/>
              <w:rPr>
                <w:rFonts w:cs="Calibri"/>
                <w:b/>
                <w:bCs/>
                <w:sz w:val="17"/>
                <w:szCs w:val="17"/>
                <w:lang w:val="en-US" w:eastAsia="en-US"/>
              </w:rPr>
            </w:pPr>
            <w:r w:rsidRPr="00380B5F">
              <w:rPr>
                <w:rFonts w:cs="Calibri"/>
                <w:b/>
                <w:bCs/>
                <w:sz w:val="17"/>
                <w:szCs w:val="17"/>
                <w:lang w:val="en-US" w:eastAsia="en-US"/>
              </w:rPr>
              <w:t>ст-ст (лв)</w:t>
            </w:r>
          </w:p>
        </w:tc>
      </w:tr>
      <w:tr w:rsidR="00C75A88" w:rsidRPr="00380B5F" w:rsidTr="00C75A88">
        <w:trPr>
          <w:trHeight w:val="256"/>
        </w:trPr>
        <w:tc>
          <w:tcPr>
            <w:tcW w:w="1598" w:type="dxa"/>
            <w:gridSpan w:val="2"/>
            <w:tcBorders>
              <w:top w:val="single" w:sz="4" w:space="0" w:color="auto"/>
              <w:left w:val="single" w:sz="4" w:space="0" w:color="auto"/>
              <w:bottom w:val="double" w:sz="6" w:space="0" w:color="auto"/>
              <w:right w:val="single" w:sz="4" w:space="0" w:color="000000"/>
            </w:tcBorders>
            <w:shd w:val="clear" w:color="auto" w:fill="auto"/>
            <w:noWrap/>
            <w:vAlign w:val="bottom"/>
            <w:hideMark/>
          </w:tcPr>
          <w:p w:rsidR="00C75A88" w:rsidRPr="00380B5F" w:rsidRDefault="00C75A88" w:rsidP="00C75A88">
            <w:pPr>
              <w:jc w:val="center"/>
              <w:rPr>
                <w:rFonts w:cs="Calibri"/>
                <w:b/>
                <w:bCs/>
                <w:sz w:val="18"/>
                <w:szCs w:val="18"/>
                <w:lang w:val="en-US" w:eastAsia="en-US"/>
              </w:rPr>
            </w:pPr>
            <w:r w:rsidRPr="00380B5F">
              <w:rPr>
                <w:rFonts w:cs="Calibri"/>
                <w:b/>
                <w:bCs/>
                <w:sz w:val="18"/>
                <w:szCs w:val="18"/>
                <w:lang w:val="en-US" w:eastAsia="en-US"/>
              </w:rPr>
              <w:t>Общо КР</w:t>
            </w:r>
          </w:p>
        </w:tc>
        <w:tc>
          <w:tcPr>
            <w:tcW w:w="715"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0</w:t>
            </w:r>
          </w:p>
        </w:tc>
        <w:tc>
          <w:tcPr>
            <w:tcW w:w="948"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0</w:t>
            </w:r>
          </w:p>
        </w:tc>
        <w:tc>
          <w:tcPr>
            <w:tcW w:w="709"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4</w:t>
            </w:r>
          </w:p>
        </w:tc>
        <w:tc>
          <w:tcPr>
            <w:tcW w:w="992"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3 200 000</w:t>
            </w:r>
          </w:p>
        </w:tc>
        <w:tc>
          <w:tcPr>
            <w:tcW w:w="709"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1</w:t>
            </w:r>
          </w:p>
        </w:tc>
        <w:tc>
          <w:tcPr>
            <w:tcW w:w="1083"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624 187</w:t>
            </w:r>
          </w:p>
        </w:tc>
        <w:tc>
          <w:tcPr>
            <w:tcW w:w="618"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-4</w:t>
            </w:r>
          </w:p>
        </w:tc>
        <w:tc>
          <w:tcPr>
            <w:tcW w:w="1124"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-3 200 000</w:t>
            </w:r>
          </w:p>
        </w:tc>
        <w:tc>
          <w:tcPr>
            <w:tcW w:w="719"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-1</w:t>
            </w:r>
          </w:p>
        </w:tc>
        <w:tc>
          <w:tcPr>
            <w:tcW w:w="954" w:type="dxa"/>
            <w:tcBorders>
              <w:top w:val="nil"/>
              <w:left w:val="nil"/>
              <w:bottom w:val="double" w:sz="6" w:space="0" w:color="auto"/>
              <w:right w:val="single" w:sz="4" w:space="0" w:color="auto"/>
            </w:tcBorders>
            <w:shd w:val="clear" w:color="auto" w:fill="auto"/>
            <w:noWrap/>
            <w:vAlign w:val="bottom"/>
            <w:hideMark/>
          </w:tcPr>
          <w:p w:rsidR="00C75A88" w:rsidRPr="00380B5F" w:rsidRDefault="00C75A88" w:rsidP="00C75A88">
            <w:pPr>
              <w:jc w:val="right"/>
              <w:rPr>
                <w:rFonts w:cs="Calibri"/>
                <w:b/>
                <w:bCs/>
                <w:sz w:val="18"/>
                <w:szCs w:val="18"/>
                <w:lang w:val="en-US" w:eastAsia="en-US"/>
              </w:rPr>
            </w:pPr>
            <w:r w:rsidRPr="00380B5F">
              <w:rPr>
                <w:rFonts w:cs="Calibri"/>
                <w:b/>
                <w:bCs/>
                <w:sz w:val="18"/>
                <w:szCs w:val="18"/>
                <w:lang w:val="en-US" w:eastAsia="en-US"/>
              </w:rPr>
              <w:t>-624 187</w:t>
            </w:r>
          </w:p>
        </w:tc>
      </w:tr>
    </w:tbl>
    <w:p w:rsidR="00C75A88" w:rsidRDefault="00C75A88" w:rsidP="00C75A88">
      <w:pPr>
        <w:spacing w:after="120"/>
        <w:jc w:val="both"/>
        <w:rPr>
          <w:highlight w:val="yellow"/>
          <w:lang w:val="en-US"/>
        </w:rPr>
      </w:pPr>
    </w:p>
    <w:p w:rsidR="00C75A88" w:rsidRPr="003959D1" w:rsidRDefault="00C75A88" w:rsidP="00C75A88">
      <w:pPr>
        <w:numPr>
          <w:ilvl w:val="0"/>
          <w:numId w:val="8"/>
        </w:numPr>
        <w:spacing w:after="120" w:line="276" w:lineRule="auto"/>
        <w:jc w:val="both"/>
      </w:pPr>
      <w:r w:rsidRPr="00EA33B6">
        <w:t xml:space="preserve">През 2017 г. в </w:t>
      </w:r>
      <w:r w:rsidRPr="00A63279">
        <w:rPr>
          <w:u w:val="single"/>
        </w:rPr>
        <w:t>заводи на жп промишлеността</w:t>
      </w:r>
      <w:r w:rsidRPr="00EA33B6">
        <w:t xml:space="preserve"> е планирано извършване на четири капитални ремонта на локомотиви, собственост на „БДЖ – Товарни превози” ЕООД, но не са извършвани такива.</w:t>
      </w:r>
      <w:r>
        <w:t xml:space="preserve"> През 2016 г. е о</w:t>
      </w:r>
      <w:r w:rsidRPr="0079316E">
        <w:t>тчетен един капитален ремонт на локомотив 46-036, извършен в „Релок” АД в Р Румъния</w:t>
      </w:r>
      <w:r>
        <w:t>.</w:t>
      </w:r>
    </w:p>
    <w:p w:rsidR="00C75A88" w:rsidRDefault="00C75A88" w:rsidP="00C75A88">
      <w:pPr>
        <w:numPr>
          <w:ilvl w:val="0"/>
          <w:numId w:val="1"/>
        </w:numPr>
        <w:spacing w:after="120"/>
        <w:ind w:hanging="181"/>
        <w:jc w:val="both"/>
        <w:rPr>
          <w:rFonts w:ascii="Arial" w:hAnsi="Arial" w:cs="Arial"/>
          <w:b/>
          <w:color w:val="0000CC"/>
        </w:rPr>
        <w:sectPr w:rsidR="00C75A88" w:rsidSect="00C75A88">
          <w:pgSz w:w="11906" w:h="16838" w:code="9"/>
          <w:pgMar w:top="899" w:right="926" w:bottom="426" w:left="1134" w:header="709" w:footer="709" w:gutter="0"/>
          <w:cols w:space="708"/>
          <w:docGrid w:linePitch="360"/>
        </w:sectPr>
      </w:pPr>
    </w:p>
    <w:p w:rsidR="00C75A88" w:rsidRPr="000A73FE" w:rsidRDefault="00C75A88" w:rsidP="00C75A88">
      <w:pPr>
        <w:numPr>
          <w:ilvl w:val="0"/>
          <w:numId w:val="1"/>
        </w:numPr>
        <w:spacing w:after="120"/>
        <w:ind w:hanging="181"/>
        <w:jc w:val="both"/>
        <w:rPr>
          <w:rFonts w:ascii="Arial" w:hAnsi="Arial" w:cs="Arial"/>
          <w:b/>
          <w:color w:val="0000CC"/>
        </w:rPr>
      </w:pPr>
      <w:r w:rsidRPr="000A73FE">
        <w:rPr>
          <w:rFonts w:ascii="Arial" w:hAnsi="Arial" w:cs="Arial"/>
          <w:b/>
          <w:color w:val="0000CC"/>
        </w:rPr>
        <w:lastRenderedPageBreak/>
        <w:t xml:space="preserve">Финансов резултат </w:t>
      </w:r>
    </w:p>
    <w:p w:rsidR="00C75A88" w:rsidRDefault="00C75A88" w:rsidP="00C75A88">
      <w:pPr>
        <w:spacing w:after="120"/>
        <w:jc w:val="both"/>
      </w:pPr>
      <w:r w:rsidRPr="000A73FE">
        <w:t>Изпълнението на основните показатели за дейността на „БДЖ – Товарни превози” ЕООД за 2017 г. е показано в следната таблица:</w:t>
      </w:r>
    </w:p>
    <w:tbl>
      <w:tblPr>
        <w:tblW w:w="9992" w:type="dxa"/>
        <w:tblInd w:w="58" w:type="dxa"/>
        <w:tblCellMar>
          <w:left w:w="70" w:type="dxa"/>
          <w:right w:w="70" w:type="dxa"/>
        </w:tblCellMar>
        <w:tblLook w:val="04A0" w:firstRow="1" w:lastRow="0" w:firstColumn="1" w:lastColumn="0" w:noHBand="0" w:noVBand="1"/>
      </w:tblPr>
      <w:tblGrid>
        <w:gridCol w:w="436"/>
        <w:gridCol w:w="3262"/>
        <w:gridCol w:w="997"/>
        <w:gridCol w:w="1101"/>
        <w:gridCol w:w="1101"/>
        <w:gridCol w:w="1101"/>
        <w:gridCol w:w="997"/>
        <w:gridCol w:w="997"/>
      </w:tblGrid>
      <w:tr w:rsidR="00C75A88" w:rsidRPr="00DE0C77" w:rsidTr="00C75A88">
        <w:trPr>
          <w:trHeight w:val="264"/>
        </w:trPr>
        <w:tc>
          <w:tcPr>
            <w:tcW w:w="436" w:type="dxa"/>
            <w:vMerge w:val="restart"/>
            <w:tcBorders>
              <w:top w:val="single" w:sz="4" w:space="0" w:color="auto"/>
              <w:left w:val="single" w:sz="4" w:space="0" w:color="auto"/>
              <w:bottom w:val="single" w:sz="4" w:space="0" w:color="000000"/>
              <w:right w:val="nil"/>
            </w:tcBorders>
            <w:shd w:val="clear" w:color="auto" w:fill="auto"/>
            <w:vAlign w:val="bottom"/>
            <w:hideMark/>
          </w:tcPr>
          <w:p w:rsidR="00C75A88" w:rsidRPr="00DE0C77" w:rsidRDefault="00C75A88" w:rsidP="00C75A88">
            <w:pPr>
              <w:jc w:val="cente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N</w:t>
            </w:r>
          </w:p>
        </w:tc>
        <w:tc>
          <w:tcPr>
            <w:tcW w:w="3262" w:type="dxa"/>
            <w:vMerge w:val="restart"/>
            <w:tcBorders>
              <w:top w:val="single" w:sz="4" w:space="0" w:color="auto"/>
              <w:left w:val="single" w:sz="4" w:space="0" w:color="auto"/>
              <w:bottom w:val="single" w:sz="4" w:space="0" w:color="000000"/>
              <w:right w:val="single" w:sz="4" w:space="0" w:color="auto"/>
            </w:tcBorders>
            <w:shd w:val="clear" w:color="auto" w:fill="auto"/>
            <w:vAlign w:val="bottom"/>
            <w:hideMark/>
          </w:tcPr>
          <w:p w:rsidR="00C75A88" w:rsidRPr="00DE0C77" w:rsidRDefault="00C75A88" w:rsidP="00C75A88">
            <w:pPr>
              <w:jc w:val="cente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ПОКАЗАТЕЛИ</w:t>
            </w:r>
          </w:p>
        </w:tc>
        <w:tc>
          <w:tcPr>
            <w:tcW w:w="997" w:type="dxa"/>
            <w:vMerge w:val="restart"/>
            <w:tcBorders>
              <w:top w:val="single" w:sz="4" w:space="0" w:color="auto"/>
              <w:left w:val="nil"/>
              <w:bottom w:val="single" w:sz="4" w:space="0" w:color="000000"/>
              <w:right w:val="nil"/>
            </w:tcBorders>
            <w:shd w:val="clear" w:color="auto" w:fill="auto"/>
            <w:noWrap/>
            <w:vAlign w:val="bottom"/>
            <w:hideMark/>
          </w:tcPr>
          <w:p w:rsidR="00C75A88" w:rsidRPr="00DE0C77" w:rsidRDefault="00C75A88" w:rsidP="00C75A88">
            <w:pPr>
              <w:jc w:val="cente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Мярка</w:t>
            </w:r>
          </w:p>
        </w:tc>
        <w:tc>
          <w:tcPr>
            <w:tcW w:w="1101" w:type="dxa"/>
            <w:tcBorders>
              <w:top w:val="single" w:sz="4" w:space="0" w:color="auto"/>
              <w:left w:val="single" w:sz="4" w:space="0" w:color="auto"/>
              <w:bottom w:val="nil"/>
              <w:right w:val="single" w:sz="4" w:space="0" w:color="auto"/>
            </w:tcBorders>
            <w:shd w:val="clear" w:color="auto" w:fill="auto"/>
            <w:noWrap/>
            <w:vAlign w:val="bottom"/>
            <w:hideMark/>
          </w:tcPr>
          <w:p w:rsidR="00C75A88" w:rsidRPr="00DE0C77" w:rsidRDefault="00C75A88" w:rsidP="00C75A88">
            <w:pPr>
              <w:jc w:val="cente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Отчет</w:t>
            </w:r>
          </w:p>
        </w:tc>
        <w:tc>
          <w:tcPr>
            <w:tcW w:w="1101" w:type="dxa"/>
            <w:tcBorders>
              <w:top w:val="single" w:sz="4" w:space="0" w:color="auto"/>
              <w:left w:val="nil"/>
              <w:bottom w:val="nil"/>
              <w:right w:val="single" w:sz="4" w:space="0" w:color="auto"/>
            </w:tcBorders>
            <w:shd w:val="clear" w:color="auto" w:fill="auto"/>
            <w:vAlign w:val="bottom"/>
            <w:hideMark/>
          </w:tcPr>
          <w:p w:rsidR="00C75A88" w:rsidRPr="00DE0C77" w:rsidRDefault="00C75A88" w:rsidP="00C75A88">
            <w:pPr>
              <w:jc w:val="cente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План</w:t>
            </w:r>
          </w:p>
        </w:tc>
        <w:tc>
          <w:tcPr>
            <w:tcW w:w="1101" w:type="dxa"/>
            <w:tcBorders>
              <w:top w:val="single" w:sz="4" w:space="0" w:color="auto"/>
              <w:left w:val="nil"/>
              <w:bottom w:val="nil"/>
              <w:right w:val="single" w:sz="4" w:space="0" w:color="auto"/>
            </w:tcBorders>
            <w:shd w:val="clear" w:color="auto" w:fill="auto"/>
            <w:vAlign w:val="bottom"/>
            <w:hideMark/>
          </w:tcPr>
          <w:p w:rsidR="00C75A88" w:rsidRPr="00DE0C77" w:rsidRDefault="00C75A88" w:rsidP="00C75A88">
            <w:pPr>
              <w:jc w:val="cente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Отчет</w:t>
            </w:r>
          </w:p>
        </w:tc>
        <w:tc>
          <w:tcPr>
            <w:tcW w:w="1994" w:type="dxa"/>
            <w:gridSpan w:val="2"/>
            <w:tcBorders>
              <w:top w:val="single" w:sz="4" w:space="0" w:color="auto"/>
              <w:left w:val="nil"/>
              <w:bottom w:val="nil"/>
              <w:right w:val="single" w:sz="4" w:space="0" w:color="000000"/>
            </w:tcBorders>
            <w:shd w:val="clear" w:color="auto" w:fill="auto"/>
            <w:vAlign w:val="bottom"/>
            <w:hideMark/>
          </w:tcPr>
          <w:p w:rsidR="00C75A88" w:rsidRPr="00DE0C77" w:rsidRDefault="00C75A88" w:rsidP="00C75A88">
            <w:pPr>
              <w:jc w:val="cente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изменение към</w:t>
            </w:r>
          </w:p>
        </w:tc>
      </w:tr>
      <w:tr w:rsidR="00C75A88" w:rsidRPr="00DE0C77" w:rsidTr="00C75A88">
        <w:trPr>
          <w:trHeight w:val="264"/>
        </w:trPr>
        <w:tc>
          <w:tcPr>
            <w:tcW w:w="436" w:type="dxa"/>
            <w:vMerge/>
            <w:tcBorders>
              <w:top w:val="single" w:sz="4" w:space="0" w:color="auto"/>
              <w:left w:val="single" w:sz="4" w:space="0" w:color="auto"/>
              <w:bottom w:val="single" w:sz="4" w:space="0" w:color="000000"/>
              <w:right w:val="nil"/>
            </w:tcBorders>
            <w:vAlign w:val="center"/>
            <w:hideMark/>
          </w:tcPr>
          <w:p w:rsidR="00C75A88" w:rsidRPr="00DE0C77" w:rsidRDefault="00C75A88" w:rsidP="00C75A88">
            <w:pPr>
              <w:rPr>
                <w:rFonts w:ascii="Calibri" w:eastAsia="Times New Roman" w:hAnsi="Calibri" w:cs="Calibri"/>
                <w:b/>
                <w:bCs/>
                <w:color w:val="000000"/>
                <w:sz w:val="18"/>
                <w:szCs w:val="18"/>
                <w:lang w:eastAsia="bg-BG"/>
              </w:rPr>
            </w:pPr>
          </w:p>
        </w:tc>
        <w:tc>
          <w:tcPr>
            <w:tcW w:w="3262" w:type="dxa"/>
            <w:vMerge/>
            <w:tcBorders>
              <w:top w:val="single" w:sz="4" w:space="0" w:color="auto"/>
              <w:left w:val="single" w:sz="4" w:space="0" w:color="auto"/>
              <w:bottom w:val="single" w:sz="4" w:space="0" w:color="000000"/>
              <w:right w:val="single" w:sz="4" w:space="0" w:color="auto"/>
            </w:tcBorders>
            <w:vAlign w:val="center"/>
            <w:hideMark/>
          </w:tcPr>
          <w:p w:rsidR="00C75A88" w:rsidRPr="00DE0C77" w:rsidRDefault="00C75A88" w:rsidP="00C75A88">
            <w:pPr>
              <w:rPr>
                <w:rFonts w:ascii="Calibri" w:eastAsia="Times New Roman" w:hAnsi="Calibri" w:cs="Calibri"/>
                <w:b/>
                <w:bCs/>
                <w:color w:val="000000"/>
                <w:sz w:val="18"/>
                <w:szCs w:val="18"/>
                <w:lang w:eastAsia="bg-BG"/>
              </w:rPr>
            </w:pPr>
          </w:p>
        </w:tc>
        <w:tc>
          <w:tcPr>
            <w:tcW w:w="997" w:type="dxa"/>
            <w:vMerge/>
            <w:tcBorders>
              <w:top w:val="single" w:sz="4" w:space="0" w:color="auto"/>
              <w:left w:val="nil"/>
              <w:bottom w:val="single" w:sz="4" w:space="0" w:color="000000"/>
              <w:right w:val="nil"/>
            </w:tcBorders>
            <w:vAlign w:val="center"/>
            <w:hideMark/>
          </w:tcPr>
          <w:p w:rsidR="00C75A88" w:rsidRPr="00DE0C77" w:rsidRDefault="00C75A88" w:rsidP="00C75A88">
            <w:pPr>
              <w:rPr>
                <w:rFonts w:ascii="Calibri" w:eastAsia="Times New Roman" w:hAnsi="Calibri" w:cs="Calibri"/>
                <w:b/>
                <w:bCs/>
                <w:color w:val="000000"/>
                <w:sz w:val="18"/>
                <w:szCs w:val="18"/>
                <w:lang w:eastAsia="bg-BG"/>
              </w:rPr>
            </w:pPr>
          </w:p>
        </w:tc>
        <w:tc>
          <w:tcPr>
            <w:tcW w:w="1101"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C75A88" w:rsidRPr="00DE0C77" w:rsidRDefault="00C75A88" w:rsidP="00C75A88">
            <w:pPr>
              <w:jc w:val="cente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2017 г</w:t>
            </w:r>
          </w:p>
        </w:tc>
        <w:tc>
          <w:tcPr>
            <w:tcW w:w="1101"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C75A88" w:rsidRPr="00DE0C77" w:rsidRDefault="00C75A88" w:rsidP="00C75A88">
            <w:pPr>
              <w:jc w:val="cente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 xml:space="preserve"> 2017 г.</w:t>
            </w:r>
          </w:p>
        </w:tc>
        <w:tc>
          <w:tcPr>
            <w:tcW w:w="1101" w:type="dxa"/>
            <w:vMerge w:val="restart"/>
            <w:tcBorders>
              <w:top w:val="nil"/>
              <w:left w:val="single" w:sz="4" w:space="0" w:color="auto"/>
              <w:bottom w:val="single" w:sz="4" w:space="0" w:color="000000"/>
              <w:right w:val="single" w:sz="4" w:space="0" w:color="auto"/>
            </w:tcBorders>
            <w:shd w:val="clear" w:color="auto" w:fill="auto"/>
            <w:noWrap/>
            <w:vAlign w:val="bottom"/>
            <w:hideMark/>
          </w:tcPr>
          <w:p w:rsidR="00C75A88" w:rsidRPr="00DE0C77" w:rsidRDefault="00C75A88" w:rsidP="00C75A88">
            <w:pPr>
              <w:jc w:val="cente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 xml:space="preserve"> 2016 г.</w:t>
            </w:r>
          </w:p>
        </w:tc>
        <w:tc>
          <w:tcPr>
            <w:tcW w:w="997" w:type="dxa"/>
            <w:tcBorders>
              <w:top w:val="nil"/>
              <w:left w:val="nil"/>
              <w:bottom w:val="nil"/>
              <w:right w:val="nil"/>
            </w:tcBorders>
            <w:shd w:val="clear" w:color="auto" w:fill="auto"/>
            <w:vAlign w:val="bottom"/>
            <w:hideMark/>
          </w:tcPr>
          <w:p w:rsidR="00C75A88" w:rsidRPr="00DE0C77" w:rsidRDefault="00C75A88" w:rsidP="00C75A88">
            <w:pPr>
              <w:jc w:val="cente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 xml:space="preserve">отчет </w:t>
            </w:r>
          </w:p>
        </w:tc>
        <w:tc>
          <w:tcPr>
            <w:tcW w:w="997" w:type="dxa"/>
            <w:tcBorders>
              <w:top w:val="nil"/>
              <w:left w:val="nil"/>
              <w:bottom w:val="nil"/>
              <w:right w:val="single" w:sz="4" w:space="0" w:color="auto"/>
            </w:tcBorders>
            <w:shd w:val="clear" w:color="auto" w:fill="auto"/>
            <w:vAlign w:val="bottom"/>
            <w:hideMark/>
          </w:tcPr>
          <w:p w:rsidR="00C75A88" w:rsidRPr="00DE0C77" w:rsidRDefault="00C75A88" w:rsidP="00C75A88">
            <w:pPr>
              <w:jc w:val="cente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план</w:t>
            </w:r>
          </w:p>
        </w:tc>
      </w:tr>
      <w:tr w:rsidR="00C75A88" w:rsidRPr="00DE0C77" w:rsidTr="00C75A88">
        <w:trPr>
          <w:trHeight w:val="264"/>
        </w:trPr>
        <w:tc>
          <w:tcPr>
            <w:tcW w:w="436" w:type="dxa"/>
            <w:vMerge/>
            <w:tcBorders>
              <w:top w:val="single" w:sz="4" w:space="0" w:color="auto"/>
              <w:left w:val="single" w:sz="4" w:space="0" w:color="auto"/>
              <w:bottom w:val="single" w:sz="4" w:space="0" w:color="000000"/>
              <w:right w:val="nil"/>
            </w:tcBorders>
            <w:vAlign w:val="center"/>
            <w:hideMark/>
          </w:tcPr>
          <w:p w:rsidR="00C75A88" w:rsidRPr="00DE0C77" w:rsidRDefault="00C75A88" w:rsidP="00C75A88">
            <w:pPr>
              <w:rPr>
                <w:rFonts w:ascii="Calibri" w:eastAsia="Times New Roman" w:hAnsi="Calibri" w:cs="Calibri"/>
                <w:b/>
                <w:bCs/>
                <w:color w:val="000000"/>
                <w:sz w:val="18"/>
                <w:szCs w:val="18"/>
                <w:lang w:eastAsia="bg-BG"/>
              </w:rPr>
            </w:pPr>
          </w:p>
        </w:tc>
        <w:tc>
          <w:tcPr>
            <w:tcW w:w="3262" w:type="dxa"/>
            <w:vMerge/>
            <w:tcBorders>
              <w:top w:val="single" w:sz="4" w:space="0" w:color="auto"/>
              <w:left w:val="single" w:sz="4" w:space="0" w:color="auto"/>
              <w:bottom w:val="single" w:sz="4" w:space="0" w:color="000000"/>
              <w:right w:val="single" w:sz="4" w:space="0" w:color="auto"/>
            </w:tcBorders>
            <w:vAlign w:val="center"/>
            <w:hideMark/>
          </w:tcPr>
          <w:p w:rsidR="00C75A88" w:rsidRPr="00DE0C77" w:rsidRDefault="00C75A88" w:rsidP="00C75A88">
            <w:pPr>
              <w:rPr>
                <w:rFonts w:ascii="Calibri" w:eastAsia="Times New Roman" w:hAnsi="Calibri" w:cs="Calibri"/>
                <w:b/>
                <w:bCs/>
                <w:color w:val="000000"/>
                <w:sz w:val="18"/>
                <w:szCs w:val="18"/>
                <w:lang w:eastAsia="bg-BG"/>
              </w:rPr>
            </w:pPr>
          </w:p>
        </w:tc>
        <w:tc>
          <w:tcPr>
            <w:tcW w:w="997" w:type="dxa"/>
            <w:vMerge/>
            <w:tcBorders>
              <w:top w:val="single" w:sz="4" w:space="0" w:color="auto"/>
              <w:left w:val="nil"/>
              <w:bottom w:val="single" w:sz="4" w:space="0" w:color="000000"/>
              <w:right w:val="nil"/>
            </w:tcBorders>
            <w:vAlign w:val="center"/>
            <w:hideMark/>
          </w:tcPr>
          <w:p w:rsidR="00C75A88" w:rsidRPr="00DE0C77" w:rsidRDefault="00C75A88" w:rsidP="00C75A88">
            <w:pPr>
              <w:rPr>
                <w:rFonts w:ascii="Calibri" w:eastAsia="Times New Roman" w:hAnsi="Calibri" w:cs="Calibri"/>
                <w:b/>
                <w:bCs/>
                <w:color w:val="000000"/>
                <w:sz w:val="18"/>
                <w:szCs w:val="18"/>
                <w:lang w:eastAsia="bg-BG"/>
              </w:rPr>
            </w:pPr>
          </w:p>
        </w:tc>
        <w:tc>
          <w:tcPr>
            <w:tcW w:w="1101" w:type="dxa"/>
            <w:vMerge/>
            <w:tcBorders>
              <w:top w:val="nil"/>
              <w:left w:val="single" w:sz="4" w:space="0" w:color="auto"/>
              <w:bottom w:val="single" w:sz="4" w:space="0" w:color="000000"/>
              <w:right w:val="single" w:sz="4" w:space="0" w:color="auto"/>
            </w:tcBorders>
            <w:vAlign w:val="center"/>
            <w:hideMark/>
          </w:tcPr>
          <w:p w:rsidR="00C75A88" w:rsidRPr="00DE0C77" w:rsidRDefault="00C75A88" w:rsidP="00C75A88">
            <w:pPr>
              <w:rPr>
                <w:rFonts w:ascii="Calibri" w:eastAsia="Times New Roman" w:hAnsi="Calibri" w:cs="Calibri"/>
                <w:b/>
                <w:bCs/>
                <w:color w:val="000000"/>
                <w:sz w:val="18"/>
                <w:szCs w:val="18"/>
                <w:lang w:eastAsia="bg-BG"/>
              </w:rPr>
            </w:pPr>
          </w:p>
        </w:tc>
        <w:tc>
          <w:tcPr>
            <w:tcW w:w="1101" w:type="dxa"/>
            <w:vMerge/>
            <w:tcBorders>
              <w:top w:val="nil"/>
              <w:left w:val="single" w:sz="4" w:space="0" w:color="auto"/>
              <w:bottom w:val="single" w:sz="4" w:space="0" w:color="000000"/>
              <w:right w:val="single" w:sz="4" w:space="0" w:color="auto"/>
            </w:tcBorders>
            <w:vAlign w:val="center"/>
            <w:hideMark/>
          </w:tcPr>
          <w:p w:rsidR="00C75A88" w:rsidRPr="00DE0C77" w:rsidRDefault="00C75A88" w:rsidP="00C75A88">
            <w:pPr>
              <w:rPr>
                <w:rFonts w:ascii="Calibri" w:eastAsia="Times New Roman" w:hAnsi="Calibri" w:cs="Calibri"/>
                <w:b/>
                <w:bCs/>
                <w:color w:val="000000"/>
                <w:sz w:val="18"/>
                <w:szCs w:val="18"/>
                <w:lang w:eastAsia="bg-BG"/>
              </w:rPr>
            </w:pPr>
          </w:p>
        </w:tc>
        <w:tc>
          <w:tcPr>
            <w:tcW w:w="1101" w:type="dxa"/>
            <w:vMerge/>
            <w:tcBorders>
              <w:top w:val="nil"/>
              <w:left w:val="single" w:sz="4" w:space="0" w:color="auto"/>
              <w:bottom w:val="single" w:sz="4" w:space="0" w:color="000000"/>
              <w:right w:val="single" w:sz="4" w:space="0" w:color="auto"/>
            </w:tcBorders>
            <w:vAlign w:val="center"/>
            <w:hideMark/>
          </w:tcPr>
          <w:p w:rsidR="00C75A88" w:rsidRPr="00DE0C77" w:rsidRDefault="00C75A88" w:rsidP="00C75A88">
            <w:pPr>
              <w:rPr>
                <w:rFonts w:ascii="Calibri" w:eastAsia="Times New Roman" w:hAnsi="Calibri" w:cs="Calibri"/>
                <w:b/>
                <w:bCs/>
                <w:color w:val="000000"/>
                <w:sz w:val="18"/>
                <w:szCs w:val="18"/>
                <w:lang w:eastAsia="bg-BG"/>
              </w:rPr>
            </w:pPr>
          </w:p>
        </w:tc>
        <w:tc>
          <w:tcPr>
            <w:tcW w:w="997" w:type="dxa"/>
            <w:tcBorders>
              <w:top w:val="nil"/>
              <w:left w:val="nil"/>
              <w:bottom w:val="single" w:sz="4" w:space="0" w:color="auto"/>
              <w:right w:val="nil"/>
            </w:tcBorders>
            <w:shd w:val="clear" w:color="auto" w:fill="auto"/>
            <w:vAlign w:val="bottom"/>
            <w:hideMark/>
          </w:tcPr>
          <w:p w:rsidR="00C75A88" w:rsidRPr="00DE0C77" w:rsidRDefault="00C75A88" w:rsidP="00C75A88">
            <w:pPr>
              <w:jc w:val="cente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2016 г.</w:t>
            </w:r>
          </w:p>
        </w:tc>
        <w:tc>
          <w:tcPr>
            <w:tcW w:w="997" w:type="dxa"/>
            <w:tcBorders>
              <w:top w:val="nil"/>
              <w:left w:val="nil"/>
              <w:bottom w:val="single" w:sz="4" w:space="0" w:color="auto"/>
              <w:right w:val="single" w:sz="4" w:space="0" w:color="auto"/>
            </w:tcBorders>
            <w:shd w:val="clear" w:color="auto" w:fill="auto"/>
            <w:vAlign w:val="bottom"/>
            <w:hideMark/>
          </w:tcPr>
          <w:p w:rsidR="00C75A88" w:rsidRPr="00DE0C77" w:rsidRDefault="00C75A88" w:rsidP="00C75A88">
            <w:pPr>
              <w:jc w:val="cente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 xml:space="preserve"> 2017 г.</w:t>
            </w:r>
          </w:p>
        </w:tc>
      </w:tr>
      <w:tr w:rsidR="00C75A88" w:rsidRPr="00DE0C77" w:rsidTr="00C75A88">
        <w:trPr>
          <w:trHeight w:val="264"/>
        </w:trPr>
        <w:tc>
          <w:tcPr>
            <w:tcW w:w="436" w:type="dxa"/>
            <w:tcBorders>
              <w:top w:val="nil"/>
              <w:left w:val="single" w:sz="4" w:space="0" w:color="auto"/>
              <w:bottom w:val="nil"/>
              <w:right w:val="nil"/>
            </w:tcBorders>
            <w:shd w:val="clear" w:color="000000" w:fill="FFFFFF"/>
            <w:noWrap/>
            <w:vAlign w:val="bottom"/>
            <w:hideMark/>
          </w:tcPr>
          <w:p w:rsidR="00C75A88" w:rsidRPr="00DE0C77" w:rsidRDefault="00C75A88" w:rsidP="00C75A88">
            <w:pPr>
              <w:jc w:val="cente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1</w:t>
            </w:r>
          </w:p>
        </w:tc>
        <w:tc>
          <w:tcPr>
            <w:tcW w:w="3262" w:type="dxa"/>
            <w:tcBorders>
              <w:top w:val="nil"/>
              <w:left w:val="single" w:sz="4" w:space="0" w:color="auto"/>
              <w:bottom w:val="nil"/>
              <w:right w:val="single" w:sz="4" w:space="0" w:color="auto"/>
            </w:tcBorders>
            <w:shd w:val="clear" w:color="000000" w:fill="FFFFFF"/>
            <w:noWrap/>
            <w:vAlign w:val="bottom"/>
            <w:hideMark/>
          </w:tcPr>
          <w:p w:rsidR="00C75A88" w:rsidRPr="00DE0C77" w:rsidRDefault="00C75A88" w:rsidP="00C75A88">
            <w:pP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Превоз на товари</w:t>
            </w:r>
          </w:p>
        </w:tc>
        <w:tc>
          <w:tcPr>
            <w:tcW w:w="997" w:type="dxa"/>
            <w:tcBorders>
              <w:top w:val="nil"/>
              <w:left w:val="nil"/>
              <w:bottom w:val="nil"/>
              <w:right w:val="nil"/>
            </w:tcBorders>
            <w:shd w:val="clear" w:color="auto" w:fill="auto"/>
            <w:noWrap/>
            <w:vAlign w:val="bottom"/>
            <w:hideMark/>
          </w:tcPr>
          <w:p w:rsidR="00C75A88" w:rsidRPr="00DE0C77" w:rsidRDefault="00C75A88" w:rsidP="00C75A88">
            <w:pPr>
              <w:jc w:val="cente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 xml:space="preserve">хил. тона </w:t>
            </w:r>
          </w:p>
        </w:tc>
        <w:tc>
          <w:tcPr>
            <w:tcW w:w="1101" w:type="dxa"/>
            <w:tcBorders>
              <w:top w:val="nil"/>
              <w:left w:val="single" w:sz="4" w:space="0" w:color="auto"/>
              <w:bottom w:val="nil"/>
              <w:right w:val="single" w:sz="4" w:space="0" w:color="auto"/>
            </w:tcBorders>
            <w:shd w:val="clear" w:color="auto" w:fill="auto"/>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6 230</w:t>
            </w:r>
          </w:p>
        </w:tc>
        <w:tc>
          <w:tcPr>
            <w:tcW w:w="1101" w:type="dxa"/>
            <w:tcBorders>
              <w:top w:val="nil"/>
              <w:left w:val="nil"/>
              <w:bottom w:val="nil"/>
              <w:right w:val="nil"/>
            </w:tcBorders>
            <w:shd w:val="clear" w:color="auto" w:fill="auto"/>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5 900</w:t>
            </w:r>
          </w:p>
        </w:tc>
        <w:tc>
          <w:tcPr>
            <w:tcW w:w="1101" w:type="dxa"/>
            <w:tcBorders>
              <w:top w:val="nil"/>
              <w:left w:val="single" w:sz="4" w:space="0" w:color="auto"/>
              <w:bottom w:val="nil"/>
              <w:right w:val="single" w:sz="4" w:space="0" w:color="auto"/>
            </w:tcBorders>
            <w:shd w:val="clear" w:color="auto" w:fill="auto"/>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6 201</w:t>
            </w:r>
          </w:p>
        </w:tc>
        <w:tc>
          <w:tcPr>
            <w:tcW w:w="997" w:type="dxa"/>
            <w:tcBorders>
              <w:top w:val="nil"/>
              <w:left w:val="nil"/>
              <w:bottom w:val="nil"/>
              <w:right w:val="nil"/>
            </w:tcBorders>
            <w:shd w:val="clear" w:color="000000" w:fill="FFFFFF"/>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29</w:t>
            </w:r>
          </w:p>
        </w:tc>
        <w:tc>
          <w:tcPr>
            <w:tcW w:w="997" w:type="dxa"/>
            <w:tcBorders>
              <w:top w:val="nil"/>
              <w:left w:val="single" w:sz="4" w:space="0" w:color="auto"/>
              <w:bottom w:val="nil"/>
              <w:right w:val="single" w:sz="4" w:space="0" w:color="auto"/>
            </w:tcBorders>
            <w:shd w:val="clear" w:color="000000" w:fill="FFFFFF"/>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330</w:t>
            </w:r>
          </w:p>
        </w:tc>
      </w:tr>
      <w:tr w:rsidR="00C75A88" w:rsidRPr="00DE0C77" w:rsidTr="00C75A88">
        <w:trPr>
          <w:trHeight w:val="264"/>
        </w:trPr>
        <w:tc>
          <w:tcPr>
            <w:tcW w:w="436" w:type="dxa"/>
            <w:tcBorders>
              <w:top w:val="nil"/>
              <w:left w:val="single" w:sz="4" w:space="0" w:color="auto"/>
              <w:bottom w:val="nil"/>
              <w:right w:val="nil"/>
            </w:tcBorders>
            <w:shd w:val="clear" w:color="000000" w:fill="FFFFFF"/>
            <w:noWrap/>
            <w:vAlign w:val="bottom"/>
            <w:hideMark/>
          </w:tcPr>
          <w:p w:rsidR="00C75A88" w:rsidRPr="00DE0C77" w:rsidRDefault="00C75A88" w:rsidP="00C75A88">
            <w:pPr>
              <w:jc w:val="cente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2</w:t>
            </w:r>
          </w:p>
        </w:tc>
        <w:tc>
          <w:tcPr>
            <w:tcW w:w="3262" w:type="dxa"/>
            <w:tcBorders>
              <w:top w:val="nil"/>
              <w:left w:val="single" w:sz="4" w:space="0" w:color="auto"/>
              <w:bottom w:val="nil"/>
              <w:right w:val="single" w:sz="4" w:space="0" w:color="auto"/>
            </w:tcBorders>
            <w:shd w:val="clear" w:color="000000" w:fill="FFFFFF"/>
            <w:noWrap/>
            <w:vAlign w:val="bottom"/>
            <w:hideMark/>
          </w:tcPr>
          <w:p w:rsidR="00C75A88" w:rsidRPr="00DE0C77" w:rsidRDefault="00C75A88" w:rsidP="00C75A88">
            <w:pP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Средно превозно разстояние</w:t>
            </w:r>
          </w:p>
        </w:tc>
        <w:tc>
          <w:tcPr>
            <w:tcW w:w="997" w:type="dxa"/>
            <w:tcBorders>
              <w:top w:val="nil"/>
              <w:left w:val="nil"/>
              <w:bottom w:val="nil"/>
              <w:right w:val="nil"/>
            </w:tcBorders>
            <w:shd w:val="clear" w:color="auto" w:fill="auto"/>
            <w:noWrap/>
            <w:vAlign w:val="bottom"/>
            <w:hideMark/>
          </w:tcPr>
          <w:p w:rsidR="00C75A88" w:rsidRPr="00DE0C77" w:rsidRDefault="00C75A88" w:rsidP="00C75A88">
            <w:pPr>
              <w:jc w:val="cente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км</w:t>
            </w:r>
          </w:p>
        </w:tc>
        <w:tc>
          <w:tcPr>
            <w:tcW w:w="1101" w:type="dxa"/>
            <w:tcBorders>
              <w:top w:val="nil"/>
              <w:left w:val="single" w:sz="4" w:space="0" w:color="auto"/>
              <w:bottom w:val="nil"/>
              <w:right w:val="single" w:sz="4" w:space="0" w:color="auto"/>
            </w:tcBorders>
            <w:shd w:val="clear" w:color="auto" w:fill="auto"/>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262</w:t>
            </w:r>
          </w:p>
        </w:tc>
        <w:tc>
          <w:tcPr>
            <w:tcW w:w="1101" w:type="dxa"/>
            <w:tcBorders>
              <w:top w:val="nil"/>
              <w:left w:val="nil"/>
              <w:bottom w:val="nil"/>
              <w:right w:val="nil"/>
            </w:tcBorders>
            <w:shd w:val="clear" w:color="auto" w:fill="auto"/>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271</w:t>
            </w:r>
          </w:p>
        </w:tc>
        <w:tc>
          <w:tcPr>
            <w:tcW w:w="1101" w:type="dxa"/>
            <w:tcBorders>
              <w:top w:val="nil"/>
              <w:left w:val="single" w:sz="4" w:space="0" w:color="auto"/>
              <w:bottom w:val="nil"/>
              <w:right w:val="single" w:sz="4" w:space="0" w:color="auto"/>
            </w:tcBorders>
            <w:shd w:val="clear" w:color="auto" w:fill="auto"/>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254</w:t>
            </w:r>
          </w:p>
        </w:tc>
        <w:tc>
          <w:tcPr>
            <w:tcW w:w="997" w:type="dxa"/>
            <w:tcBorders>
              <w:top w:val="nil"/>
              <w:left w:val="nil"/>
              <w:bottom w:val="nil"/>
              <w:right w:val="nil"/>
            </w:tcBorders>
            <w:shd w:val="clear" w:color="000000" w:fill="FFFFFF"/>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8</w:t>
            </w:r>
          </w:p>
        </w:tc>
        <w:tc>
          <w:tcPr>
            <w:tcW w:w="997" w:type="dxa"/>
            <w:tcBorders>
              <w:top w:val="nil"/>
              <w:left w:val="single" w:sz="4" w:space="0" w:color="auto"/>
              <w:bottom w:val="nil"/>
              <w:right w:val="single" w:sz="4" w:space="0" w:color="auto"/>
            </w:tcBorders>
            <w:shd w:val="clear" w:color="000000" w:fill="FFFFFF"/>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-9</w:t>
            </w:r>
          </w:p>
        </w:tc>
      </w:tr>
      <w:tr w:rsidR="00C75A88" w:rsidRPr="00DE0C77" w:rsidTr="00C75A88">
        <w:trPr>
          <w:trHeight w:val="264"/>
        </w:trPr>
        <w:tc>
          <w:tcPr>
            <w:tcW w:w="436" w:type="dxa"/>
            <w:tcBorders>
              <w:top w:val="nil"/>
              <w:left w:val="single" w:sz="4" w:space="0" w:color="auto"/>
              <w:bottom w:val="nil"/>
              <w:right w:val="nil"/>
            </w:tcBorders>
            <w:shd w:val="clear" w:color="000000" w:fill="FFFFFF"/>
            <w:noWrap/>
            <w:vAlign w:val="bottom"/>
            <w:hideMark/>
          </w:tcPr>
          <w:p w:rsidR="00C75A88" w:rsidRPr="00DE0C77" w:rsidRDefault="00C75A88" w:rsidP="00C75A88">
            <w:pPr>
              <w:jc w:val="cente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3</w:t>
            </w:r>
          </w:p>
        </w:tc>
        <w:tc>
          <w:tcPr>
            <w:tcW w:w="3262" w:type="dxa"/>
            <w:tcBorders>
              <w:top w:val="nil"/>
              <w:left w:val="single" w:sz="4" w:space="0" w:color="auto"/>
              <w:bottom w:val="nil"/>
              <w:right w:val="single" w:sz="4" w:space="0" w:color="auto"/>
            </w:tcBorders>
            <w:shd w:val="clear" w:color="000000" w:fill="FFFFFF"/>
            <w:noWrap/>
            <w:vAlign w:val="bottom"/>
            <w:hideMark/>
          </w:tcPr>
          <w:p w:rsidR="00C75A88" w:rsidRPr="00DE0C77" w:rsidRDefault="00C75A88" w:rsidP="00C75A88">
            <w:pP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Нетотонкилометри</w:t>
            </w:r>
          </w:p>
        </w:tc>
        <w:tc>
          <w:tcPr>
            <w:tcW w:w="997" w:type="dxa"/>
            <w:tcBorders>
              <w:top w:val="nil"/>
              <w:left w:val="nil"/>
              <w:bottom w:val="nil"/>
              <w:right w:val="nil"/>
            </w:tcBorders>
            <w:shd w:val="clear" w:color="auto" w:fill="auto"/>
            <w:noWrap/>
            <w:vAlign w:val="bottom"/>
            <w:hideMark/>
          </w:tcPr>
          <w:p w:rsidR="00C75A88" w:rsidRPr="00DE0C77" w:rsidRDefault="00C75A88" w:rsidP="00C75A88">
            <w:pPr>
              <w:jc w:val="cente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млн.</w:t>
            </w:r>
          </w:p>
        </w:tc>
        <w:tc>
          <w:tcPr>
            <w:tcW w:w="1101" w:type="dxa"/>
            <w:tcBorders>
              <w:top w:val="nil"/>
              <w:left w:val="single" w:sz="4" w:space="0" w:color="auto"/>
              <w:bottom w:val="nil"/>
              <w:right w:val="single" w:sz="4" w:space="0" w:color="auto"/>
            </w:tcBorders>
            <w:shd w:val="clear" w:color="auto" w:fill="auto"/>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1 632</w:t>
            </w:r>
          </w:p>
        </w:tc>
        <w:tc>
          <w:tcPr>
            <w:tcW w:w="1101" w:type="dxa"/>
            <w:tcBorders>
              <w:top w:val="nil"/>
              <w:left w:val="nil"/>
              <w:bottom w:val="nil"/>
              <w:right w:val="nil"/>
            </w:tcBorders>
            <w:shd w:val="clear" w:color="auto" w:fill="auto"/>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1 598</w:t>
            </w:r>
          </w:p>
        </w:tc>
        <w:tc>
          <w:tcPr>
            <w:tcW w:w="1101" w:type="dxa"/>
            <w:tcBorders>
              <w:top w:val="nil"/>
              <w:left w:val="single" w:sz="4" w:space="0" w:color="auto"/>
              <w:bottom w:val="nil"/>
              <w:right w:val="single" w:sz="4" w:space="0" w:color="auto"/>
            </w:tcBorders>
            <w:shd w:val="clear" w:color="auto" w:fill="auto"/>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1 573</w:t>
            </w:r>
          </w:p>
        </w:tc>
        <w:tc>
          <w:tcPr>
            <w:tcW w:w="997" w:type="dxa"/>
            <w:tcBorders>
              <w:top w:val="nil"/>
              <w:left w:val="nil"/>
              <w:bottom w:val="nil"/>
              <w:right w:val="nil"/>
            </w:tcBorders>
            <w:shd w:val="clear" w:color="000000" w:fill="FFFFFF"/>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59</w:t>
            </w:r>
          </w:p>
        </w:tc>
        <w:tc>
          <w:tcPr>
            <w:tcW w:w="997" w:type="dxa"/>
            <w:tcBorders>
              <w:top w:val="nil"/>
              <w:left w:val="single" w:sz="4" w:space="0" w:color="auto"/>
              <w:bottom w:val="nil"/>
              <w:right w:val="single" w:sz="4" w:space="0" w:color="auto"/>
            </w:tcBorders>
            <w:shd w:val="clear" w:color="000000" w:fill="FFFFFF"/>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34</w:t>
            </w:r>
          </w:p>
        </w:tc>
      </w:tr>
      <w:tr w:rsidR="00C75A88" w:rsidRPr="00DE0C77" w:rsidTr="00C75A88">
        <w:trPr>
          <w:trHeight w:val="264"/>
        </w:trPr>
        <w:tc>
          <w:tcPr>
            <w:tcW w:w="436" w:type="dxa"/>
            <w:tcBorders>
              <w:top w:val="nil"/>
              <w:left w:val="single" w:sz="4" w:space="0" w:color="auto"/>
              <w:bottom w:val="nil"/>
              <w:right w:val="nil"/>
            </w:tcBorders>
            <w:shd w:val="clear" w:color="000000" w:fill="FFFFFF"/>
            <w:noWrap/>
            <w:vAlign w:val="bottom"/>
            <w:hideMark/>
          </w:tcPr>
          <w:p w:rsidR="00C75A88" w:rsidRPr="00DE0C77" w:rsidRDefault="00C75A88" w:rsidP="00C75A88">
            <w:pPr>
              <w:jc w:val="cente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4</w:t>
            </w:r>
          </w:p>
        </w:tc>
        <w:tc>
          <w:tcPr>
            <w:tcW w:w="3262" w:type="dxa"/>
            <w:tcBorders>
              <w:top w:val="nil"/>
              <w:left w:val="single" w:sz="4" w:space="0" w:color="auto"/>
              <w:bottom w:val="nil"/>
              <w:right w:val="single" w:sz="4" w:space="0" w:color="auto"/>
            </w:tcBorders>
            <w:shd w:val="clear" w:color="000000" w:fill="FFFFFF"/>
            <w:noWrap/>
            <w:vAlign w:val="bottom"/>
            <w:hideMark/>
          </w:tcPr>
          <w:p w:rsidR="00C75A88" w:rsidRPr="00DE0C77" w:rsidRDefault="00C75A88" w:rsidP="00C75A88">
            <w:pP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Приходи – нето</w:t>
            </w:r>
          </w:p>
        </w:tc>
        <w:tc>
          <w:tcPr>
            <w:tcW w:w="997" w:type="dxa"/>
            <w:tcBorders>
              <w:top w:val="nil"/>
              <w:left w:val="nil"/>
              <w:bottom w:val="nil"/>
              <w:right w:val="nil"/>
            </w:tcBorders>
            <w:shd w:val="clear" w:color="auto" w:fill="auto"/>
            <w:noWrap/>
            <w:vAlign w:val="bottom"/>
            <w:hideMark/>
          </w:tcPr>
          <w:p w:rsidR="00C75A88" w:rsidRPr="00DE0C77" w:rsidRDefault="00C75A88" w:rsidP="00C75A88">
            <w:pPr>
              <w:jc w:val="cente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хил.лв.</w:t>
            </w:r>
          </w:p>
        </w:tc>
        <w:tc>
          <w:tcPr>
            <w:tcW w:w="1101" w:type="dxa"/>
            <w:tcBorders>
              <w:top w:val="nil"/>
              <w:left w:val="single" w:sz="4" w:space="0" w:color="auto"/>
              <w:bottom w:val="nil"/>
              <w:right w:val="single" w:sz="4" w:space="0" w:color="auto"/>
            </w:tcBorders>
            <w:shd w:val="clear" w:color="auto" w:fill="auto"/>
            <w:noWrap/>
            <w:vAlign w:val="bottom"/>
            <w:hideMark/>
          </w:tcPr>
          <w:p w:rsidR="00C75A88" w:rsidRPr="00DE0C77" w:rsidRDefault="00C75A88" w:rsidP="00C75A88">
            <w:pPr>
              <w:jc w:val="right"/>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96 992</w:t>
            </w:r>
          </w:p>
        </w:tc>
        <w:tc>
          <w:tcPr>
            <w:tcW w:w="1101" w:type="dxa"/>
            <w:tcBorders>
              <w:top w:val="nil"/>
              <w:left w:val="nil"/>
              <w:bottom w:val="nil"/>
              <w:right w:val="nil"/>
            </w:tcBorders>
            <w:shd w:val="clear" w:color="auto" w:fill="auto"/>
            <w:noWrap/>
            <w:vAlign w:val="bottom"/>
            <w:hideMark/>
          </w:tcPr>
          <w:p w:rsidR="00C75A88" w:rsidRPr="00DE0C77" w:rsidRDefault="00C75A88" w:rsidP="00C75A88">
            <w:pPr>
              <w:jc w:val="right"/>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97 021</w:t>
            </w:r>
          </w:p>
        </w:tc>
        <w:tc>
          <w:tcPr>
            <w:tcW w:w="1101" w:type="dxa"/>
            <w:tcBorders>
              <w:top w:val="nil"/>
              <w:left w:val="single" w:sz="4" w:space="0" w:color="auto"/>
              <w:bottom w:val="nil"/>
              <w:right w:val="single" w:sz="4" w:space="0" w:color="auto"/>
            </w:tcBorders>
            <w:shd w:val="clear" w:color="auto" w:fill="auto"/>
            <w:noWrap/>
            <w:vAlign w:val="bottom"/>
            <w:hideMark/>
          </w:tcPr>
          <w:p w:rsidR="00C75A88" w:rsidRPr="00DE0C77" w:rsidRDefault="00C75A88" w:rsidP="00C75A88">
            <w:pPr>
              <w:jc w:val="right"/>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97 769</w:t>
            </w:r>
          </w:p>
        </w:tc>
        <w:tc>
          <w:tcPr>
            <w:tcW w:w="997" w:type="dxa"/>
            <w:tcBorders>
              <w:top w:val="nil"/>
              <w:left w:val="nil"/>
              <w:bottom w:val="nil"/>
              <w:right w:val="nil"/>
            </w:tcBorders>
            <w:shd w:val="clear" w:color="000000" w:fill="FFFFFF"/>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-777</w:t>
            </w:r>
          </w:p>
        </w:tc>
        <w:tc>
          <w:tcPr>
            <w:tcW w:w="997" w:type="dxa"/>
            <w:tcBorders>
              <w:top w:val="nil"/>
              <w:left w:val="single" w:sz="4" w:space="0" w:color="auto"/>
              <w:bottom w:val="nil"/>
              <w:right w:val="single" w:sz="4" w:space="0" w:color="auto"/>
            </w:tcBorders>
            <w:shd w:val="clear" w:color="000000" w:fill="FFFFFF"/>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-29</w:t>
            </w:r>
          </w:p>
        </w:tc>
      </w:tr>
      <w:tr w:rsidR="00C75A88" w:rsidRPr="00DE0C77" w:rsidTr="00C75A88">
        <w:trPr>
          <w:trHeight w:val="264"/>
        </w:trPr>
        <w:tc>
          <w:tcPr>
            <w:tcW w:w="436" w:type="dxa"/>
            <w:tcBorders>
              <w:top w:val="nil"/>
              <w:left w:val="single" w:sz="4" w:space="0" w:color="auto"/>
              <w:bottom w:val="nil"/>
              <w:right w:val="nil"/>
            </w:tcBorders>
            <w:shd w:val="clear" w:color="000000" w:fill="FFFFFF"/>
            <w:noWrap/>
            <w:vAlign w:val="bottom"/>
            <w:hideMark/>
          </w:tcPr>
          <w:p w:rsidR="00C75A88" w:rsidRPr="00DE0C77" w:rsidRDefault="00C75A88" w:rsidP="00C75A88">
            <w:pPr>
              <w:jc w:val="cente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5</w:t>
            </w:r>
          </w:p>
        </w:tc>
        <w:tc>
          <w:tcPr>
            <w:tcW w:w="3262" w:type="dxa"/>
            <w:tcBorders>
              <w:top w:val="nil"/>
              <w:left w:val="single" w:sz="4" w:space="0" w:color="auto"/>
              <w:bottom w:val="nil"/>
              <w:right w:val="single" w:sz="4" w:space="0" w:color="auto"/>
            </w:tcBorders>
            <w:shd w:val="clear" w:color="000000" w:fill="FFFFFF"/>
            <w:noWrap/>
            <w:vAlign w:val="bottom"/>
            <w:hideMark/>
          </w:tcPr>
          <w:p w:rsidR="00C75A88" w:rsidRPr="00DE0C77" w:rsidRDefault="00C75A88" w:rsidP="00C75A88">
            <w:pP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 xml:space="preserve">Финансов резултат </w:t>
            </w:r>
          </w:p>
        </w:tc>
        <w:tc>
          <w:tcPr>
            <w:tcW w:w="997" w:type="dxa"/>
            <w:tcBorders>
              <w:top w:val="nil"/>
              <w:left w:val="nil"/>
              <w:bottom w:val="nil"/>
              <w:right w:val="nil"/>
            </w:tcBorders>
            <w:shd w:val="clear" w:color="auto" w:fill="auto"/>
            <w:noWrap/>
            <w:vAlign w:val="bottom"/>
            <w:hideMark/>
          </w:tcPr>
          <w:p w:rsidR="00C75A88" w:rsidRPr="00DE0C77" w:rsidRDefault="00C75A88" w:rsidP="00C75A88">
            <w:pPr>
              <w:jc w:val="center"/>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хил. лв.</w:t>
            </w:r>
          </w:p>
        </w:tc>
        <w:tc>
          <w:tcPr>
            <w:tcW w:w="1101" w:type="dxa"/>
            <w:tcBorders>
              <w:top w:val="nil"/>
              <w:left w:val="single" w:sz="4" w:space="0" w:color="auto"/>
              <w:bottom w:val="nil"/>
              <w:right w:val="single" w:sz="4" w:space="0" w:color="auto"/>
            </w:tcBorders>
            <w:shd w:val="clear" w:color="auto" w:fill="auto"/>
            <w:noWrap/>
            <w:vAlign w:val="bottom"/>
            <w:hideMark/>
          </w:tcPr>
          <w:p w:rsidR="00C75A88" w:rsidRPr="00DE0C77" w:rsidRDefault="00C75A88" w:rsidP="00C75A88">
            <w:pPr>
              <w:jc w:val="right"/>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-6 203</w:t>
            </w:r>
          </w:p>
        </w:tc>
        <w:tc>
          <w:tcPr>
            <w:tcW w:w="1101" w:type="dxa"/>
            <w:tcBorders>
              <w:top w:val="nil"/>
              <w:left w:val="nil"/>
              <w:bottom w:val="nil"/>
              <w:right w:val="nil"/>
            </w:tcBorders>
            <w:shd w:val="clear" w:color="auto" w:fill="auto"/>
            <w:noWrap/>
            <w:vAlign w:val="bottom"/>
            <w:hideMark/>
          </w:tcPr>
          <w:p w:rsidR="00C75A88" w:rsidRPr="00DE0C77" w:rsidRDefault="00C75A88" w:rsidP="00C75A88">
            <w:pPr>
              <w:jc w:val="right"/>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1 070</w:t>
            </w:r>
          </w:p>
        </w:tc>
        <w:tc>
          <w:tcPr>
            <w:tcW w:w="1101" w:type="dxa"/>
            <w:tcBorders>
              <w:top w:val="nil"/>
              <w:left w:val="single" w:sz="4" w:space="0" w:color="auto"/>
              <w:bottom w:val="nil"/>
              <w:right w:val="single" w:sz="4" w:space="0" w:color="auto"/>
            </w:tcBorders>
            <w:shd w:val="clear" w:color="auto" w:fill="auto"/>
            <w:noWrap/>
            <w:vAlign w:val="bottom"/>
            <w:hideMark/>
          </w:tcPr>
          <w:p w:rsidR="00C75A88" w:rsidRPr="00DE0C77" w:rsidRDefault="00C75A88" w:rsidP="00C75A88">
            <w:pPr>
              <w:jc w:val="right"/>
              <w:rPr>
                <w:rFonts w:ascii="Calibri" w:eastAsia="Times New Roman" w:hAnsi="Calibri" w:cs="Calibri"/>
                <w:b/>
                <w:bCs/>
                <w:color w:val="000000"/>
                <w:sz w:val="18"/>
                <w:szCs w:val="18"/>
                <w:lang w:eastAsia="bg-BG"/>
              </w:rPr>
            </w:pPr>
            <w:r w:rsidRPr="00DE0C77">
              <w:rPr>
                <w:rFonts w:ascii="Calibri" w:eastAsia="Times New Roman" w:hAnsi="Calibri" w:cs="Calibri"/>
                <w:b/>
                <w:bCs/>
                <w:color w:val="000000"/>
                <w:sz w:val="18"/>
                <w:szCs w:val="18"/>
                <w:lang w:eastAsia="bg-BG"/>
              </w:rPr>
              <w:t>-447</w:t>
            </w:r>
          </w:p>
        </w:tc>
        <w:tc>
          <w:tcPr>
            <w:tcW w:w="997" w:type="dxa"/>
            <w:tcBorders>
              <w:top w:val="nil"/>
              <w:left w:val="nil"/>
              <w:bottom w:val="nil"/>
              <w:right w:val="nil"/>
            </w:tcBorders>
            <w:shd w:val="clear" w:color="000000" w:fill="FFFFFF"/>
            <w:noWrap/>
            <w:vAlign w:val="bottom"/>
            <w:hideMark/>
          </w:tcPr>
          <w:p w:rsidR="00C75A88" w:rsidRPr="00DE0C77" w:rsidRDefault="00C75A88" w:rsidP="00C75A88">
            <w:pPr>
              <w:jc w:val="right"/>
              <w:rPr>
                <w:rFonts w:ascii="Calibri" w:eastAsia="Times New Roman" w:hAnsi="Calibri" w:cs="Calibri"/>
                <w:b/>
                <w:bCs/>
                <w:sz w:val="18"/>
                <w:szCs w:val="18"/>
                <w:lang w:eastAsia="bg-BG"/>
              </w:rPr>
            </w:pPr>
            <w:r w:rsidRPr="00DE0C77">
              <w:rPr>
                <w:rFonts w:ascii="Calibri" w:eastAsia="Times New Roman" w:hAnsi="Calibri" w:cs="Calibri"/>
                <w:b/>
                <w:bCs/>
                <w:sz w:val="18"/>
                <w:szCs w:val="18"/>
                <w:lang w:eastAsia="bg-BG"/>
              </w:rPr>
              <w:t>-5 756</w:t>
            </w:r>
          </w:p>
        </w:tc>
        <w:tc>
          <w:tcPr>
            <w:tcW w:w="997" w:type="dxa"/>
            <w:tcBorders>
              <w:top w:val="nil"/>
              <w:left w:val="single" w:sz="4" w:space="0" w:color="auto"/>
              <w:bottom w:val="nil"/>
              <w:right w:val="single" w:sz="4" w:space="0" w:color="auto"/>
            </w:tcBorders>
            <w:shd w:val="clear" w:color="000000" w:fill="FFFFFF"/>
            <w:noWrap/>
            <w:vAlign w:val="bottom"/>
            <w:hideMark/>
          </w:tcPr>
          <w:p w:rsidR="00C75A88" w:rsidRPr="00DE0C77" w:rsidRDefault="00C75A88" w:rsidP="00C75A88">
            <w:pPr>
              <w:jc w:val="right"/>
              <w:rPr>
                <w:rFonts w:ascii="Calibri" w:eastAsia="Times New Roman" w:hAnsi="Calibri" w:cs="Calibri"/>
                <w:b/>
                <w:bCs/>
                <w:sz w:val="18"/>
                <w:szCs w:val="18"/>
                <w:lang w:eastAsia="bg-BG"/>
              </w:rPr>
            </w:pPr>
            <w:r w:rsidRPr="00DE0C77">
              <w:rPr>
                <w:rFonts w:ascii="Calibri" w:eastAsia="Times New Roman" w:hAnsi="Calibri" w:cs="Calibri"/>
                <w:b/>
                <w:bCs/>
                <w:sz w:val="18"/>
                <w:szCs w:val="18"/>
                <w:lang w:eastAsia="bg-BG"/>
              </w:rPr>
              <w:t>-7 273</w:t>
            </w:r>
          </w:p>
        </w:tc>
      </w:tr>
      <w:tr w:rsidR="00C75A88" w:rsidRPr="00DE0C77" w:rsidTr="00C75A88">
        <w:trPr>
          <w:trHeight w:val="264"/>
        </w:trPr>
        <w:tc>
          <w:tcPr>
            <w:tcW w:w="436" w:type="dxa"/>
            <w:tcBorders>
              <w:top w:val="nil"/>
              <w:left w:val="single" w:sz="4" w:space="0" w:color="auto"/>
              <w:bottom w:val="nil"/>
              <w:right w:val="nil"/>
            </w:tcBorders>
            <w:shd w:val="clear" w:color="000000" w:fill="FFFFFF"/>
            <w:noWrap/>
            <w:vAlign w:val="bottom"/>
            <w:hideMark/>
          </w:tcPr>
          <w:p w:rsidR="00C75A88" w:rsidRPr="00DE0C77" w:rsidRDefault="00C75A88" w:rsidP="00C75A88">
            <w:pPr>
              <w:jc w:val="cente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6</w:t>
            </w:r>
          </w:p>
        </w:tc>
        <w:tc>
          <w:tcPr>
            <w:tcW w:w="3262" w:type="dxa"/>
            <w:tcBorders>
              <w:top w:val="nil"/>
              <w:left w:val="single" w:sz="4" w:space="0" w:color="auto"/>
              <w:bottom w:val="nil"/>
              <w:right w:val="single" w:sz="4" w:space="0" w:color="auto"/>
            </w:tcBorders>
            <w:shd w:val="clear" w:color="000000" w:fill="FFFFFF"/>
            <w:noWrap/>
            <w:vAlign w:val="bottom"/>
            <w:hideMark/>
          </w:tcPr>
          <w:p w:rsidR="00C75A88" w:rsidRPr="00DE0C77" w:rsidRDefault="00C75A88" w:rsidP="00C75A88">
            <w:pP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Средносписъчен брой на персонала</w:t>
            </w:r>
          </w:p>
        </w:tc>
        <w:tc>
          <w:tcPr>
            <w:tcW w:w="997" w:type="dxa"/>
            <w:tcBorders>
              <w:top w:val="nil"/>
              <w:left w:val="nil"/>
              <w:bottom w:val="nil"/>
              <w:right w:val="nil"/>
            </w:tcBorders>
            <w:shd w:val="clear" w:color="auto" w:fill="auto"/>
            <w:noWrap/>
            <w:vAlign w:val="bottom"/>
            <w:hideMark/>
          </w:tcPr>
          <w:p w:rsidR="00C75A88" w:rsidRPr="00DE0C77" w:rsidRDefault="00C75A88" w:rsidP="00C75A88">
            <w:pPr>
              <w:jc w:val="cente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брой</w:t>
            </w:r>
          </w:p>
        </w:tc>
        <w:tc>
          <w:tcPr>
            <w:tcW w:w="1101" w:type="dxa"/>
            <w:tcBorders>
              <w:top w:val="nil"/>
              <w:left w:val="single" w:sz="4" w:space="0" w:color="auto"/>
              <w:bottom w:val="nil"/>
              <w:right w:val="single" w:sz="4" w:space="0" w:color="auto"/>
            </w:tcBorders>
            <w:shd w:val="clear" w:color="auto" w:fill="auto"/>
            <w:noWrap/>
            <w:vAlign w:val="bottom"/>
            <w:hideMark/>
          </w:tcPr>
          <w:p w:rsidR="00C75A88" w:rsidRPr="00DE0C77" w:rsidRDefault="00C75A88" w:rsidP="00C75A88">
            <w:pPr>
              <w:jc w:val="right"/>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3 250</w:t>
            </w:r>
          </w:p>
        </w:tc>
        <w:tc>
          <w:tcPr>
            <w:tcW w:w="1101" w:type="dxa"/>
            <w:tcBorders>
              <w:top w:val="nil"/>
              <w:left w:val="nil"/>
              <w:bottom w:val="nil"/>
              <w:right w:val="nil"/>
            </w:tcBorders>
            <w:shd w:val="clear" w:color="auto" w:fill="auto"/>
            <w:noWrap/>
            <w:vAlign w:val="bottom"/>
            <w:hideMark/>
          </w:tcPr>
          <w:p w:rsidR="00C75A88" w:rsidRPr="00DE0C77" w:rsidRDefault="00C75A88" w:rsidP="00C75A88">
            <w:pPr>
              <w:jc w:val="right"/>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3 086</w:t>
            </w:r>
          </w:p>
        </w:tc>
        <w:tc>
          <w:tcPr>
            <w:tcW w:w="1101" w:type="dxa"/>
            <w:tcBorders>
              <w:top w:val="nil"/>
              <w:left w:val="single" w:sz="4" w:space="0" w:color="auto"/>
              <w:bottom w:val="nil"/>
              <w:right w:val="single" w:sz="4" w:space="0" w:color="auto"/>
            </w:tcBorders>
            <w:shd w:val="clear" w:color="auto" w:fill="auto"/>
            <w:noWrap/>
            <w:vAlign w:val="bottom"/>
            <w:hideMark/>
          </w:tcPr>
          <w:p w:rsidR="00C75A88" w:rsidRPr="00DE0C77" w:rsidRDefault="00C75A88" w:rsidP="00C75A88">
            <w:pPr>
              <w:jc w:val="right"/>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3 343</w:t>
            </w:r>
          </w:p>
        </w:tc>
        <w:tc>
          <w:tcPr>
            <w:tcW w:w="997" w:type="dxa"/>
            <w:tcBorders>
              <w:top w:val="nil"/>
              <w:left w:val="nil"/>
              <w:bottom w:val="nil"/>
              <w:right w:val="nil"/>
            </w:tcBorders>
            <w:shd w:val="clear" w:color="000000" w:fill="FFFFFF"/>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-93</w:t>
            </w:r>
          </w:p>
        </w:tc>
        <w:tc>
          <w:tcPr>
            <w:tcW w:w="997" w:type="dxa"/>
            <w:tcBorders>
              <w:top w:val="nil"/>
              <w:left w:val="single" w:sz="4" w:space="0" w:color="auto"/>
              <w:bottom w:val="nil"/>
              <w:right w:val="single" w:sz="4" w:space="0" w:color="auto"/>
            </w:tcBorders>
            <w:shd w:val="clear" w:color="000000" w:fill="FFFFFF"/>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164</w:t>
            </w:r>
          </w:p>
        </w:tc>
      </w:tr>
      <w:tr w:rsidR="00C75A88" w:rsidRPr="00DE0C77" w:rsidTr="00C75A88">
        <w:trPr>
          <w:trHeight w:val="264"/>
        </w:trPr>
        <w:tc>
          <w:tcPr>
            <w:tcW w:w="436" w:type="dxa"/>
            <w:tcBorders>
              <w:top w:val="nil"/>
              <w:left w:val="single" w:sz="4" w:space="0" w:color="auto"/>
              <w:bottom w:val="nil"/>
              <w:right w:val="nil"/>
            </w:tcBorders>
            <w:shd w:val="clear" w:color="000000" w:fill="FFFFFF"/>
            <w:noWrap/>
            <w:vAlign w:val="bottom"/>
            <w:hideMark/>
          </w:tcPr>
          <w:p w:rsidR="00C75A88" w:rsidRPr="00DE0C77" w:rsidRDefault="00C75A88" w:rsidP="00C75A88">
            <w:pPr>
              <w:jc w:val="cente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7</w:t>
            </w:r>
          </w:p>
        </w:tc>
        <w:tc>
          <w:tcPr>
            <w:tcW w:w="3262" w:type="dxa"/>
            <w:tcBorders>
              <w:top w:val="nil"/>
              <w:left w:val="single" w:sz="4" w:space="0" w:color="auto"/>
              <w:bottom w:val="nil"/>
              <w:right w:val="single" w:sz="4" w:space="0" w:color="auto"/>
            </w:tcBorders>
            <w:shd w:val="clear" w:color="000000" w:fill="FFFFFF"/>
            <w:noWrap/>
            <w:vAlign w:val="bottom"/>
            <w:hideMark/>
          </w:tcPr>
          <w:p w:rsidR="00C75A88" w:rsidRPr="00DE0C77" w:rsidRDefault="00C75A88" w:rsidP="00C75A88">
            <w:pP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Средна брутна раб. заплата без обезщ.</w:t>
            </w:r>
          </w:p>
        </w:tc>
        <w:tc>
          <w:tcPr>
            <w:tcW w:w="997" w:type="dxa"/>
            <w:tcBorders>
              <w:top w:val="nil"/>
              <w:left w:val="nil"/>
              <w:bottom w:val="nil"/>
              <w:right w:val="nil"/>
            </w:tcBorders>
            <w:shd w:val="clear" w:color="auto" w:fill="auto"/>
            <w:noWrap/>
            <w:vAlign w:val="bottom"/>
            <w:hideMark/>
          </w:tcPr>
          <w:p w:rsidR="00C75A88" w:rsidRPr="00DE0C77" w:rsidRDefault="00C75A88" w:rsidP="00C75A88">
            <w:pPr>
              <w:jc w:val="cente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лв./месец</w:t>
            </w:r>
          </w:p>
        </w:tc>
        <w:tc>
          <w:tcPr>
            <w:tcW w:w="1101" w:type="dxa"/>
            <w:tcBorders>
              <w:top w:val="nil"/>
              <w:left w:val="single" w:sz="4" w:space="0" w:color="auto"/>
              <w:bottom w:val="nil"/>
              <w:right w:val="single" w:sz="4" w:space="0" w:color="auto"/>
            </w:tcBorders>
            <w:shd w:val="clear" w:color="auto" w:fill="auto"/>
            <w:noWrap/>
            <w:vAlign w:val="bottom"/>
            <w:hideMark/>
          </w:tcPr>
          <w:p w:rsidR="00C75A88" w:rsidRPr="00DE0C77" w:rsidRDefault="00C75A88" w:rsidP="00C75A88">
            <w:pPr>
              <w:jc w:val="right"/>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1 004</w:t>
            </w:r>
          </w:p>
        </w:tc>
        <w:tc>
          <w:tcPr>
            <w:tcW w:w="1101" w:type="dxa"/>
            <w:tcBorders>
              <w:top w:val="nil"/>
              <w:left w:val="nil"/>
              <w:bottom w:val="nil"/>
              <w:right w:val="nil"/>
            </w:tcBorders>
            <w:shd w:val="clear" w:color="auto" w:fill="auto"/>
            <w:noWrap/>
            <w:vAlign w:val="bottom"/>
            <w:hideMark/>
          </w:tcPr>
          <w:p w:rsidR="00C75A88" w:rsidRPr="00DE0C77" w:rsidRDefault="00C75A88" w:rsidP="00C75A88">
            <w:pPr>
              <w:jc w:val="right"/>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964</w:t>
            </w:r>
          </w:p>
        </w:tc>
        <w:tc>
          <w:tcPr>
            <w:tcW w:w="1101" w:type="dxa"/>
            <w:tcBorders>
              <w:top w:val="nil"/>
              <w:left w:val="single" w:sz="4" w:space="0" w:color="auto"/>
              <w:bottom w:val="nil"/>
              <w:right w:val="single" w:sz="4" w:space="0" w:color="auto"/>
            </w:tcBorders>
            <w:shd w:val="clear" w:color="auto" w:fill="auto"/>
            <w:noWrap/>
            <w:vAlign w:val="bottom"/>
            <w:hideMark/>
          </w:tcPr>
          <w:p w:rsidR="00C75A88" w:rsidRPr="00DE0C77" w:rsidRDefault="00C75A88" w:rsidP="00C75A88">
            <w:pPr>
              <w:jc w:val="right"/>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877</w:t>
            </w:r>
          </w:p>
        </w:tc>
        <w:tc>
          <w:tcPr>
            <w:tcW w:w="997" w:type="dxa"/>
            <w:tcBorders>
              <w:top w:val="nil"/>
              <w:left w:val="nil"/>
              <w:bottom w:val="nil"/>
              <w:right w:val="nil"/>
            </w:tcBorders>
            <w:shd w:val="clear" w:color="000000" w:fill="FFFFFF"/>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127</w:t>
            </w:r>
          </w:p>
        </w:tc>
        <w:tc>
          <w:tcPr>
            <w:tcW w:w="997" w:type="dxa"/>
            <w:tcBorders>
              <w:top w:val="nil"/>
              <w:left w:val="single" w:sz="4" w:space="0" w:color="auto"/>
              <w:bottom w:val="nil"/>
              <w:right w:val="single" w:sz="4" w:space="0" w:color="auto"/>
            </w:tcBorders>
            <w:shd w:val="clear" w:color="000000" w:fill="FFFFFF"/>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40</w:t>
            </w:r>
          </w:p>
        </w:tc>
      </w:tr>
      <w:tr w:rsidR="00C75A88" w:rsidRPr="00DE0C77" w:rsidTr="00C75A88">
        <w:trPr>
          <w:trHeight w:val="276"/>
        </w:trPr>
        <w:tc>
          <w:tcPr>
            <w:tcW w:w="436" w:type="dxa"/>
            <w:tcBorders>
              <w:top w:val="nil"/>
              <w:left w:val="single" w:sz="4" w:space="0" w:color="auto"/>
              <w:bottom w:val="double" w:sz="6" w:space="0" w:color="auto"/>
              <w:right w:val="nil"/>
            </w:tcBorders>
            <w:shd w:val="clear" w:color="auto" w:fill="auto"/>
            <w:noWrap/>
            <w:vAlign w:val="bottom"/>
            <w:hideMark/>
          </w:tcPr>
          <w:p w:rsidR="00C75A88" w:rsidRPr="00DE0C77" w:rsidRDefault="00C75A88" w:rsidP="00C75A88">
            <w:pPr>
              <w:jc w:val="cente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8</w:t>
            </w:r>
          </w:p>
        </w:tc>
        <w:tc>
          <w:tcPr>
            <w:tcW w:w="3262" w:type="dxa"/>
            <w:tcBorders>
              <w:top w:val="nil"/>
              <w:left w:val="single" w:sz="4" w:space="0" w:color="auto"/>
              <w:bottom w:val="double" w:sz="6" w:space="0" w:color="auto"/>
              <w:right w:val="single" w:sz="4" w:space="0" w:color="auto"/>
            </w:tcBorders>
            <w:shd w:val="clear" w:color="auto" w:fill="auto"/>
            <w:noWrap/>
            <w:vAlign w:val="bottom"/>
            <w:hideMark/>
          </w:tcPr>
          <w:p w:rsidR="00C75A88" w:rsidRPr="00DE0C77" w:rsidRDefault="00C75A88" w:rsidP="00C75A88">
            <w:pP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 xml:space="preserve">Производителност на 1 лице </w:t>
            </w:r>
          </w:p>
        </w:tc>
        <w:tc>
          <w:tcPr>
            <w:tcW w:w="997" w:type="dxa"/>
            <w:tcBorders>
              <w:top w:val="nil"/>
              <w:left w:val="nil"/>
              <w:bottom w:val="double" w:sz="6" w:space="0" w:color="auto"/>
              <w:right w:val="nil"/>
            </w:tcBorders>
            <w:shd w:val="clear" w:color="auto" w:fill="auto"/>
            <w:noWrap/>
            <w:vAlign w:val="bottom"/>
            <w:hideMark/>
          </w:tcPr>
          <w:p w:rsidR="00C75A88" w:rsidRPr="00DE0C77" w:rsidRDefault="00C75A88" w:rsidP="00C75A88">
            <w:pPr>
              <w:jc w:val="center"/>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х.ткм/1л.</w:t>
            </w:r>
          </w:p>
        </w:tc>
        <w:tc>
          <w:tcPr>
            <w:tcW w:w="1101" w:type="dxa"/>
            <w:tcBorders>
              <w:top w:val="nil"/>
              <w:left w:val="single" w:sz="4" w:space="0" w:color="auto"/>
              <w:bottom w:val="double" w:sz="6" w:space="0" w:color="auto"/>
              <w:right w:val="single" w:sz="4" w:space="0" w:color="auto"/>
            </w:tcBorders>
            <w:shd w:val="clear" w:color="auto" w:fill="auto"/>
            <w:noWrap/>
            <w:vAlign w:val="bottom"/>
            <w:hideMark/>
          </w:tcPr>
          <w:p w:rsidR="00C75A88" w:rsidRPr="00DE0C77" w:rsidRDefault="00C75A88" w:rsidP="00C75A88">
            <w:pPr>
              <w:jc w:val="right"/>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502</w:t>
            </w:r>
          </w:p>
        </w:tc>
        <w:tc>
          <w:tcPr>
            <w:tcW w:w="1101" w:type="dxa"/>
            <w:tcBorders>
              <w:top w:val="nil"/>
              <w:left w:val="nil"/>
              <w:bottom w:val="double" w:sz="6" w:space="0" w:color="auto"/>
              <w:right w:val="nil"/>
            </w:tcBorders>
            <w:shd w:val="clear" w:color="auto" w:fill="auto"/>
            <w:noWrap/>
            <w:vAlign w:val="bottom"/>
            <w:hideMark/>
          </w:tcPr>
          <w:p w:rsidR="00C75A88" w:rsidRPr="00DE0C77" w:rsidRDefault="00C75A88" w:rsidP="00C75A88">
            <w:pPr>
              <w:jc w:val="right"/>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518</w:t>
            </w:r>
          </w:p>
        </w:tc>
        <w:tc>
          <w:tcPr>
            <w:tcW w:w="1101" w:type="dxa"/>
            <w:tcBorders>
              <w:top w:val="nil"/>
              <w:left w:val="single" w:sz="4" w:space="0" w:color="auto"/>
              <w:bottom w:val="double" w:sz="6" w:space="0" w:color="auto"/>
              <w:right w:val="single" w:sz="4" w:space="0" w:color="auto"/>
            </w:tcBorders>
            <w:shd w:val="clear" w:color="auto" w:fill="auto"/>
            <w:noWrap/>
            <w:vAlign w:val="bottom"/>
            <w:hideMark/>
          </w:tcPr>
          <w:p w:rsidR="00C75A88" w:rsidRPr="00DE0C77" w:rsidRDefault="00C75A88" w:rsidP="00C75A88">
            <w:pPr>
              <w:jc w:val="right"/>
              <w:rPr>
                <w:rFonts w:ascii="Calibri" w:eastAsia="Times New Roman" w:hAnsi="Calibri" w:cs="Calibri"/>
                <w:color w:val="000000"/>
                <w:sz w:val="18"/>
                <w:szCs w:val="18"/>
                <w:lang w:eastAsia="bg-BG"/>
              </w:rPr>
            </w:pPr>
            <w:r w:rsidRPr="00DE0C77">
              <w:rPr>
                <w:rFonts w:ascii="Calibri" w:eastAsia="Times New Roman" w:hAnsi="Calibri" w:cs="Calibri"/>
                <w:color w:val="000000"/>
                <w:sz w:val="18"/>
                <w:szCs w:val="18"/>
                <w:lang w:eastAsia="bg-BG"/>
              </w:rPr>
              <w:t>471</w:t>
            </w:r>
          </w:p>
        </w:tc>
        <w:tc>
          <w:tcPr>
            <w:tcW w:w="997" w:type="dxa"/>
            <w:tcBorders>
              <w:top w:val="nil"/>
              <w:left w:val="nil"/>
              <w:bottom w:val="double" w:sz="6" w:space="0" w:color="auto"/>
              <w:right w:val="nil"/>
            </w:tcBorders>
            <w:shd w:val="clear" w:color="000000" w:fill="FFFFFF"/>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32</w:t>
            </w:r>
          </w:p>
        </w:tc>
        <w:tc>
          <w:tcPr>
            <w:tcW w:w="997" w:type="dxa"/>
            <w:tcBorders>
              <w:top w:val="nil"/>
              <w:left w:val="single" w:sz="4" w:space="0" w:color="auto"/>
              <w:bottom w:val="double" w:sz="6" w:space="0" w:color="auto"/>
              <w:right w:val="single" w:sz="4" w:space="0" w:color="auto"/>
            </w:tcBorders>
            <w:shd w:val="clear" w:color="000000" w:fill="FFFFFF"/>
            <w:noWrap/>
            <w:vAlign w:val="bottom"/>
            <w:hideMark/>
          </w:tcPr>
          <w:p w:rsidR="00C75A88" w:rsidRPr="00DE0C77" w:rsidRDefault="00C75A88" w:rsidP="00C75A88">
            <w:pPr>
              <w:jc w:val="right"/>
              <w:rPr>
                <w:rFonts w:ascii="Calibri" w:eastAsia="Times New Roman" w:hAnsi="Calibri" w:cs="Calibri"/>
                <w:sz w:val="18"/>
                <w:szCs w:val="18"/>
                <w:lang w:eastAsia="bg-BG"/>
              </w:rPr>
            </w:pPr>
            <w:r w:rsidRPr="00DE0C77">
              <w:rPr>
                <w:rFonts w:ascii="Calibri" w:eastAsia="Times New Roman" w:hAnsi="Calibri" w:cs="Calibri"/>
                <w:sz w:val="18"/>
                <w:szCs w:val="18"/>
                <w:lang w:eastAsia="bg-BG"/>
              </w:rPr>
              <w:t>-16</w:t>
            </w:r>
          </w:p>
        </w:tc>
      </w:tr>
    </w:tbl>
    <w:p w:rsidR="00C75A88" w:rsidRPr="00B2761B" w:rsidRDefault="00C75A88" w:rsidP="00C75A88">
      <w:pPr>
        <w:shd w:val="clear" w:color="auto" w:fill="FFFFFF"/>
        <w:spacing w:before="120"/>
        <w:jc w:val="both"/>
      </w:pPr>
      <w:r w:rsidRPr="00B2761B">
        <w:rPr>
          <w:shd w:val="clear" w:color="auto" w:fill="FFFFFF"/>
        </w:rPr>
        <w:t>„</w:t>
      </w:r>
      <w:r w:rsidRPr="00B2761B">
        <w:t>БДЖ – Товарни превози” ЕООД приключи 2017 г. с отрицателен финансов резултат загуба в размер на – 6 203 хил. лева. Този финансов резултат спрямо отчета за същия периода на предходната година е влошен с 5 756 хил. лева, основно от:</w:t>
      </w:r>
    </w:p>
    <w:p w:rsidR="00C75A88" w:rsidRPr="00B2761B" w:rsidRDefault="00C75A88" w:rsidP="00C75A88">
      <w:pPr>
        <w:numPr>
          <w:ilvl w:val="0"/>
          <w:numId w:val="20"/>
        </w:numPr>
        <w:jc w:val="both"/>
      </w:pPr>
      <w:r w:rsidRPr="00B2761B">
        <w:t>промяна в структурата на превозените товари и превоз на товари с по-ниска приходна ставка;</w:t>
      </w:r>
    </w:p>
    <w:p w:rsidR="00C75A88" w:rsidRPr="00B2761B" w:rsidRDefault="00C75A88" w:rsidP="00C75A88">
      <w:pPr>
        <w:numPr>
          <w:ilvl w:val="0"/>
          <w:numId w:val="20"/>
        </w:numPr>
        <w:shd w:val="clear" w:color="auto" w:fill="FFFFFF"/>
        <w:ind w:left="567" w:hanging="207"/>
        <w:jc w:val="both"/>
      </w:pPr>
      <w:r w:rsidRPr="00B2761B">
        <w:t xml:space="preserve">  увеличение на разходите за персонал вследствие на </w:t>
      </w:r>
      <w:r>
        <w:t>у</w:t>
      </w:r>
      <w:r w:rsidRPr="005B27E6">
        <w:rPr>
          <w:noProof/>
        </w:rPr>
        <w:t>величение на минималната работна заплата за страната от 01.01.2017г., както и на предоставените допълнителни възнаграждения, съгласно действащия Колективен трудов договор</w:t>
      </w:r>
      <w:r>
        <w:rPr>
          <w:noProof/>
        </w:rPr>
        <w:t xml:space="preserve"> на</w:t>
      </w:r>
      <w:r w:rsidRPr="00B2761B">
        <w:t xml:space="preserve"> работниците и служителите на „БДЖ – Товарни превози” ЕООД;</w:t>
      </w:r>
    </w:p>
    <w:p w:rsidR="00C75A88" w:rsidRPr="00B2761B" w:rsidRDefault="00C75A88" w:rsidP="00C75A88">
      <w:pPr>
        <w:numPr>
          <w:ilvl w:val="0"/>
          <w:numId w:val="20"/>
        </w:numPr>
        <w:shd w:val="clear" w:color="auto" w:fill="FFFFFF"/>
        <w:spacing w:after="120"/>
        <w:ind w:left="567" w:hanging="207"/>
        <w:jc w:val="both"/>
      </w:pPr>
      <w:r w:rsidRPr="00B2761B">
        <w:t xml:space="preserve">  Не на последно място увеличените разходи за амортизации за 2017 г. с 1 </w:t>
      </w:r>
      <w:r w:rsidR="00F74B11">
        <w:rPr>
          <w:lang w:val="en-US"/>
        </w:rPr>
        <w:t>454</w:t>
      </w:r>
      <w:r w:rsidRPr="00B2761B">
        <w:t xml:space="preserve"> хил. лева;</w:t>
      </w:r>
    </w:p>
    <w:p w:rsidR="00C75A88" w:rsidRPr="00B2761B" w:rsidRDefault="00C75A88" w:rsidP="00C75A88">
      <w:pPr>
        <w:shd w:val="clear" w:color="auto" w:fill="FFFFFF"/>
        <w:spacing w:line="276" w:lineRule="auto"/>
        <w:ind w:firstLine="357"/>
        <w:jc w:val="both"/>
      </w:pPr>
      <w:r w:rsidRPr="00B2761B">
        <w:t>Спрямо плана, финансовият резултат не се достига с</w:t>
      </w:r>
      <w:r>
        <w:t>ъс</w:t>
      </w:r>
      <w:r w:rsidRPr="00B2761B">
        <w:t xml:space="preserve"> </w:t>
      </w:r>
      <w:r>
        <w:t>7 273</w:t>
      </w:r>
      <w:r w:rsidRPr="00B2761B">
        <w:t xml:space="preserve"> хил. лева. </w:t>
      </w:r>
    </w:p>
    <w:p w:rsidR="00C75A88" w:rsidRPr="00B2761B" w:rsidRDefault="00C75A88" w:rsidP="00C75A88">
      <w:pPr>
        <w:shd w:val="clear" w:color="auto" w:fill="FFFFFF"/>
        <w:spacing w:line="276" w:lineRule="auto"/>
        <w:ind w:firstLine="357"/>
        <w:jc w:val="both"/>
      </w:pPr>
      <w:r w:rsidRPr="00B2761B">
        <w:t>Една от причините е, че за отчетния период има планира</w:t>
      </w:r>
      <w:r>
        <w:t xml:space="preserve">ни приходи от продажба на неоперативни активи, които не са </w:t>
      </w:r>
      <w:r w:rsidRPr="00B2761B">
        <w:t>реализиран</w:t>
      </w:r>
      <w:r>
        <w:t>и, п</w:t>
      </w:r>
      <w:r w:rsidRPr="005B27E6">
        <w:rPr>
          <w:noProof/>
        </w:rPr>
        <w:t>оради изменения на Правилника за реда за упражняване правата на държавата в търговски дружества с държавно участие в капитала</w:t>
      </w:r>
      <w:r>
        <w:rPr>
          <w:noProof/>
        </w:rPr>
        <w:t>.</w:t>
      </w:r>
      <w:r w:rsidRPr="00B2761B">
        <w:t xml:space="preserve"> При планирана печалба за 2017 година от 1 070 хил. лева, отчетения резултат е загуба в размер на – 6 203 хил. лева.</w:t>
      </w:r>
    </w:p>
    <w:p w:rsidR="00C75A88" w:rsidRDefault="00C75A88" w:rsidP="00C75A88">
      <w:pPr>
        <w:spacing w:after="120"/>
        <w:jc w:val="both"/>
        <w:rPr>
          <w:b/>
        </w:rPr>
      </w:pPr>
    </w:p>
    <w:p w:rsidR="00C75A88" w:rsidRPr="00353032" w:rsidRDefault="00C75A88" w:rsidP="00C75A88">
      <w:pPr>
        <w:spacing w:after="120"/>
        <w:jc w:val="both"/>
        <w:rPr>
          <w:b/>
          <w:highlight w:val="yellow"/>
          <w:lang w:val="en-US"/>
        </w:rPr>
      </w:pPr>
    </w:p>
    <w:p w:rsidR="00C75A88" w:rsidRPr="00524EF6" w:rsidRDefault="00C75A88" w:rsidP="00C75A88">
      <w:pPr>
        <w:spacing w:after="120"/>
        <w:jc w:val="both"/>
        <w:rPr>
          <w:b/>
        </w:rPr>
      </w:pPr>
      <w:r w:rsidRPr="00524EF6">
        <w:rPr>
          <w:b/>
        </w:rPr>
        <w:t>С уважение,</w:t>
      </w:r>
    </w:p>
    <w:p w:rsidR="00C75A88" w:rsidRPr="00524EF6" w:rsidRDefault="00C75A88" w:rsidP="00C75A88">
      <w:pPr>
        <w:spacing w:after="60"/>
        <w:rPr>
          <w:b/>
        </w:rPr>
      </w:pPr>
      <w:r w:rsidRPr="00524EF6">
        <w:rPr>
          <w:b/>
        </w:rPr>
        <w:t>инж. Любомир Илиев</w:t>
      </w:r>
    </w:p>
    <w:p w:rsidR="00C75A88" w:rsidRPr="00524EF6" w:rsidRDefault="00C75A88" w:rsidP="00C75A88">
      <w:pPr>
        <w:rPr>
          <w:i/>
        </w:rPr>
      </w:pPr>
      <w:r w:rsidRPr="00524EF6">
        <w:rPr>
          <w:i/>
        </w:rPr>
        <w:t>Управител на „БДЖ – Товарни превози” ЕООД</w:t>
      </w:r>
    </w:p>
    <w:p w:rsidR="00C75A88" w:rsidRPr="00524EF6" w:rsidRDefault="00C75A88" w:rsidP="00C75A88">
      <w:pPr>
        <w:spacing w:after="60"/>
        <w:jc w:val="both"/>
        <w:rPr>
          <w:b/>
          <w:lang w:val="en-US"/>
        </w:rPr>
      </w:pPr>
    </w:p>
    <w:p w:rsidR="00C75A88" w:rsidRDefault="00C75A88" w:rsidP="00C75A88">
      <w:pPr>
        <w:spacing w:after="120"/>
        <w:jc w:val="both"/>
        <w:rPr>
          <w:b/>
        </w:rPr>
      </w:pPr>
    </w:p>
    <w:p w:rsidR="00C75A88" w:rsidRPr="00524EF6" w:rsidRDefault="00C75A88" w:rsidP="00C75A88">
      <w:pPr>
        <w:spacing w:after="120"/>
        <w:jc w:val="both"/>
        <w:rPr>
          <w:b/>
        </w:rPr>
      </w:pPr>
      <w:r w:rsidRPr="00524EF6">
        <w:rPr>
          <w:b/>
        </w:rPr>
        <w:t>Съгласувал:</w:t>
      </w:r>
    </w:p>
    <w:p w:rsidR="00C75A88" w:rsidRPr="00524EF6" w:rsidRDefault="00C75A88" w:rsidP="00C75A88">
      <w:pPr>
        <w:spacing w:after="120"/>
        <w:jc w:val="both"/>
        <w:rPr>
          <w:b/>
        </w:rPr>
      </w:pPr>
      <w:r w:rsidRPr="00524EF6">
        <w:rPr>
          <w:b/>
        </w:rPr>
        <w:t xml:space="preserve">Ек. Савова </w:t>
      </w:r>
    </w:p>
    <w:p w:rsidR="00C75A88" w:rsidRPr="00524EF6" w:rsidRDefault="00C75A88" w:rsidP="00C75A88">
      <w:pPr>
        <w:rPr>
          <w:i/>
        </w:rPr>
      </w:pPr>
      <w:r w:rsidRPr="00524EF6">
        <w:rPr>
          <w:i/>
        </w:rPr>
        <w:t xml:space="preserve">Директор „Финанси и администрация” </w:t>
      </w:r>
    </w:p>
    <w:p w:rsidR="00C75A88" w:rsidRDefault="00C75A88" w:rsidP="00C75A88">
      <w:pPr>
        <w:spacing w:after="60"/>
        <w:rPr>
          <w:b/>
          <w:sz w:val="22"/>
          <w:szCs w:val="22"/>
        </w:rPr>
      </w:pPr>
    </w:p>
    <w:p w:rsidR="00C75A88" w:rsidRDefault="00C75A88" w:rsidP="00C75A88">
      <w:pPr>
        <w:spacing w:after="60"/>
        <w:rPr>
          <w:b/>
          <w:sz w:val="22"/>
          <w:szCs w:val="22"/>
        </w:rPr>
      </w:pPr>
    </w:p>
    <w:p w:rsidR="00C75A88" w:rsidRDefault="00C75A88" w:rsidP="00C75A88">
      <w:pPr>
        <w:spacing w:after="60"/>
        <w:rPr>
          <w:b/>
          <w:sz w:val="22"/>
          <w:szCs w:val="22"/>
        </w:rPr>
      </w:pPr>
    </w:p>
    <w:p w:rsidR="00C75A88" w:rsidRPr="00C75A88" w:rsidRDefault="00C75A88" w:rsidP="00C75A88">
      <w:pPr>
        <w:spacing w:after="60"/>
        <w:rPr>
          <w:b/>
          <w:sz w:val="22"/>
          <w:szCs w:val="22"/>
        </w:rPr>
      </w:pPr>
      <w:r w:rsidRPr="00C75A88">
        <w:rPr>
          <w:b/>
          <w:sz w:val="22"/>
          <w:szCs w:val="22"/>
        </w:rPr>
        <w:t xml:space="preserve">Изготвил, </w:t>
      </w:r>
    </w:p>
    <w:p w:rsidR="00C75A88" w:rsidRPr="00C75A88" w:rsidRDefault="00C75A88" w:rsidP="00C75A88">
      <w:pPr>
        <w:spacing w:after="60"/>
        <w:rPr>
          <w:b/>
          <w:sz w:val="22"/>
          <w:szCs w:val="22"/>
        </w:rPr>
      </w:pPr>
      <w:r w:rsidRPr="00C75A88">
        <w:rPr>
          <w:b/>
          <w:sz w:val="22"/>
          <w:szCs w:val="22"/>
        </w:rPr>
        <w:t xml:space="preserve">Мариана Чичанова </w:t>
      </w:r>
    </w:p>
    <w:p w:rsidR="00C75A88" w:rsidRPr="00C75A88" w:rsidRDefault="00C75A88" w:rsidP="00C75A88">
      <w:pPr>
        <w:spacing w:after="60"/>
        <w:rPr>
          <w:b/>
          <w:i/>
          <w:sz w:val="22"/>
          <w:szCs w:val="22"/>
        </w:rPr>
      </w:pPr>
      <w:r w:rsidRPr="00C75A88">
        <w:rPr>
          <w:i/>
          <w:sz w:val="22"/>
          <w:szCs w:val="22"/>
        </w:rPr>
        <w:t>Ръководител отдел „УФР”</w:t>
      </w:r>
    </w:p>
    <w:sectPr w:rsidR="00C75A88" w:rsidRPr="00C75A88" w:rsidSect="00C75A88">
      <w:pgSz w:w="11906" w:h="16838" w:code="9"/>
      <w:pgMar w:top="899" w:right="926" w:bottom="426" w:left="1134"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361B0" w:rsidRDefault="00F361B0" w:rsidP="008064FD">
      <w:r>
        <w:separator/>
      </w:r>
    </w:p>
  </w:endnote>
  <w:endnote w:type="continuationSeparator" w:id="0">
    <w:p w:rsidR="00F361B0" w:rsidRDefault="00F361B0" w:rsidP="008064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Narrow">
    <w:panose1 w:val="020B0606020202030204"/>
    <w:charset w:val="CC"/>
    <w:family w:val="swiss"/>
    <w:pitch w:val="variable"/>
    <w:sig w:usb0="00000287" w:usb1="00000800" w:usb2="00000000" w:usb3="00000000" w:csb0="0000009F" w:csb1="00000000"/>
  </w:font>
  <w:font w:name="Arial">
    <w:panose1 w:val="020B0604020202020204"/>
    <w:charset w:val="CC"/>
    <w:family w:val="swiss"/>
    <w:pitch w:val="variable"/>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74B11" w:rsidRDefault="00F361B0">
    <w:pPr>
      <w:pStyle w:val="Footer"/>
      <w:jc w:val="right"/>
    </w:pPr>
    <w:r>
      <w:fldChar w:fldCharType="begin"/>
    </w:r>
    <w:r>
      <w:instrText xml:space="preserve"> PAGE   \* MERGEFORMAT </w:instrText>
    </w:r>
    <w:r>
      <w:fldChar w:fldCharType="separate"/>
    </w:r>
    <w:r w:rsidR="003E3993">
      <w:rPr>
        <w:noProof/>
      </w:rPr>
      <w:t>4</w:t>
    </w:r>
    <w:r>
      <w:rPr>
        <w:noProof/>
      </w:rPr>
      <w:fldChar w:fldCharType="end"/>
    </w:r>
  </w:p>
  <w:p w:rsidR="00F74B11" w:rsidRDefault="00F74B1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361B0" w:rsidRDefault="00F361B0" w:rsidP="008064FD">
      <w:r>
        <w:separator/>
      </w:r>
    </w:p>
  </w:footnote>
  <w:footnote w:type="continuationSeparator" w:id="0">
    <w:p w:rsidR="00F361B0" w:rsidRDefault="00F361B0" w:rsidP="008064F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D"/>
    <w:multiLevelType w:val="multilevel"/>
    <w:tmpl w:val="0000000D"/>
    <w:name w:val="WWNum13"/>
    <w:lvl w:ilvl="0">
      <w:start w:val="1"/>
      <w:numFmt w:val="bullet"/>
      <w:lvlText w:val=""/>
      <w:lvlJc w:val="left"/>
      <w:pPr>
        <w:tabs>
          <w:tab w:val="num" w:pos="0"/>
        </w:tabs>
        <w:ind w:left="720" w:hanging="360"/>
      </w:pPr>
      <w:rPr>
        <w:rFonts w:ascii="Wingdings" w:hAnsi="Wingdings"/>
      </w:rPr>
    </w:lvl>
    <w:lvl w:ilvl="1">
      <w:start w:val="1"/>
      <w:numFmt w:val="lowerLetter"/>
      <w:lvlText w:val="%2."/>
      <w:lvlJc w:val="left"/>
      <w:pPr>
        <w:tabs>
          <w:tab w:val="num" w:pos="0"/>
        </w:tabs>
        <w:ind w:left="1440" w:hanging="360"/>
      </w:pPr>
    </w:lvl>
    <w:lvl w:ilvl="2">
      <w:start w:val="1"/>
      <w:numFmt w:val="lowerRoman"/>
      <w:lvlText w:val="%2.%3."/>
      <w:lvlJc w:val="right"/>
      <w:pPr>
        <w:tabs>
          <w:tab w:val="num" w:pos="0"/>
        </w:tabs>
        <w:ind w:left="2160" w:hanging="180"/>
      </w:pPr>
    </w:lvl>
    <w:lvl w:ilvl="3">
      <w:start w:val="1"/>
      <w:numFmt w:val="decimal"/>
      <w:lvlText w:val="%2.%3.%4."/>
      <w:lvlJc w:val="left"/>
      <w:pPr>
        <w:tabs>
          <w:tab w:val="num" w:pos="0"/>
        </w:tabs>
        <w:ind w:left="2880" w:hanging="360"/>
      </w:pPr>
    </w:lvl>
    <w:lvl w:ilvl="4">
      <w:start w:val="1"/>
      <w:numFmt w:val="lowerLetter"/>
      <w:lvlText w:val="%2.%3.%4.%5."/>
      <w:lvlJc w:val="left"/>
      <w:pPr>
        <w:tabs>
          <w:tab w:val="num" w:pos="0"/>
        </w:tabs>
        <w:ind w:left="3600" w:hanging="360"/>
      </w:pPr>
    </w:lvl>
    <w:lvl w:ilvl="5">
      <w:start w:val="1"/>
      <w:numFmt w:val="lowerRoman"/>
      <w:lvlText w:val="%2.%3.%4.%5.%6."/>
      <w:lvlJc w:val="right"/>
      <w:pPr>
        <w:tabs>
          <w:tab w:val="num" w:pos="0"/>
        </w:tabs>
        <w:ind w:left="4320" w:hanging="180"/>
      </w:pPr>
    </w:lvl>
    <w:lvl w:ilvl="6">
      <w:start w:val="1"/>
      <w:numFmt w:val="decimal"/>
      <w:lvlText w:val="%2.%3.%4.%5.%6.%7."/>
      <w:lvlJc w:val="left"/>
      <w:pPr>
        <w:tabs>
          <w:tab w:val="num" w:pos="0"/>
        </w:tabs>
        <w:ind w:left="5040" w:hanging="360"/>
      </w:pPr>
    </w:lvl>
    <w:lvl w:ilvl="7">
      <w:start w:val="1"/>
      <w:numFmt w:val="lowerLetter"/>
      <w:lvlText w:val="%2.%3.%4.%5.%6.%7.%8."/>
      <w:lvlJc w:val="left"/>
      <w:pPr>
        <w:tabs>
          <w:tab w:val="num" w:pos="0"/>
        </w:tabs>
        <w:ind w:left="5760" w:hanging="360"/>
      </w:pPr>
    </w:lvl>
    <w:lvl w:ilvl="8">
      <w:start w:val="1"/>
      <w:numFmt w:val="lowerRoman"/>
      <w:lvlText w:val="%2.%3.%4.%5.%6.%7.%8.%9."/>
      <w:lvlJc w:val="right"/>
      <w:pPr>
        <w:tabs>
          <w:tab w:val="num" w:pos="0"/>
        </w:tabs>
        <w:ind w:left="6480" w:hanging="180"/>
      </w:pPr>
    </w:lvl>
  </w:abstractNum>
  <w:abstractNum w:abstractNumId="1" w15:restartNumberingAfterBreak="0">
    <w:nsid w:val="001E2E69"/>
    <w:multiLevelType w:val="hybridMultilevel"/>
    <w:tmpl w:val="7AD00E36"/>
    <w:lvl w:ilvl="0" w:tplc="04020001">
      <w:start w:val="1"/>
      <w:numFmt w:val="bullet"/>
      <w:lvlText w:val=""/>
      <w:lvlJc w:val="left"/>
      <w:pPr>
        <w:tabs>
          <w:tab w:val="num" w:pos="786"/>
        </w:tabs>
        <w:ind w:left="786" w:hanging="360"/>
      </w:pPr>
      <w:rPr>
        <w:rFonts w:ascii="Symbol" w:hAnsi="Symbol" w:hint="default"/>
        <w:color w:val="auto"/>
      </w:rPr>
    </w:lvl>
    <w:lvl w:ilvl="1" w:tplc="04020003">
      <w:start w:val="1"/>
      <w:numFmt w:val="decimal"/>
      <w:lvlText w:val="%2."/>
      <w:lvlJc w:val="left"/>
      <w:pPr>
        <w:tabs>
          <w:tab w:val="num" w:pos="1440"/>
        </w:tabs>
        <w:ind w:left="1440" w:hanging="360"/>
      </w:pPr>
    </w:lvl>
    <w:lvl w:ilvl="2" w:tplc="04020005">
      <w:start w:val="1"/>
      <w:numFmt w:val="decimal"/>
      <w:lvlText w:val="%3."/>
      <w:lvlJc w:val="left"/>
      <w:pPr>
        <w:tabs>
          <w:tab w:val="num" w:pos="2160"/>
        </w:tabs>
        <w:ind w:left="2160" w:hanging="360"/>
      </w:pPr>
    </w:lvl>
    <w:lvl w:ilvl="3" w:tplc="04020001">
      <w:start w:val="1"/>
      <w:numFmt w:val="decimal"/>
      <w:lvlText w:val="%4."/>
      <w:lvlJc w:val="left"/>
      <w:pPr>
        <w:tabs>
          <w:tab w:val="num" w:pos="2880"/>
        </w:tabs>
        <w:ind w:left="2880" w:hanging="360"/>
      </w:pPr>
    </w:lvl>
    <w:lvl w:ilvl="4" w:tplc="04020003">
      <w:start w:val="1"/>
      <w:numFmt w:val="decimal"/>
      <w:lvlText w:val="%5."/>
      <w:lvlJc w:val="left"/>
      <w:pPr>
        <w:tabs>
          <w:tab w:val="num" w:pos="3600"/>
        </w:tabs>
        <w:ind w:left="3600" w:hanging="360"/>
      </w:pPr>
    </w:lvl>
    <w:lvl w:ilvl="5" w:tplc="04020005">
      <w:start w:val="1"/>
      <w:numFmt w:val="decimal"/>
      <w:lvlText w:val="%6."/>
      <w:lvlJc w:val="left"/>
      <w:pPr>
        <w:tabs>
          <w:tab w:val="num" w:pos="4320"/>
        </w:tabs>
        <w:ind w:left="4320" w:hanging="360"/>
      </w:pPr>
    </w:lvl>
    <w:lvl w:ilvl="6" w:tplc="04020001">
      <w:start w:val="1"/>
      <w:numFmt w:val="decimal"/>
      <w:lvlText w:val="%7."/>
      <w:lvlJc w:val="left"/>
      <w:pPr>
        <w:tabs>
          <w:tab w:val="num" w:pos="5040"/>
        </w:tabs>
        <w:ind w:left="5040" w:hanging="360"/>
      </w:pPr>
    </w:lvl>
    <w:lvl w:ilvl="7" w:tplc="04020003">
      <w:start w:val="1"/>
      <w:numFmt w:val="decimal"/>
      <w:lvlText w:val="%8."/>
      <w:lvlJc w:val="left"/>
      <w:pPr>
        <w:tabs>
          <w:tab w:val="num" w:pos="5760"/>
        </w:tabs>
        <w:ind w:left="5760" w:hanging="360"/>
      </w:pPr>
    </w:lvl>
    <w:lvl w:ilvl="8" w:tplc="04020005">
      <w:start w:val="1"/>
      <w:numFmt w:val="decimal"/>
      <w:lvlText w:val="%9."/>
      <w:lvlJc w:val="left"/>
      <w:pPr>
        <w:tabs>
          <w:tab w:val="num" w:pos="6480"/>
        </w:tabs>
        <w:ind w:left="6480" w:hanging="360"/>
      </w:pPr>
    </w:lvl>
  </w:abstractNum>
  <w:abstractNum w:abstractNumId="2" w15:restartNumberingAfterBreak="0">
    <w:nsid w:val="0B7C5859"/>
    <w:multiLevelType w:val="hybridMultilevel"/>
    <w:tmpl w:val="FB1E44C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 w15:restartNumberingAfterBreak="0">
    <w:nsid w:val="105256DD"/>
    <w:multiLevelType w:val="hybridMultilevel"/>
    <w:tmpl w:val="69A8B27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 w15:restartNumberingAfterBreak="0">
    <w:nsid w:val="140B1F72"/>
    <w:multiLevelType w:val="hybridMultilevel"/>
    <w:tmpl w:val="CFFC7F26"/>
    <w:lvl w:ilvl="0" w:tplc="0402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4A36724"/>
    <w:multiLevelType w:val="hybridMultilevel"/>
    <w:tmpl w:val="3D1CDA40"/>
    <w:lvl w:ilvl="0" w:tplc="FFFFFFFF">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6" w15:restartNumberingAfterBreak="0">
    <w:nsid w:val="1D6A258F"/>
    <w:multiLevelType w:val="hybridMultilevel"/>
    <w:tmpl w:val="E9B0B9D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7" w15:restartNumberingAfterBreak="0">
    <w:nsid w:val="1E2520C1"/>
    <w:multiLevelType w:val="hybridMultilevel"/>
    <w:tmpl w:val="9C943F08"/>
    <w:lvl w:ilvl="0" w:tplc="04020001">
      <w:start w:val="1"/>
      <w:numFmt w:val="bullet"/>
      <w:lvlText w:val=""/>
      <w:lvlJc w:val="left"/>
      <w:pPr>
        <w:ind w:left="1211" w:hanging="360"/>
      </w:pPr>
      <w:rPr>
        <w:rFonts w:ascii="Symbol" w:hAnsi="Symbol" w:hint="default"/>
      </w:rPr>
    </w:lvl>
    <w:lvl w:ilvl="1" w:tplc="04020003" w:tentative="1">
      <w:start w:val="1"/>
      <w:numFmt w:val="bullet"/>
      <w:lvlText w:val="o"/>
      <w:lvlJc w:val="left"/>
      <w:pPr>
        <w:ind w:left="1866" w:hanging="360"/>
      </w:pPr>
      <w:rPr>
        <w:rFonts w:ascii="Courier New" w:hAnsi="Courier New" w:cs="Courier New" w:hint="default"/>
      </w:rPr>
    </w:lvl>
    <w:lvl w:ilvl="2" w:tplc="04020005" w:tentative="1">
      <w:start w:val="1"/>
      <w:numFmt w:val="bullet"/>
      <w:lvlText w:val=""/>
      <w:lvlJc w:val="left"/>
      <w:pPr>
        <w:ind w:left="2586" w:hanging="360"/>
      </w:pPr>
      <w:rPr>
        <w:rFonts w:ascii="Wingdings" w:hAnsi="Wingdings" w:hint="default"/>
      </w:rPr>
    </w:lvl>
    <w:lvl w:ilvl="3" w:tplc="04020001" w:tentative="1">
      <w:start w:val="1"/>
      <w:numFmt w:val="bullet"/>
      <w:lvlText w:val=""/>
      <w:lvlJc w:val="left"/>
      <w:pPr>
        <w:ind w:left="3306" w:hanging="360"/>
      </w:pPr>
      <w:rPr>
        <w:rFonts w:ascii="Symbol" w:hAnsi="Symbol" w:hint="default"/>
      </w:rPr>
    </w:lvl>
    <w:lvl w:ilvl="4" w:tplc="04020003" w:tentative="1">
      <w:start w:val="1"/>
      <w:numFmt w:val="bullet"/>
      <w:lvlText w:val="o"/>
      <w:lvlJc w:val="left"/>
      <w:pPr>
        <w:ind w:left="4026" w:hanging="360"/>
      </w:pPr>
      <w:rPr>
        <w:rFonts w:ascii="Courier New" w:hAnsi="Courier New" w:cs="Courier New" w:hint="default"/>
      </w:rPr>
    </w:lvl>
    <w:lvl w:ilvl="5" w:tplc="04020005" w:tentative="1">
      <w:start w:val="1"/>
      <w:numFmt w:val="bullet"/>
      <w:lvlText w:val=""/>
      <w:lvlJc w:val="left"/>
      <w:pPr>
        <w:ind w:left="4746" w:hanging="360"/>
      </w:pPr>
      <w:rPr>
        <w:rFonts w:ascii="Wingdings" w:hAnsi="Wingdings" w:hint="default"/>
      </w:rPr>
    </w:lvl>
    <w:lvl w:ilvl="6" w:tplc="04020001" w:tentative="1">
      <w:start w:val="1"/>
      <w:numFmt w:val="bullet"/>
      <w:lvlText w:val=""/>
      <w:lvlJc w:val="left"/>
      <w:pPr>
        <w:ind w:left="5466" w:hanging="360"/>
      </w:pPr>
      <w:rPr>
        <w:rFonts w:ascii="Symbol" w:hAnsi="Symbol" w:hint="default"/>
      </w:rPr>
    </w:lvl>
    <w:lvl w:ilvl="7" w:tplc="04020003" w:tentative="1">
      <w:start w:val="1"/>
      <w:numFmt w:val="bullet"/>
      <w:lvlText w:val="o"/>
      <w:lvlJc w:val="left"/>
      <w:pPr>
        <w:ind w:left="6186" w:hanging="360"/>
      </w:pPr>
      <w:rPr>
        <w:rFonts w:ascii="Courier New" w:hAnsi="Courier New" w:cs="Courier New" w:hint="default"/>
      </w:rPr>
    </w:lvl>
    <w:lvl w:ilvl="8" w:tplc="04020005" w:tentative="1">
      <w:start w:val="1"/>
      <w:numFmt w:val="bullet"/>
      <w:lvlText w:val=""/>
      <w:lvlJc w:val="left"/>
      <w:pPr>
        <w:ind w:left="6906" w:hanging="360"/>
      </w:pPr>
      <w:rPr>
        <w:rFonts w:ascii="Wingdings" w:hAnsi="Wingdings" w:hint="default"/>
      </w:rPr>
    </w:lvl>
  </w:abstractNum>
  <w:abstractNum w:abstractNumId="8" w15:restartNumberingAfterBreak="0">
    <w:nsid w:val="220C5E8B"/>
    <w:multiLevelType w:val="hybridMultilevel"/>
    <w:tmpl w:val="048E348C"/>
    <w:lvl w:ilvl="0" w:tplc="04020001">
      <w:start w:val="1"/>
      <w:numFmt w:val="bullet"/>
      <w:lvlText w:val=""/>
      <w:lvlJc w:val="left"/>
      <w:pPr>
        <w:ind w:left="720" w:hanging="360"/>
      </w:pPr>
      <w:rPr>
        <w:rFonts w:ascii="Symbol" w:hAnsi="Symbol" w:hint="default"/>
      </w:rPr>
    </w:lvl>
    <w:lvl w:ilvl="1" w:tplc="0402000F">
      <w:start w:val="1"/>
      <w:numFmt w:val="decimal"/>
      <w:lvlText w:val="%2."/>
      <w:lvlJc w:val="left"/>
      <w:pPr>
        <w:tabs>
          <w:tab w:val="num" w:pos="1080"/>
        </w:tabs>
        <w:ind w:left="1080" w:hanging="360"/>
      </w:pPr>
      <w:rPr>
        <w:rFonts w:hint="default"/>
      </w:rPr>
    </w:lvl>
    <w:lvl w:ilvl="2" w:tplc="431AAC9C">
      <w:start w:val="14"/>
      <w:numFmt w:val="decimal"/>
      <w:lvlText w:val="%3"/>
      <w:lvlJc w:val="left"/>
      <w:pPr>
        <w:ind w:left="2160" w:hanging="360"/>
      </w:pPr>
      <w:rPr>
        <w:rFont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9" w15:restartNumberingAfterBreak="0">
    <w:nsid w:val="256434EA"/>
    <w:multiLevelType w:val="hybridMultilevel"/>
    <w:tmpl w:val="893C3650"/>
    <w:lvl w:ilvl="0" w:tplc="0409000B">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0" w15:restartNumberingAfterBreak="0">
    <w:nsid w:val="25770DD3"/>
    <w:multiLevelType w:val="hybridMultilevel"/>
    <w:tmpl w:val="0B2CFC28"/>
    <w:lvl w:ilvl="0" w:tplc="04020001">
      <w:start w:val="1"/>
      <w:numFmt w:val="bullet"/>
      <w:lvlText w:val=""/>
      <w:lvlJc w:val="left"/>
      <w:pPr>
        <w:ind w:left="36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1" w15:restartNumberingAfterBreak="0">
    <w:nsid w:val="25E033D9"/>
    <w:multiLevelType w:val="hybridMultilevel"/>
    <w:tmpl w:val="8BD86088"/>
    <w:lvl w:ilvl="0" w:tplc="04020013">
      <w:start w:val="1"/>
      <w:numFmt w:val="upperRoman"/>
      <w:lvlText w:val="%1."/>
      <w:lvlJc w:val="right"/>
      <w:pPr>
        <w:tabs>
          <w:tab w:val="num" w:pos="748"/>
        </w:tabs>
        <w:ind w:left="748" w:hanging="180"/>
      </w:pPr>
    </w:lvl>
    <w:lvl w:ilvl="1" w:tplc="04020019" w:tentative="1">
      <w:start w:val="1"/>
      <w:numFmt w:val="lowerLetter"/>
      <w:lvlText w:val="%2."/>
      <w:lvlJc w:val="left"/>
      <w:pPr>
        <w:tabs>
          <w:tab w:val="num" w:pos="1440"/>
        </w:tabs>
        <w:ind w:left="1440" w:hanging="360"/>
      </w:pPr>
    </w:lvl>
    <w:lvl w:ilvl="2" w:tplc="0402001B" w:tentative="1">
      <w:start w:val="1"/>
      <w:numFmt w:val="lowerRoman"/>
      <w:lvlText w:val="%3."/>
      <w:lvlJc w:val="right"/>
      <w:pPr>
        <w:tabs>
          <w:tab w:val="num" w:pos="2160"/>
        </w:tabs>
        <w:ind w:left="2160" w:hanging="180"/>
      </w:pPr>
    </w:lvl>
    <w:lvl w:ilvl="3" w:tplc="0402000F" w:tentative="1">
      <w:start w:val="1"/>
      <w:numFmt w:val="decimal"/>
      <w:lvlText w:val="%4."/>
      <w:lvlJc w:val="left"/>
      <w:pPr>
        <w:tabs>
          <w:tab w:val="num" w:pos="2880"/>
        </w:tabs>
        <w:ind w:left="2880" w:hanging="360"/>
      </w:pPr>
    </w:lvl>
    <w:lvl w:ilvl="4" w:tplc="04020019" w:tentative="1">
      <w:start w:val="1"/>
      <w:numFmt w:val="lowerLetter"/>
      <w:lvlText w:val="%5."/>
      <w:lvlJc w:val="left"/>
      <w:pPr>
        <w:tabs>
          <w:tab w:val="num" w:pos="3600"/>
        </w:tabs>
        <w:ind w:left="3600" w:hanging="360"/>
      </w:pPr>
    </w:lvl>
    <w:lvl w:ilvl="5" w:tplc="0402001B" w:tentative="1">
      <w:start w:val="1"/>
      <w:numFmt w:val="lowerRoman"/>
      <w:lvlText w:val="%6."/>
      <w:lvlJc w:val="right"/>
      <w:pPr>
        <w:tabs>
          <w:tab w:val="num" w:pos="4320"/>
        </w:tabs>
        <w:ind w:left="4320" w:hanging="180"/>
      </w:pPr>
    </w:lvl>
    <w:lvl w:ilvl="6" w:tplc="0402000F" w:tentative="1">
      <w:start w:val="1"/>
      <w:numFmt w:val="decimal"/>
      <w:lvlText w:val="%7."/>
      <w:lvlJc w:val="left"/>
      <w:pPr>
        <w:tabs>
          <w:tab w:val="num" w:pos="5040"/>
        </w:tabs>
        <w:ind w:left="5040" w:hanging="360"/>
      </w:pPr>
    </w:lvl>
    <w:lvl w:ilvl="7" w:tplc="04020019" w:tentative="1">
      <w:start w:val="1"/>
      <w:numFmt w:val="lowerLetter"/>
      <w:lvlText w:val="%8."/>
      <w:lvlJc w:val="left"/>
      <w:pPr>
        <w:tabs>
          <w:tab w:val="num" w:pos="5760"/>
        </w:tabs>
        <w:ind w:left="5760" w:hanging="360"/>
      </w:pPr>
    </w:lvl>
    <w:lvl w:ilvl="8" w:tplc="0402001B" w:tentative="1">
      <w:start w:val="1"/>
      <w:numFmt w:val="lowerRoman"/>
      <w:lvlText w:val="%9."/>
      <w:lvlJc w:val="right"/>
      <w:pPr>
        <w:tabs>
          <w:tab w:val="num" w:pos="6480"/>
        </w:tabs>
        <w:ind w:left="6480" w:hanging="180"/>
      </w:pPr>
    </w:lvl>
  </w:abstractNum>
  <w:abstractNum w:abstractNumId="12" w15:restartNumberingAfterBreak="0">
    <w:nsid w:val="2C2B2401"/>
    <w:multiLevelType w:val="hybridMultilevel"/>
    <w:tmpl w:val="C65AFD30"/>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3" w15:restartNumberingAfterBreak="0">
    <w:nsid w:val="33656037"/>
    <w:multiLevelType w:val="hybridMultilevel"/>
    <w:tmpl w:val="E6249888"/>
    <w:lvl w:ilvl="0" w:tplc="0402000D">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4" w15:restartNumberingAfterBreak="0">
    <w:nsid w:val="367603E5"/>
    <w:multiLevelType w:val="hybridMultilevel"/>
    <w:tmpl w:val="B12EE7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CE1413E"/>
    <w:multiLevelType w:val="hybridMultilevel"/>
    <w:tmpl w:val="528E64B2"/>
    <w:lvl w:ilvl="0" w:tplc="0402000B">
      <w:start w:val="1"/>
      <w:numFmt w:val="bullet"/>
      <w:lvlText w:val=""/>
      <w:lvlJc w:val="left"/>
      <w:pPr>
        <w:ind w:left="720"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6" w15:restartNumberingAfterBreak="0">
    <w:nsid w:val="3D0F26B6"/>
    <w:multiLevelType w:val="hybridMultilevel"/>
    <w:tmpl w:val="7ECE1EE0"/>
    <w:lvl w:ilvl="0" w:tplc="04090001">
      <w:start w:val="1"/>
      <w:numFmt w:val="bullet"/>
      <w:lvlText w:val=""/>
      <w:lvlJc w:val="left"/>
      <w:pPr>
        <w:ind w:left="644" w:hanging="360"/>
      </w:pPr>
      <w:rPr>
        <w:rFonts w:ascii="Symbol" w:hAnsi="Symbol" w:hint="default"/>
      </w:rPr>
    </w:lvl>
    <w:lvl w:ilvl="1" w:tplc="04020003">
      <w:start w:val="1"/>
      <w:numFmt w:val="bullet"/>
      <w:lvlText w:val="o"/>
      <w:lvlJc w:val="left"/>
      <w:pPr>
        <w:ind w:left="1658" w:hanging="360"/>
      </w:pPr>
      <w:rPr>
        <w:rFonts w:ascii="Courier New" w:hAnsi="Courier New" w:cs="Courier New" w:hint="default"/>
      </w:rPr>
    </w:lvl>
    <w:lvl w:ilvl="2" w:tplc="04020005">
      <w:start w:val="1"/>
      <w:numFmt w:val="bullet"/>
      <w:lvlText w:val=""/>
      <w:lvlJc w:val="left"/>
      <w:pPr>
        <w:ind w:left="2378" w:hanging="360"/>
      </w:pPr>
      <w:rPr>
        <w:rFonts w:ascii="Wingdings" w:hAnsi="Wingdings" w:cs="Wingdings" w:hint="default"/>
      </w:rPr>
    </w:lvl>
    <w:lvl w:ilvl="3" w:tplc="04020001">
      <w:start w:val="1"/>
      <w:numFmt w:val="bullet"/>
      <w:lvlText w:val=""/>
      <w:lvlJc w:val="left"/>
      <w:pPr>
        <w:ind w:left="3098" w:hanging="360"/>
      </w:pPr>
      <w:rPr>
        <w:rFonts w:ascii="Symbol" w:hAnsi="Symbol" w:cs="Symbol" w:hint="default"/>
      </w:rPr>
    </w:lvl>
    <w:lvl w:ilvl="4" w:tplc="04020003">
      <w:start w:val="1"/>
      <w:numFmt w:val="bullet"/>
      <w:lvlText w:val="o"/>
      <w:lvlJc w:val="left"/>
      <w:pPr>
        <w:ind w:left="3818" w:hanging="360"/>
      </w:pPr>
      <w:rPr>
        <w:rFonts w:ascii="Courier New" w:hAnsi="Courier New" w:cs="Courier New" w:hint="default"/>
      </w:rPr>
    </w:lvl>
    <w:lvl w:ilvl="5" w:tplc="04020005">
      <w:start w:val="1"/>
      <w:numFmt w:val="bullet"/>
      <w:lvlText w:val=""/>
      <w:lvlJc w:val="left"/>
      <w:pPr>
        <w:ind w:left="4538" w:hanging="360"/>
      </w:pPr>
      <w:rPr>
        <w:rFonts w:ascii="Wingdings" w:hAnsi="Wingdings" w:cs="Wingdings" w:hint="default"/>
      </w:rPr>
    </w:lvl>
    <w:lvl w:ilvl="6" w:tplc="04020001">
      <w:start w:val="1"/>
      <w:numFmt w:val="bullet"/>
      <w:lvlText w:val=""/>
      <w:lvlJc w:val="left"/>
      <w:pPr>
        <w:ind w:left="5258" w:hanging="360"/>
      </w:pPr>
      <w:rPr>
        <w:rFonts w:ascii="Symbol" w:hAnsi="Symbol" w:cs="Symbol" w:hint="default"/>
      </w:rPr>
    </w:lvl>
    <w:lvl w:ilvl="7" w:tplc="04020003">
      <w:start w:val="1"/>
      <w:numFmt w:val="bullet"/>
      <w:lvlText w:val="o"/>
      <w:lvlJc w:val="left"/>
      <w:pPr>
        <w:ind w:left="5978" w:hanging="360"/>
      </w:pPr>
      <w:rPr>
        <w:rFonts w:ascii="Courier New" w:hAnsi="Courier New" w:cs="Courier New" w:hint="default"/>
      </w:rPr>
    </w:lvl>
    <w:lvl w:ilvl="8" w:tplc="04020005">
      <w:start w:val="1"/>
      <w:numFmt w:val="bullet"/>
      <w:lvlText w:val=""/>
      <w:lvlJc w:val="left"/>
      <w:pPr>
        <w:ind w:left="6698" w:hanging="360"/>
      </w:pPr>
      <w:rPr>
        <w:rFonts w:ascii="Wingdings" w:hAnsi="Wingdings" w:cs="Wingdings" w:hint="default"/>
      </w:rPr>
    </w:lvl>
  </w:abstractNum>
  <w:abstractNum w:abstractNumId="17" w15:restartNumberingAfterBreak="0">
    <w:nsid w:val="4129739D"/>
    <w:multiLevelType w:val="multilevel"/>
    <w:tmpl w:val="3B3829F8"/>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34C04F0"/>
    <w:multiLevelType w:val="hybridMultilevel"/>
    <w:tmpl w:val="9CC23E42"/>
    <w:lvl w:ilvl="0" w:tplc="0409000B">
      <w:start w:val="1"/>
      <w:numFmt w:val="bullet"/>
      <w:lvlText w:val=""/>
      <w:lvlJc w:val="left"/>
      <w:pPr>
        <w:tabs>
          <w:tab w:val="num" w:pos="360"/>
        </w:tabs>
        <w:ind w:left="360" w:hanging="360"/>
      </w:pPr>
      <w:rPr>
        <w:rFonts w:ascii="Wingdings" w:hAnsi="Wingdings"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49E1062A"/>
    <w:multiLevelType w:val="hybridMultilevel"/>
    <w:tmpl w:val="4FACED8C"/>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0" w15:restartNumberingAfterBreak="0">
    <w:nsid w:val="4C5D46C6"/>
    <w:multiLevelType w:val="hybridMultilevel"/>
    <w:tmpl w:val="DCBCA80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1" w15:restartNumberingAfterBreak="0">
    <w:nsid w:val="4E9C00B4"/>
    <w:multiLevelType w:val="hybridMultilevel"/>
    <w:tmpl w:val="D0E2231A"/>
    <w:lvl w:ilvl="0" w:tplc="0402000D">
      <w:start w:val="1"/>
      <w:numFmt w:val="bullet"/>
      <w:lvlText w:val=""/>
      <w:lvlJc w:val="left"/>
      <w:pPr>
        <w:ind w:left="928" w:hanging="360"/>
      </w:pPr>
      <w:rPr>
        <w:rFonts w:ascii="Wingdings" w:hAnsi="Wingdings"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2" w15:restartNumberingAfterBreak="0">
    <w:nsid w:val="50BC152C"/>
    <w:multiLevelType w:val="hybridMultilevel"/>
    <w:tmpl w:val="2788E932"/>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3" w15:restartNumberingAfterBreak="0">
    <w:nsid w:val="56386491"/>
    <w:multiLevelType w:val="hybridMultilevel"/>
    <w:tmpl w:val="4C4A1C38"/>
    <w:lvl w:ilvl="0" w:tplc="0402000D">
      <w:start w:val="1"/>
      <w:numFmt w:val="bullet"/>
      <w:lvlText w:val=""/>
      <w:lvlJc w:val="left"/>
      <w:pPr>
        <w:ind w:left="786" w:hanging="360"/>
      </w:pPr>
      <w:rPr>
        <w:rFonts w:ascii="Wingdings" w:hAnsi="Wingding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24" w15:restartNumberingAfterBreak="0">
    <w:nsid w:val="5924084A"/>
    <w:multiLevelType w:val="hybridMultilevel"/>
    <w:tmpl w:val="80584866"/>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5" w15:restartNumberingAfterBreak="0">
    <w:nsid w:val="5B81310B"/>
    <w:multiLevelType w:val="hybridMultilevel"/>
    <w:tmpl w:val="7CDCA298"/>
    <w:lvl w:ilvl="0" w:tplc="04020001">
      <w:start w:val="1"/>
      <w:numFmt w:val="bullet"/>
      <w:lvlText w:val=""/>
      <w:lvlJc w:val="left"/>
      <w:pPr>
        <w:ind w:left="644" w:hanging="360"/>
      </w:pPr>
      <w:rPr>
        <w:rFonts w:ascii="Symbol" w:hAnsi="Symbol"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abstractNum w:abstractNumId="26" w15:restartNumberingAfterBreak="0">
    <w:nsid w:val="5C06143A"/>
    <w:multiLevelType w:val="hybridMultilevel"/>
    <w:tmpl w:val="44501286"/>
    <w:lvl w:ilvl="0" w:tplc="04020001">
      <w:start w:val="1"/>
      <w:numFmt w:val="bullet"/>
      <w:lvlText w:val=""/>
      <w:lvlJc w:val="left"/>
      <w:pPr>
        <w:tabs>
          <w:tab w:val="num" w:pos="720"/>
        </w:tabs>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63074773"/>
    <w:multiLevelType w:val="hybridMultilevel"/>
    <w:tmpl w:val="DD08FCF2"/>
    <w:lvl w:ilvl="0" w:tplc="04020003">
      <w:start w:val="1"/>
      <w:numFmt w:val="bullet"/>
      <w:lvlText w:val="o"/>
      <w:lvlJc w:val="left"/>
      <w:pPr>
        <w:ind w:left="1434" w:hanging="360"/>
      </w:pPr>
      <w:rPr>
        <w:rFonts w:ascii="Courier New" w:hAnsi="Courier New" w:cs="Courier New" w:hint="default"/>
      </w:rPr>
    </w:lvl>
    <w:lvl w:ilvl="1" w:tplc="04020003" w:tentative="1">
      <w:start w:val="1"/>
      <w:numFmt w:val="bullet"/>
      <w:lvlText w:val="o"/>
      <w:lvlJc w:val="left"/>
      <w:pPr>
        <w:ind w:left="2154" w:hanging="360"/>
      </w:pPr>
      <w:rPr>
        <w:rFonts w:ascii="Courier New" w:hAnsi="Courier New" w:cs="Courier New" w:hint="default"/>
      </w:rPr>
    </w:lvl>
    <w:lvl w:ilvl="2" w:tplc="04020005" w:tentative="1">
      <w:start w:val="1"/>
      <w:numFmt w:val="bullet"/>
      <w:lvlText w:val=""/>
      <w:lvlJc w:val="left"/>
      <w:pPr>
        <w:ind w:left="2874" w:hanging="360"/>
      </w:pPr>
      <w:rPr>
        <w:rFonts w:ascii="Wingdings" w:hAnsi="Wingdings" w:hint="default"/>
      </w:rPr>
    </w:lvl>
    <w:lvl w:ilvl="3" w:tplc="04020001" w:tentative="1">
      <w:start w:val="1"/>
      <w:numFmt w:val="bullet"/>
      <w:lvlText w:val=""/>
      <w:lvlJc w:val="left"/>
      <w:pPr>
        <w:ind w:left="3594" w:hanging="360"/>
      </w:pPr>
      <w:rPr>
        <w:rFonts w:ascii="Symbol" w:hAnsi="Symbol" w:hint="default"/>
      </w:rPr>
    </w:lvl>
    <w:lvl w:ilvl="4" w:tplc="04020003" w:tentative="1">
      <w:start w:val="1"/>
      <w:numFmt w:val="bullet"/>
      <w:lvlText w:val="o"/>
      <w:lvlJc w:val="left"/>
      <w:pPr>
        <w:ind w:left="4314" w:hanging="360"/>
      </w:pPr>
      <w:rPr>
        <w:rFonts w:ascii="Courier New" w:hAnsi="Courier New" w:cs="Courier New" w:hint="default"/>
      </w:rPr>
    </w:lvl>
    <w:lvl w:ilvl="5" w:tplc="04020005" w:tentative="1">
      <w:start w:val="1"/>
      <w:numFmt w:val="bullet"/>
      <w:lvlText w:val=""/>
      <w:lvlJc w:val="left"/>
      <w:pPr>
        <w:ind w:left="5034" w:hanging="360"/>
      </w:pPr>
      <w:rPr>
        <w:rFonts w:ascii="Wingdings" w:hAnsi="Wingdings" w:hint="default"/>
      </w:rPr>
    </w:lvl>
    <w:lvl w:ilvl="6" w:tplc="04020001" w:tentative="1">
      <w:start w:val="1"/>
      <w:numFmt w:val="bullet"/>
      <w:lvlText w:val=""/>
      <w:lvlJc w:val="left"/>
      <w:pPr>
        <w:ind w:left="5754" w:hanging="360"/>
      </w:pPr>
      <w:rPr>
        <w:rFonts w:ascii="Symbol" w:hAnsi="Symbol" w:hint="default"/>
      </w:rPr>
    </w:lvl>
    <w:lvl w:ilvl="7" w:tplc="04020003" w:tentative="1">
      <w:start w:val="1"/>
      <w:numFmt w:val="bullet"/>
      <w:lvlText w:val="o"/>
      <w:lvlJc w:val="left"/>
      <w:pPr>
        <w:ind w:left="6474" w:hanging="360"/>
      </w:pPr>
      <w:rPr>
        <w:rFonts w:ascii="Courier New" w:hAnsi="Courier New" w:cs="Courier New" w:hint="default"/>
      </w:rPr>
    </w:lvl>
    <w:lvl w:ilvl="8" w:tplc="04020005" w:tentative="1">
      <w:start w:val="1"/>
      <w:numFmt w:val="bullet"/>
      <w:lvlText w:val=""/>
      <w:lvlJc w:val="left"/>
      <w:pPr>
        <w:ind w:left="7194" w:hanging="360"/>
      </w:pPr>
      <w:rPr>
        <w:rFonts w:ascii="Wingdings" w:hAnsi="Wingdings" w:hint="default"/>
      </w:rPr>
    </w:lvl>
  </w:abstractNum>
  <w:abstractNum w:abstractNumId="28" w15:restartNumberingAfterBreak="0">
    <w:nsid w:val="67CF4AC0"/>
    <w:multiLevelType w:val="hybridMultilevel"/>
    <w:tmpl w:val="6D74723C"/>
    <w:lvl w:ilvl="0" w:tplc="88E2D3FE">
      <w:start w:val="1"/>
      <w:numFmt w:val="decimal"/>
      <w:lvlText w:val="%1)"/>
      <w:lvlJc w:val="left"/>
      <w:pPr>
        <w:ind w:left="928" w:hanging="360"/>
      </w:pPr>
      <w:rPr>
        <w:rFonts w:hint="default"/>
      </w:rPr>
    </w:lvl>
    <w:lvl w:ilvl="1" w:tplc="04020019" w:tentative="1">
      <w:start w:val="1"/>
      <w:numFmt w:val="lowerLetter"/>
      <w:lvlText w:val="%2."/>
      <w:lvlJc w:val="left"/>
      <w:pPr>
        <w:ind w:left="1648" w:hanging="360"/>
      </w:pPr>
    </w:lvl>
    <w:lvl w:ilvl="2" w:tplc="0402001B" w:tentative="1">
      <w:start w:val="1"/>
      <w:numFmt w:val="lowerRoman"/>
      <w:lvlText w:val="%3."/>
      <w:lvlJc w:val="right"/>
      <w:pPr>
        <w:ind w:left="2368" w:hanging="180"/>
      </w:pPr>
    </w:lvl>
    <w:lvl w:ilvl="3" w:tplc="0402000F" w:tentative="1">
      <w:start w:val="1"/>
      <w:numFmt w:val="decimal"/>
      <w:lvlText w:val="%4."/>
      <w:lvlJc w:val="left"/>
      <w:pPr>
        <w:ind w:left="3088" w:hanging="360"/>
      </w:pPr>
    </w:lvl>
    <w:lvl w:ilvl="4" w:tplc="04020019" w:tentative="1">
      <w:start w:val="1"/>
      <w:numFmt w:val="lowerLetter"/>
      <w:lvlText w:val="%5."/>
      <w:lvlJc w:val="left"/>
      <w:pPr>
        <w:ind w:left="3808" w:hanging="360"/>
      </w:pPr>
    </w:lvl>
    <w:lvl w:ilvl="5" w:tplc="0402001B" w:tentative="1">
      <w:start w:val="1"/>
      <w:numFmt w:val="lowerRoman"/>
      <w:lvlText w:val="%6."/>
      <w:lvlJc w:val="right"/>
      <w:pPr>
        <w:ind w:left="4528" w:hanging="180"/>
      </w:pPr>
    </w:lvl>
    <w:lvl w:ilvl="6" w:tplc="0402000F" w:tentative="1">
      <w:start w:val="1"/>
      <w:numFmt w:val="decimal"/>
      <w:lvlText w:val="%7."/>
      <w:lvlJc w:val="left"/>
      <w:pPr>
        <w:ind w:left="5248" w:hanging="360"/>
      </w:pPr>
    </w:lvl>
    <w:lvl w:ilvl="7" w:tplc="04020019" w:tentative="1">
      <w:start w:val="1"/>
      <w:numFmt w:val="lowerLetter"/>
      <w:lvlText w:val="%8."/>
      <w:lvlJc w:val="left"/>
      <w:pPr>
        <w:ind w:left="5968" w:hanging="360"/>
      </w:pPr>
    </w:lvl>
    <w:lvl w:ilvl="8" w:tplc="0402001B" w:tentative="1">
      <w:start w:val="1"/>
      <w:numFmt w:val="lowerRoman"/>
      <w:lvlText w:val="%9."/>
      <w:lvlJc w:val="right"/>
      <w:pPr>
        <w:ind w:left="6688" w:hanging="180"/>
      </w:pPr>
    </w:lvl>
  </w:abstractNum>
  <w:abstractNum w:abstractNumId="29" w15:restartNumberingAfterBreak="0">
    <w:nsid w:val="6A080662"/>
    <w:multiLevelType w:val="hybridMultilevel"/>
    <w:tmpl w:val="37EEF6E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0" w15:restartNumberingAfterBreak="0">
    <w:nsid w:val="6C3740AA"/>
    <w:multiLevelType w:val="hybridMultilevel"/>
    <w:tmpl w:val="ED2C6B7A"/>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1" w15:restartNumberingAfterBreak="0">
    <w:nsid w:val="7560484D"/>
    <w:multiLevelType w:val="hybridMultilevel"/>
    <w:tmpl w:val="833287EE"/>
    <w:lvl w:ilvl="0" w:tplc="04090001">
      <w:start w:val="1"/>
      <w:numFmt w:val="bullet"/>
      <w:lvlText w:val=""/>
      <w:lvlJc w:val="left"/>
      <w:pPr>
        <w:ind w:left="1222"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E7235F2"/>
    <w:multiLevelType w:val="hybridMultilevel"/>
    <w:tmpl w:val="1BDE900E"/>
    <w:lvl w:ilvl="0" w:tplc="0402000D">
      <w:start w:val="1"/>
      <w:numFmt w:val="bullet"/>
      <w:lvlText w:val=""/>
      <w:lvlJc w:val="left"/>
      <w:pPr>
        <w:ind w:left="644" w:hanging="360"/>
      </w:pPr>
      <w:rPr>
        <w:rFonts w:ascii="Wingdings" w:hAnsi="Wingdings" w:hint="default"/>
      </w:rPr>
    </w:lvl>
    <w:lvl w:ilvl="1" w:tplc="04020003" w:tentative="1">
      <w:start w:val="1"/>
      <w:numFmt w:val="bullet"/>
      <w:lvlText w:val="o"/>
      <w:lvlJc w:val="left"/>
      <w:pPr>
        <w:ind w:left="1364" w:hanging="360"/>
      </w:pPr>
      <w:rPr>
        <w:rFonts w:ascii="Courier New" w:hAnsi="Courier New" w:cs="Courier New" w:hint="default"/>
      </w:rPr>
    </w:lvl>
    <w:lvl w:ilvl="2" w:tplc="04020005" w:tentative="1">
      <w:start w:val="1"/>
      <w:numFmt w:val="bullet"/>
      <w:lvlText w:val=""/>
      <w:lvlJc w:val="left"/>
      <w:pPr>
        <w:ind w:left="2084" w:hanging="360"/>
      </w:pPr>
      <w:rPr>
        <w:rFonts w:ascii="Wingdings" w:hAnsi="Wingdings" w:hint="default"/>
      </w:rPr>
    </w:lvl>
    <w:lvl w:ilvl="3" w:tplc="04020001" w:tentative="1">
      <w:start w:val="1"/>
      <w:numFmt w:val="bullet"/>
      <w:lvlText w:val=""/>
      <w:lvlJc w:val="left"/>
      <w:pPr>
        <w:ind w:left="2804" w:hanging="360"/>
      </w:pPr>
      <w:rPr>
        <w:rFonts w:ascii="Symbol" w:hAnsi="Symbol" w:hint="default"/>
      </w:rPr>
    </w:lvl>
    <w:lvl w:ilvl="4" w:tplc="04020003" w:tentative="1">
      <w:start w:val="1"/>
      <w:numFmt w:val="bullet"/>
      <w:lvlText w:val="o"/>
      <w:lvlJc w:val="left"/>
      <w:pPr>
        <w:ind w:left="3524" w:hanging="360"/>
      </w:pPr>
      <w:rPr>
        <w:rFonts w:ascii="Courier New" w:hAnsi="Courier New" w:cs="Courier New" w:hint="default"/>
      </w:rPr>
    </w:lvl>
    <w:lvl w:ilvl="5" w:tplc="04020005" w:tentative="1">
      <w:start w:val="1"/>
      <w:numFmt w:val="bullet"/>
      <w:lvlText w:val=""/>
      <w:lvlJc w:val="left"/>
      <w:pPr>
        <w:ind w:left="4244" w:hanging="360"/>
      </w:pPr>
      <w:rPr>
        <w:rFonts w:ascii="Wingdings" w:hAnsi="Wingdings" w:hint="default"/>
      </w:rPr>
    </w:lvl>
    <w:lvl w:ilvl="6" w:tplc="04020001" w:tentative="1">
      <w:start w:val="1"/>
      <w:numFmt w:val="bullet"/>
      <w:lvlText w:val=""/>
      <w:lvlJc w:val="left"/>
      <w:pPr>
        <w:ind w:left="4964" w:hanging="360"/>
      </w:pPr>
      <w:rPr>
        <w:rFonts w:ascii="Symbol" w:hAnsi="Symbol" w:hint="default"/>
      </w:rPr>
    </w:lvl>
    <w:lvl w:ilvl="7" w:tplc="04020003" w:tentative="1">
      <w:start w:val="1"/>
      <w:numFmt w:val="bullet"/>
      <w:lvlText w:val="o"/>
      <w:lvlJc w:val="left"/>
      <w:pPr>
        <w:ind w:left="5684" w:hanging="360"/>
      </w:pPr>
      <w:rPr>
        <w:rFonts w:ascii="Courier New" w:hAnsi="Courier New" w:cs="Courier New" w:hint="default"/>
      </w:rPr>
    </w:lvl>
    <w:lvl w:ilvl="8" w:tplc="04020005" w:tentative="1">
      <w:start w:val="1"/>
      <w:numFmt w:val="bullet"/>
      <w:lvlText w:val=""/>
      <w:lvlJc w:val="left"/>
      <w:pPr>
        <w:ind w:left="6404" w:hanging="360"/>
      </w:pPr>
      <w:rPr>
        <w:rFonts w:ascii="Wingdings" w:hAnsi="Wingdings" w:hint="default"/>
      </w:rPr>
    </w:lvl>
  </w:abstractNum>
  <w:num w:numId="1">
    <w:abstractNumId w:val="11"/>
  </w:num>
  <w:num w:numId="2">
    <w:abstractNumId w:val="18"/>
  </w:num>
  <w:num w:numId="3">
    <w:abstractNumId w:val="1"/>
  </w:num>
  <w:num w:numId="4">
    <w:abstractNumId w:val="10"/>
  </w:num>
  <w:num w:numId="5">
    <w:abstractNumId w:val="7"/>
  </w:num>
  <w:num w:numId="6">
    <w:abstractNumId w:val="29"/>
  </w:num>
  <w:num w:numId="7">
    <w:abstractNumId w:val="26"/>
  </w:num>
  <w:num w:numId="8">
    <w:abstractNumId w:val="15"/>
  </w:num>
  <w:num w:numId="9">
    <w:abstractNumId w:val="25"/>
  </w:num>
  <w:num w:numId="10">
    <w:abstractNumId w:val="9"/>
  </w:num>
  <w:num w:numId="11">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4"/>
  </w:num>
  <w:num w:numId="13">
    <w:abstractNumId w:val="28"/>
  </w:num>
  <w:num w:numId="14">
    <w:abstractNumId w:val="27"/>
  </w:num>
  <w:num w:numId="15">
    <w:abstractNumId w:val="4"/>
  </w:num>
  <w:num w:numId="16">
    <w:abstractNumId w:val="22"/>
  </w:num>
  <w:num w:numId="17">
    <w:abstractNumId w:val="21"/>
  </w:num>
  <w:num w:numId="18">
    <w:abstractNumId w:val="30"/>
  </w:num>
  <w:num w:numId="19">
    <w:abstractNumId w:val="24"/>
  </w:num>
  <w:num w:numId="20">
    <w:abstractNumId w:val="20"/>
  </w:num>
  <w:num w:numId="21">
    <w:abstractNumId w:val="17"/>
  </w:num>
  <w:num w:numId="22">
    <w:abstractNumId w:val="13"/>
  </w:num>
  <w:num w:numId="23">
    <w:abstractNumId w:val="2"/>
  </w:num>
  <w:num w:numId="24">
    <w:abstractNumId w:val="3"/>
  </w:num>
  <w:num w:numId="25">
    <w:abstractNumId w:val="16"/>
  </w:num>
  <w:num w:numId="26">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6"/>
  </w:num>
  <w:num w:numId="28">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8"/>
  </w:num>
  <w:num w:numId="30">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9"/>
  </w:num>
  <w:num w:numId="35">
    <w:abstractNumId w:val="12"/>
  </w:num>
  <w:num w:numId="36">
    <w:abstractNumId w:val="32"/>
  </w:num>
  <w:num w:numId="37">
    <w:abstractNumId w:val="23"/>
  </w:num>
  <w:num w:numId="38">
    <w:abstractNumId w:val="31"/>
  </w:num>
  <w:num w:numId="39">
    <w:abstractNumId w:val="8"/>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hideGrammaticalErrors/>
  <w:activeWritingStyle w:appName="MSWord" w:lang="ru-RU" w:vendorID="64" w:dllVersion="131078" w:nlCheck="1" w:checkStyle="0"/>
  <w:activeWritingStyle w:appName="MSWord" w:lang="en-US" w:vendorID="64" w:dllVersion="131078"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170E"/>
    <w:rsid w:val="000004A5"/>
    <w:rsid w:val="00000860"/>
    <w:rsid w:val="000008C5"/>
    <w:rsid w:val="00001409"/>
    <w:rsid w:val="00001C9B"/>
    <w:rsid w:val="0000212D"/>
    <w:rsid w:val="000023FA"/>
    <w:rsid w:val="0000252B"/>
    <w:rsid w:val="0000260B"/>
    <w:rsid w:val="00002CDE"/>
    <w:rsid w:val="00002D81"/>
    <w:rsid w:val="0000308F"/>
    <w:rsid w:val="00003537"/>
    <w:rsid w:val="000039EB"/>
    <w:rsid w:val="00003BAF"/>
    <w:rsid w:val="00003E87"/>
    <w:rsid w:val="0000419B"/>
    <w:rsid w:val="000041DD"/>
    <w:rsid w:val="000045F2"/>
    <w:rsid w:val="000048F7"/>
    <w:rsid w:val="00004AD8"/>
    <w:rsid w:val="00004C09"/>
    <w:rsid w:val="00004DC9"/>
    <w:rsid w:val="00004DE9"/>
    <w:rsid w:val="000054EB"/>
    <w:rsid w:val="00005583"/>
    <w:rsid w:val="000055B9"/>
    <w:rsid w:val="00005926"/>
    <w:rsid w:val="000065D7"/>
    <w:rsid w:val="00006668"/>
    <w:rsid w:val="000067E3"/>
    <w:rsid w:val="00006C54"/>
    <w:rsid w:val="00006DB3"/>
    <w:rsid w:val="000072A7"/>
    <w:rsid w:val="00007B45"/>
    <w:rsid w:val="00007E08"/>
    <w:rsid w:val="00007E40"/>
    <w:rsid w:val="00010450"/>
    <w:rsid w:val="000107D1"/>
    <w:rsid w:val="000108F8"/>
    <w:rsid w:val="00010A49"/>
    <w:rsid w:val="000114A2"/>
    <w:rsid w:val="0001188F"/>
    <w:rsid w:val="000119FD"/>
    <w:rsid w:val="00012323"/>
    <w:rsid w:val="00012AF2"/>
    <w:rsid w:val="00012BC6"/>
    <w:rsid w:val="000135D2"/>
    <w:rsid w:val="00014023"/>
    <w:rsid w:val="000143C8"/>
    <w:rsid w:val="000144CF"/>
    <w:rsid w:val="000147FB"/>
    <w:rsid w:val="0001499A"/>
    <w:rsid w:val="00014AD7"/>
    <w:rsid w:val="00014E01"/>
    <w:rsid w:val="00015077"/>
    <w:rsid w:val="0001540F"/>
    <w:rsid w:val="0001591A"/>
    <w:rsid w:val="0001594C"/>
    <w:rsid w:val="00015B8F"/>
    <w:rsid w:val="00015C5F"/>
    <w:rsid w:val="00015EC6"/>
    <w:rsid w:val="00015F51"/>
    <w:rsid w:val="00016127"/>
    <w:rsid w:val="00017115"/>
    <w:rsid w:val="00017504"/>
    <w:rsid w:val="00017B63"/>
    <w:rsid w:val="00017F7B"/>
    <w:rsid w:val="00017FD9"/>
    <w:rsid w:val="000200CA"/>
    <w:rsid w:val="000201A2"/>
    <w:rsid w:val="000205EA"/>
    <w:rsid w:val="00020CDC"/>
    <w:rsid w:val="00020D1C"/>
    <w:rsid w:val="0002158D"/>
    <w:rsid w:val="00021911"/>
    <w:rsid w:val="0002199E"/>
    <w:rsid w:val="00021E79"/>
    <w:rsid w:val="00021EF7"/>
    <w:rsid w:val="000221EE"/>
    <w:rsid w:val="00022E19"/>
    <w:rsid w:val="00023032"/>
    <w:rsid w:val="0002312D"/>
    <w:rsid w:val="0002328E"/>
    <w:rsid w:val="00023942"/>
    <w:rsid w:val="00023D20"/>
    <w:rsid w:val="000246B1"/>
    <w:rsid w:val="00024A55"/>
    <w:rsid w:val="00024D84"/>
    <w:rsid w:val="00024EAF"/>
    <w:rsid w:val="00025525"/>
    <w:rsid w:val="0002574C"/>
    <w:rsid w:val="00025886"/>
    <w:rsid w:val="00025AF0"/>
    <w:rsid w:val="0002611A"/>
    <w:rsid w:val="0002677E"/>
    <w:rsid w:val="00026B3C"/>
    <w:rsid w:val="00026C22"/>
    <w:rsid w:val="00026D1D"/>
    <w:rsid w:val="00026D6A"/>
    <w:rsid w:val="00027552"/>
    <w:rsid w:val="0002757A"/>
    <w:rsid w:val="000276CD"/>
    <w:rsid w:val="0002779D"/>
    <w:rsid w:val="00027D5B"/>
    <w:rsid w:val="00030B86"/>
    <w:rsid w:val="00030DF4"/>
    <w:rsid w:val="00030FF6"/>
    <w:rsid w:val="00031776"/>
    <w:rsid w:val="000320B5"/>
    <w:rsid w:val="0003261B"/>
    <w:rsid w:val="00032969"/>
    <w:rsid w:val="00032FB5"/>
    <w:rsid w:val="00032FF7"/>
    <w:rsid w:val="00033145"/>
    <w:rsid w:val="00033260"/>
    <w:rsid w:val="00033476"/>
    <w:rsid w:val="00033A53"/>
    <w:rsid w:val="00034B20"/>
    <w:rsid w:val="00035978"/>
    <w:rsid w:val="000359BB"/>
    <w:rsid w:val="00035BDE"/>
    <w:rsid w:val="00035C47"/>
    <w:rsid w:val="00035C4A"/>
    <w:rsid w:val="000366D0"/>
    <w:rsid w:val="00036780"/>
    <w:rsid w:val="00036912"/>
    <w:rsid w:val="00036B01"/>
    <w:rsid w:val="000371F3"/>
    <w:rsid w:val="0003793C"/>
    <w:rsid w:val="00037BC2"/>
    <w:rsid w:val="0004009A"/>
    <w:rsid w:val="0004084F"/>
    <w:rsid w:val="00040ADF"/>
    <w:rsid w:val="00040D33"/>
    <w:rsid w:val="00041222"/>
    <w:rsid w:val="00041334"/>
    <w:rsid w:val="00041775"/>
    <w:rsid w:val="0004200E"/>
    <w:rsid w:val="000423F2"/>
    <w:rsid w:val="000429E4"/>
    <w:rsid w:val="00043218"/>
    <w:rsid w:val="00043442"/>
    <w:rsid w:val="000439D7"/>
    <w:rsid w:val="00043B44"/>
    <w:rsid w:val="00043F4A"/>
    <w:rsid w:val="00044111"/>
    <w:rsid w:val="00044170"/>
    <w:rsid w:val="000445CA"/>
    <w:rsid w:val="00044852"/>
    <w:rsid w:val="0004489D"/>
    <w:rsid w:val="00045064"/>
    <w:rsid w:val="00045188"/>
    <w:rsid w:val="000454A8"/>
    <w:rsid w:val="00045523"/>
    <w:rsid w:val="00046630"/>
    <w:rsid w:val="00046805"/>
    <w:rsid w:val="000470D6"/>
    <w:rsid w:val="000471B0"/>
    <w:rsid w:val="00047589"/>
    <w:rsid w:val="00047C61"/>
    <w:rsid w:val="00047E1F"/>
    <w:rsid w:val="00047F03"/>
    <w:rsid w:val="0005014C"/>
    <w:rsid w:val="00050277"/>
    <w:rsid w:val="000509FB"/>
    <w:rsid w:val="00050E8D"/>
    <w:rsid w:val="00050EB0"/>
    <w:rsid w:val="00051861"/>
    <w:rsid w:val="00051E1B"/>
    <w:rsid w:val="0005257B"/>
    <w:rsid w:val="00052866"/>
    <w:rsid w:val="000532E6"/>
    <w:rsid w:val="0005350F"/>
    <w:rsid w:val="00053C5F"/>
    <w:rsid w:val="00053C92"/>
    <w:rsid w:val="000542E6"/>
    <w:rsid w:val="00054687"/>
    <w:rsid w:val="00055179"/>
    <w:rsid w:val="00055333"/>
    <w:rsid w:val="00055561"/>
    <w:rsid w:val="000558E7"/>
    <w:rsid w:val="00055997"/>
    <w:rsid w:val="00055B71"/>
    <w:rsid w:val="00055DA4"/>
    <w:rsid w:val="00055FAD"/>
    <w:rsid w:val="000565DD"/>
    <w:rsid w:val="00056902"/>
    <w:rsid w:val="00056AD5"/>
    <w:rsid w:val="00056D52"/>
    <w:rsid w:val="00057112"/>
    <w:rsid w:val="000575DC"/>
    <w:rsid w:val="0005788C"/>
    <w:rsid w:val="00057C99"/>
    <w:rsid w:val="000600A9"/>
    <w:rsid w:val="000602A0"/>
    <w:rsid w:val="000605C1"/>
    <w:rsid w:val="00060A6C"/>
    <w:rsid w:val="00060CB0"/>
    <w:rsid w:val="00060DAE"/>
    <w:rsid w:val="00061387"/>
    <w:rsid w:val="00061A43"/>
    <w:rsid w:val="00061B31"/>
    <w:rsid w:val="000620AA"/>
    <w:rsid w:val="00062121"/>
    <w:rsid w:val="000622E7"/>
    <w:rsid w:val="00062546"/>
    <w:rsid w:val="000627F5"/>
    <w:rsid w:val="000628B2"/>
    <w:rsid w:val="00062AB1"/>
    <w:rsid w:val="00062B71"/>
    <w:rsid w:val="00062BD8"/>
    <w:rsid w:val="00062C9B"/>
    <w:rsid w:val="00063297"/>
    <w:rsid w:val="00063551"/>
    <w:rsid w:val="0006398F"/>
    <w:rsid w:val="00063B18"/>
    <w:rsid w:val="00063D0D"/>
    <w:rsid w:val="00063D75"/>
    <w:rsid w:val="00064319"/>
    <w:rsid w:val="000646BC"/>
    <w:rsid w:val="00064769"/>
    <w:rsid w:val="00064AAD"/>
    <w:rsid w:val="00064B5C"/>
    <w:rsid w:val="00064F5B"/>
    <w:rsid w:val="000659C4"/>
    <w:rsid w:val="00065D03"/>
    <w:rsid w:val="00065D5E"/>
    <w:rsid w:val="00065E39"/>
    <w:rsid w:val="00066007"/>
    <w:rsid w:val="00066617"/>
    <w:rsid w:val="00066936"/>
    <w:rsid w:val="0006697F"/>
    <w:rsid w:val="00066B2D"/>
    <w:rsid w:val="00066D22"/>
    <w:rsid w:val="00066D29"/>
    <w:rsid w:val="00066F8F"/>
    <w:rsid w:val="00066F90"/>
    <w:rsid w:val="00066FE3"/>
    <w:rsid w:val="000679F7"/>
    <w:rsid w:val="00067D5F"/>
    <w:rsid w:val="00067FD7"/>
    <w:rsid w:val="0007023D"/>
    <w:rsid w:val="0007028A"/>
    <w:rsid w:val="00070D88"/>
    <w:rsid w:val="00070DDC"/>
    <w:rsid w:val="00070FC9"/>
    <w:rsid w:val="000711C4"/>
    <w:rsid w:val="000712C9"/>
    <w:rsid w:val="0007167B"/>
    <w:rsid w:val="000716AA"/>
    <w:rsid w:val="000717D1"/>
    <w:rsid w:val="000719E9"/>
    <w:rsid w:val="00071A4A"/>
    <w:rsid w:val="00071D67"/>
    <w:rsid w:val="00071FC2"/>
    <w:rsid w:val="000723A7"/>
    <w:rsid w:val="00072474"/>
    <w:rsid w:val="0007258F"/>
    <w:rsid w:val="00072BDD"/>
    <w:rsid w:val="00072D29"/>
    <w:rsid w:val="00073111"/>
    <w:rsid w:val="000747A9"/>
    <w:rsid w:val="00074B6F"/>
    <w:rsid w:val="00074F64"/>
    <w:rsid w:val="00075256"/>
    <w:rsid w:val="0007547F"/>
    <w:rsid w:val="000759CB"/>
    <w:rsid w:val="000759F8"/>
    <w:rsid w:val="00076050"/>
    <w:rsid w:val="000761C0"/>
    <w:rsid w:val="000765CA"/>
    <w:rsid w:val="00076825"/>
    <w:rsid w:val="00076909"/>
    <w:rsid w:val="00076A59"/>
    <w:rsid w:val="000770EE"/>
    <w:rsid w:val="00077326"/>
    <w:rsid w:val="000773DA"/>
    <w:rsid w:val="000801F4"/>
    <w:rsid w:val="00080486"/>
    <w:rsid w:val="00080DDF"/>
    <w:rsid w:val="00081806"/>
    <w:rsid w:val="000819DA"/>
    <w:rsid w:val="00081AA7"/>
    <w:rsid w:val="000825D0"/>
    <w:rsid w:val="000826D6"/>
    <w:rsid w:val="0008281A"/>
    <w:rsid w:val="00083163"/>
    <w:rsid w:val="000832F0"/>
    <w:rsid w:val="0008352D"/>
    <w:rsid w:val="0008357F"/>
    <w:rsid w:val="000837A0"/>
    <w:rsid w:val="00083809"/>
    <w:rsid w:val="00083C42"/>
    <w:rsid w:val="00083D3A"/>
    <w:rsid w:val="00083E30"/>
    <w:rsid w:val="000841F1"/>
    <w:rsid w:val="0008487F"/>
    <w:rsid w:val="000848DF"/>
    <w:rsid w:val="00084E12"/>
    <w:rsid w:val="00084F78"/>
    <w:rsid w:val="00084F7B"/>
    <w:rsid w:val="000850EE"/>
    <w:rsid w:val="00085457"/>
    <w:rsid w:val="00085A3E"/>
    <w:rsid w:val="00086242"/>
    <w:rsid w:val="00086304"/>
    <w:rsid w:val="00086A61"/>
    <w:rsid w:val="00086D75"/>
    <w:rsid w:val="000875A3"/>
    <w:rsid w:val="00087697"/>
    <w:rsid w:val="00087A67"/>
    <w:rsid w:val="00087B15"/>
    <w:rsid w:val="00090782"/>
    <w:rsid w:val="000909D4"/>
    <w:rsid w:val="00090A43"/>
    <w:rsid w:val="00090F15"/>
    <w:rsid w:val="0009135A"/>
    <w:rsid w:val="000917F9"/>
    <w:rsid w:val="00091AF5"/>
    <w:rsid w:val="00092256"/>
    <w:rsid w:val="00092387"/>
    <w:rsid w:val="000925FF"/>
    <w:rsid w:val="00092699"/>
    <w:rsid w:val="00092A10"/>
    <w:rsid w:val="00092E09"/>
    <w:rsid w:val="00092F77"/>
    <w:rsid w:val="00093301"/>
    <w:rsid w:val="0009342C"/>
    <w:rsid w:val="00093A63"/>
    <w:rsid w:val="00093EF8"/>
    <w:rsid w:val="00094858"/>
    <w:rsid w:val="00094C1C"/>
    <w:rsid w:val="00094C68"/>
    <w:rsid w:val="00094E90"/>
    <w:rsid w:val="00094F6F"/>
    <w:rsid w:val="00095BEC"/>
    <w:rsid w:val="0009666F"/>
    <w:rsid w:val="00096F46"/>
    <w:rsid w:val="000970F2"/>
    <w:rsid w:val="00097793"/>
    <w:rsid w:val="00097ED9"/>
    <w:rsid w:val="00097F8E"/>
    <w:rsid w:val="000A02AD"/>
    <w:rsid w:val="000A0C26"/>
    <w:rsid w:val="000A0D86"/>
    <w:rsid w:val="000A1176"/>
    <w:rsid w:val="000A11AB"/>
    <w:rsid w:val="000A16FE"/>
    <w:rsid w:val="000A19B8"/>
    <w:rsid w:val="000A1A19"/>
    <w:rsid w:val="000A1B07"/>
    <w:rsid w:val="000A1BD2"/>
    <w:rsid w:val="000A1BD8"/>
    <w:rsid w:val="000A210A"/>
    <w:rsid w:val="000A228B"/>
    <w:rsid w:val="000A3254"/>
    <w:rsid w:val="000A36F4"/>
    <w:rsid w:val="000A3D9B"/>
    <w:rsid w:val="000A44A6"/>
    <w:rsid w:val="000A47CB"/>
    <w:rsid w:val="000A4884"/>
    <w:rsid w:val="000A490E"/>
    <w:rsid w:val="000A4CC9"/>
    <w:rsid w:val="000A4FAD"/>
    <w:rsid w:val="000A558C"/>
    <w:rsid w:val="000A586D"/>
    <w:rsid w:val="000A5A27"/>
    <w:rsid w:val="000A5B21"/>
    <w:rsid w:val="000A6177"/>
    <w:rsid w:val="000A680F"/>
    <w:rsid w:val="000A68D0"/>
    <w:rsid w:val="000A69A3"/>
    <w:rsid w:val="000A6EB9"/>
    <w:rsid w:val="000A717A"/>
    <w:rsid w:val="000A7366"/>
    <w:rsid w:val="000A73A0"/>
    <w:rsid w:val="000A7744"/>
    <w:rsid w:val="000A777D"/>
    <w:rsid w:val="000A7FD2"/>
    <w:rsid w:val="000B01DA"/>
    <w:rsid w:val="000B020A"/>
    <w:rsid w:val="000B0218"/>
    <w:rsid w:val="000B0346"/>
    <w:rsid w:val="000B0542"/>
    <w:rsid w:val="000B06C4"/>
    <w:rsid w:val="000B083E"/>
    <w:rsid w:val="000B10CC"/>
    <w:rsid w:val="000B1228"/>
    <w:rsid w:val="000B139D"/>
    <w:rsid w:val="000B1528"/>
    <w:rsid w:val="000B1826"/>
    <w:rsid w:val="000B193F"/>
    <w:rsid w:val="000B1BBE"/>
    <w:rsid w:val="000B2045"/>
    <w:rsid w:val="000B2620"/>
    <w:rsid w:val="000B26AB"/>
    <w:rsid w:val="000B286A"/>
    <w:rsid w:val="000B2CAC"/>
    <w:rsid w:val="000B2CC3"/>
    <w:rsid w:val="000B39A6"/>
    <w:rsid w:val="000B439D"/>
    <w:rsid w:val="000B4BFD"/>
    <w:rsid w:val="000B4CE5"/>
    <w:rsid w:val="000B5029"/>
    <w:rsid w:val="000B538A"/>
    <w:rsid w:val="000B5956"/>
    <w:rsid w:val="000B5BA6"/>
    <w:rsid w:val="000B63C1"/>
    <w:rsid w:val="000B674C"/>
    <w:rsid w:val="000B6BCE"/>
    <w:rsid w:val="000B700A"/>
    <w:rsid w:val="000B7410"/>
    <w:rsid w:val="000B7B9E"/>
    <w:rsid w:val="000B7DC4"/>
    <w:rsid w:val="000B7FA7"/>
    <w:rsid w:val="000B7FE5"/>
    <w:rsid w:val="000C0367"/>
    <w:rsid w:val="000C04CF"/>
    <w:rsid w:val="000C1469"/>
    <w:rsid w:val="000C1614"/>
    <w:rsid w:val="000C1B37"/>
    <w:rsid w:val="000C1EC8"/>
    <w:rsid w:val="000C2322"/>
    <w:rsid w:val="000C23F6"/>
    <w:rsid w:val="000C243D"/>
    <w:rsid w:val="000C28AE"/>
    <w:rsid w:val="000C2A7D"/>
    <w:rsid w:val="000C2DCA"/>
    <w:rsid w:val="000C2EA8"/>
    <w:rsid w:val="000C3021"/>
    <w:rsid w:val="000C354B"/>
    <w:rsid w:val="000C3582"/>
    <w:rsid w:val="000C3DAD"/>
    <w:rsid w:val="000C3FB3"/>
    <w:rsid w:val="000C4375"/>
    <w:rsid w:val="000C46A0"/>
    <w:rsid w:val="000C471B"/>
    <w:rsid w:val="000C4726"/>
    <w:rsid w:val="000C4BA8"/>
    <w:rsid w:val="000C4F0C"/>
    <w:rsid w:val="000C5038"/>
    <w:rsid w:val="000C5813"/>
    <w:rsid w:val="000C5875"/>
    <w:rsid w:val="000C69DD"/>
    <w:rsid w:val="000C6F40"/>
    <w:rsid w:val="000C70A7"/>
    <w:rsid w:val="000C7D43"/>
    <w:rsid w:val="000C7D4A"/>
    <w:rsid w:val="000C7F3E"/>
    <w:rsid w:val="000C7F3F"/>
    <w:rsid w:val="000D02E2"/>
    <w:rsid w:val="000D053E"/>
    <w:rsid w:val="000D06E5"/>
    <w:rsid w:val="000D145B"/>
    <w:rsid w:val="000D16D0"/>
    <w:rsid w:val="000D190D"/>
    <w:rsid w:val="000D1D2E"/>
    <w:rsid w:val="000D1D49"/>
    <w:rsid w:val="000D272F"/>
    <w:rsid w:val="000D2BCF"/>
    <w:rsid w:val="000D2D1D"/>
    <w:rsid w:val="000D2E7E"/>
    <w:rsid w:val="000D3011"/>
    <w:rsid w:val="000D30E7"/>
    <w:rsid w:val="000D3C57"/>
    <w:rsid w:val="000D41D9"/>
    <w:rsid w:val="000D4243"/>
    <w:rsid w:val="000D444F"/>
    <w:rsid w:val="000D4C36"/>
    <w:rsid w:val="000D5127"/>
    <w:rsid w:val="000D58E5"/>
    <w:rsid w:val="000D5915"/>
    <w:rsid w:val="000D607C"/>
    <w:rsid w:val="000D60C0"/>
    <w:rsid w:val="000D665F"/>
    <w:rsid w:val="000D6D28"/>
    <w:rsid w:val="000D6FB0"/>
    <w:rsid w:val="000D7011"/>
    <w:rsid w:val="000D7126"/>
    <w:rsid w:val="000D7435"/>
    <w:rsid w:val="000D7BC8"/>
    <w:rsid w:val="000D7C59"/>
    <w:rsid w:val="000E011E"/>
    <w:rsid w:val="000E01CA"/>
    <w:rsid w:val="000E0B73"/>
    <w:rsid w:val="000E1500"/>
    <w:rsid w:val="000E154E"/>
    <w:rsid w:val="000E1766"/>
    <w:rsid w:val="000E18A1"/>
    <w:rsid w:val="000E2ADE"/>
    <w:rsid w:val="000E3539"/>
    <w:rsid w:val="000E4139"/>
    <w:rsid w:val="000E4458"/>
    <w:rsid w:val="000E4834"/>
    <w:rsid w:val="000E4A4F"/>
    <w:rsid w:val="000E4D16"/>
    <w:rsid w:val="000E50D3"/>
    <w:rsid w:val="000E554E"/>
    <w:rsid w:val="000E55CB"/>
    <w:rsid w:val="000E5925"/>
    <w:rsid w:val="000E5E0F"/>
    <w:rsid w:val="000E608D"/>
    <w:rsid w:val="000E670B"/>
    <w:rsid w:val="000E6C1B"/>
    <w:rsid w:val="000E6CEE"/>
    <w:rsid w:val="000E730A"/>
    <w:rsid w:val="000E7584"/>
    <w:rsid w:val="000E78BE"/>
    <w:rsid w:val="000E7A93"/>
    <w:rsid w:val="000E7B16"/>
    <w:rsid w:val="000E7BDE"/>
    <w:rsid w:val="000F0913"/>
    <w:rsid w:val="000F0A44"/>
    <w:rsid w:val="000F0AA5"/>
    <w:rsid w:val="000F1043"/>
    <w:rsid w:val="000F11B8"/>
    <w:rsid w:val="000F14F6"/>
    <w:rsid w:val="000F163F"/>
    <w:rsid w:val="000F1764"/>
    <w:rsid w:val="000F1774"/>
    <w:rsid w:val="000F18CE"/>
    <w:rsid w:val="000F1983"/>
    <w:rsid w:val="000F1A09"/>
    <w:rsid w:val="000F1EAE"/>
    <w:rsid w:val="000F1FB5"/>
    <w:rsid w:val="000F28DF"/>
    <w:rsid w:val="000F29DE"/>
    <w:rsid w:val="000F2C9C"/>
    <w:rsid w:val="000F2E8E"/>
    <w:rsid w:val="000F350A"/>
    <w:rsid w:val="000F3A77"/>
    <w:rsid w:val="000F3AD5"/>
    <w:rsid w:val="000F41BD"/>
    <w:rsid w:val="000F459D"/>
    <w:rsid w:val="000F4ABB"/>
    <w:rsid w:val="000F5099"/>
    <w:rsid w:val="000F509B"/>
    <w:rsid w:val="000F5146"/>
    <w:rsid w:val="000F59E0"/>
    <w:rsid w:val="000F5AE2"/>
    <w:rsid w:val="000F5F21"/>
    <w:rsid w:val="000F5F44"/>
    <w:rsid w:val="000F62D2"/>
    <w:rsid w:val="000F65F9"/>
    <w:rsid w:val="000F665F"/>
    <w:rsid w:val="000F6962"/>
    <w:rsid w:val="000F6A79"/>
    <w:rsid w:val="000F6CE8"/>
    <w:rsid w:val="000F753A"/>
    <w:rsid w:val="000F7B33"/>
    <w:rsid w:val="000F7CCB"/>
    <w:rsid w:val="000F7E73"/>
    <w:rsid w:val="000F7F39"/>
    <w:rsid w:val="001005BE"/>
    <w:rsid w:val="00100B15"/>
    <w:rsid w:val="00100C38"/>
    <w:rsid w:val="001013D2"/>
    <w:rsid w:val="0010150D"/>
    <w:rsid w:val="00101818"/>
    <w:rsid w:val="00101BFE"/>
    <w:rsid w:val="00101CBC"/>
    <w:rsid w:val="00101DA7"/>
    <w:rsid w:val="001025C4"/>
    <w:rsid w:val="00102B86"/>
    <w:rsid w:val="00102CCF"/>
    <w:rsid w:val="00102D2E"/>
    <w:rsid w:val="00102D92"/>
    <w:rsid w:val="0010386C"/>
    <w:rsid w:val="00103A15"/>
    <w:rsid w:val="00103C5E"/>
    <w:rsid w:val="001040B0"/>
    <w:rsid w:val="00104449"/>
    <w:rsid w:val="00104C7A"/>
    <w:rsid w:val="00104CC1"/>
    <w:rsid w:val="001054DF"/>
    <w:rsid w:val="00105624"/>
    <w:rsid w:val="0010581C"/>
    <w:rsid w:val="001058E2"/>
    <w:rsid w:val="00105DB2"/>
    <w:rsid w:val="00105DEB"/>
    <w:rsid w:val="00106722"/>
    <w:rsid w:val="00106A44"/>
    <w:rsid w:val="00107051"/>
    <w:rsid w:val="001070FB"/>
    <w:rsid w:val="001070FE"/>
    <w:rsid w:val="00107278"/>
    <w:rsid w:val="00107447"/>
    <w:rsid w:val="00107B7F"/>
    <w:rsid w:val="00107F3F"/>
    <w:rsid w:val="0011014A"/>
    <w:rsid w:val="0011019D"/>
    <w:rsid w:val="00110668"/>
    <w:rsid w:val="0011088E"/>
    <w:rsid w:val="001108CC"/>
    <w:rsid w:val="00110B1D"/>
    <w:rsid w:val="00110B8A"/>
    <w:rsid w:val="00110C63"/>
    <w:rsid w:val="001110BD"/>
    <w:rsid w:val="0011138E"/>
    <w:rsid w:val="001115BE"/>
    <w:rsid w:val="001115EA"/>
    <w:rsid w:val="00111A05"/>
    <w:rsid w:val="001123AD"/>
    <w:rsid w:val="001129C9"/>
    <w:rsid w:val="00112ACA"/>
    <w:rsid w:val="00112C40"/>
    <w:rsid w:val="00112EDD"/>
    <w:rsid w:val="00113082"/>
    <w:rsid w:val="001130E0"/>
    <w:rsid w:val="00113306"/>
    <w:rsid w:val="0011361A"/>
    <w:rsid w:val="00113D44"/>
    <w:rsid w:val="00113DC1"/>
    <w:rsid w:val="001141A6"/>
    <w:rsid w:val="0011424F"/>
    <w:rsid w:val="001142C4"/>
    <w:rsid w:val="001144A6"/>
    <w:rsid w:val="001144F1"/>
    <w:rsid w:val="00114820"/>
    <w:rsid w:val="00114F8D"/>
    <w:rsid w:val="00115169"/>
    <w:rsid w:val="0011517C"/>
    <w:rsid w:val="0011583C"/>
    <w:rsid w:val="0011585B"/>
    <w:rsid w:val="00115FD8"/>
    <w:rsid w:val="00116A55"/>
    <w:rsid w:val="00116C9A"/>
    <w:rsid w:val="00116F3E"/>
    <w:rsid w:val="001175BE"/>
    <w:rsid w:val="00117EAD"/>
    <w:rsid w:val="00117F55"/>
    <w:rsid w:val="001201C6"/>
    <w:rsid w:val="00120484"/>
    <w:rsid w:val="0012073F"/>
    <w:rsid w:val="00120E2B"/>
    <w:rsid w:val="00121003"/>
    <w:rsid w:val="0012110A"/>
    <w:rsid w:val="0012172F"/>
    <w:rsid w:val="00121ECE"/>
    <w:rsid w:val="00122546"/>
    <w:rsid w:val="00122731"/>
    <w:rsid w:val="001227F6"/>
    <w:rsid w:val="00122DA4"/>
    <w:rsid w:val="00123A9B"/>
    <w:rsid w:val="00123B81"/>
    <w:rsid w:val="00123EF3"/>
    <w:rsid w:val="00124020"/>
    <w:rsid w:val="0012484E"/>
    <w:rsid w:val="00125590"/>
    <w:rsid w:val="00125A92"/>
    <w:rsid w:val="00125C15"/>
    <w:rsid w:val="00125D7A"/>
    <w:rsid w:val="00125FB7"/>
    <w:rsid w:val="00126087"/>
    <w:rsid w:val="001268AD"/>
    <w:rsid w:val="00126A85"/>
    <w:rsid w:val="00126DA0"/>
    <w:rsid w:val="00126FEE"/>
    <w:rsid w:val="0012707C"/>
    <w:rsid w:val="00127093"/>
    <w:rsid w:val="001271E2"/>
    <w:rsid w:val="001277F8"/>
    <w:rsid w:val="00127D6D"/>
    <w:rsid w:val="00127DB3"/>
    <w:rsid w:val="00127F7C"/>
    <w:rsid w:val="00130150"/>
    <w:rsid w:val="001301F3"/>
    <w:rsid w:val="00130372"/>
    <w:rsid w:val="00130395"/>
    <w:rsid w:val="0013053E"/>
    <w:rsid w:val="00130984"/>
    <w:rsid w:val="00131580"/>
    <w:rsid w:val="00131AC9"/>
    <w:rsid w:val="00131FAA"/>
    <w:rsid w:val="00132278"/>
    <w:rsid w:val="0013324D"/>
    <w:rsid w:val="0013329B"/>
    <w:rsid w:val="00133515"/>
    <w:rsid w:val="001336C1"/>
    <w:rsid w:val="00133AD8"/>
    <w:rsid w:val="00133C5F"/>
    <w:rsid w:val="00133C9F"/>
    <w:rsid w:val="00133E80"/>
    <w:rsid w:val="0013425C"/>
    <w:rsid w:val="001343EB"/>
    <w:rsid w:val="0013481D"/>
    <w:rsid w:val="001348A1"/>
    <w:rsid w:val="00134C03"/>
    <w:rsid w:val="00135189"/>
    <w:rsid w:val="00135350"/>
    <w:rsid w:val="00135E53"/>
    <w:rsid w:val="0013611F"/>
    <w:rsid w:val="001368C9"/>
    <w:rsid w:val="00137011"/>
    <w:rsid w:val="00137037"/>
    <w:rsid w:val="00137090"/>
    <w:rsid w:val="0013739A"/>
    <w:rsid w:val="0013742A"/>
    <w:rsid w:val="00137524"/>
    <w:rsid w:val="001375EC"/>
    <w:rsid w:val="00137BB2"/>
    <w:rsid w:val="00137CFE"/>
    <w:rsid w:val="00137D6F"/>
    <w:rsid w:val="00137EF0"/>
    <w:rsid w:val="00140483"/>
    <w:rsid w:val="001405DF"/>
    <w:rsid w:val="00141062"/>
    <w:rsid w:val="0014108A"/>
    <w:rsid w:val="00141414"/>
    <w:rsid w:val="00141437"/>
    <w:rsid w:val="00142173"/>
    <w:rsid w:val="0014220B"/>
    <w:rsid w:val="00142384"/>
    <w:rsid w:val="001435BB"/>
    <w:rsid w:val="00143801"/>
    <w:rsid w:val="00143DF5"/>
    <w:rsid w:val="00143E56"/>
    <w:rsid w:val="001440BD"/>
    <w:rsid w:val="0014429B"/>
    <w:rsid w:val="00144654"/>
    <w:rsid w:val="001450E5"/>
    <w:rsid w:val="00145770"/>
    <w:rsid w:val="00145B4A"/>
    <w:rsid w:val="00145B5D"/>
    <w:rsid w:val="00145EA7"/>
    <w:rsid w:val="00146002"/>
    <w:rsid w:val="0014693C"/>
    <w:rsid w:val="001469A9"/>
    <w:rsid w:val="00146CC8"/>
    <w:rsid w:val="001475B0"/>
    <w:rsid w:val="00147F45"/>
    <w:rsid w:val="0015022B"/>
    <w:rsid w:val="001507F1"/>
    <w:rsid w:val="00150AD2"/>
    <w:rsid w:val="00150DE9"/>
    <w:rsid w:val="00151206"/>
    <w:rsid w:val="001512DE"/>
    <w:rsid w:val="0015144E"/>
    <w:rsid w:val="00151770"/>
    <w:rsid w:val="001517A6"/>
    <w:rsid w:val="00151F20"/>
    <w:rsid w:val="0015214B"/>
    <w:rsid w:val="0015249B"/>
    <w:rsid w:val="001526BD"/>
    <w:rsid w:val="00152809"/>
    <w:rsid w:val="00152862"/>
    <w:rsid w:val="001529B5"/>
    <w:rsid w:val="00152AD6"/>
    <w:rsid w:val="00152B50"/>
    <w:rsid w:val="00152D3C"/>
    <w:rsid w:val="00152E3C"/>
    <w:rsid w:val="00153425"/>
    <w:rsid w:val="001534F2"/>
    <w:rsid w:val="00153FD7"/>
    <w:rsid w:val="001540DE"/>
    <w:rsid w:val="0015463C"/>
    <w:rsid w:val="0015472A"/>
    <w:rsid w:val="00154ACA"/>
    <w:rsid w:val="00154BDA"/>
    <w:rsid w:val="00154CB4"/>
    <w:rsid w:val="00155A02"/>
    <w:rsid w:val="0015627E"/>
    <w:rsid w:val="00156A02"/>
    <w:rsid w:val="00156E4A"/>
    <w:rsid w:val="0015747C"/>
    <w:rsid w:val="00157746"/>
    <w:rsid w:val="00157C15"/>
    <w:rsid w:val="0016065E"/>
    <w:rsid w:val="00160CD9"/>
    <w:rsid w:val="00160FD7"/>
    <w:rsid w:val="00161141"/>
    <w:rsid w:val="00161614"/>
    <w:rsid w:val="001619D2"/>
    <w:rsid w:val="00162070"/>
    <w:rsid w:val="00162576"/>
    <w:rsid w:val="0016270E"/>
    <w:rsid w:val="00162FF5"/>
    <w:rsid w:val="001631FD"/>
    <w:rsid w:val="001637F2"/>
    <w:rsid w:val="00163E86"/>
    <w:rsid w:val="00164D00"/>
    <w:rsid w:val="001651B5"/>
    <w:rsid w:val="00165325"/>
    <w:rsid w:val="001654FB"/>
    <w:rsid w:val="001659A8"/>
    <w:rsid w:val="00165BE5"/>
    <w:rsid w:val="00165BF3"/>
    <w:rsid w:val="0016612E"/>
    <w:rsid w:val="00166600"/>
    <w:rsid w:val="001668BA"/>
    <w:rsid w:val="00166916"/>
    <w:rsid w:val="00166B6B"/>
    <w:rsid w:val="00166B81"/>
    <w:rsid w:val="00166C78"/>
    <w:rsid w:val="00166F42"/>
    <w:rsid w:val="0016753E"/>
    <w:rsid w:val="001675A2"/>
    <w:rsid w:val="00167843"/>
    <w:rsid w:val="0016787C"/>
    <w:rsid w:val="001706CF"/>
    <w:rsid w:val="00170AF2"/>
    <w:rsid w:val="00171062"/>
    <w:rsid w:val="001710A4"/>
    <w:rsid w:val="0017123C"/>
    <w:rsid w:val="00171712"/>
    <w:rsid w:val="00171862"/>
    <w:rsid w:val="0017237D"/>
    <w:rsid w:val="00172411"/>
    <w:rsid w:val="0017250E"/>
    <w:rsid w:val="00172A89"/>
    <w:rsid w:val="00173806"/>
    <w:rsid w:val="00173D80"/>
    <w:rsid w:val="0017413C"/>
    <w:rsid w:val="001741E0"/>
    <w:rsid w:val="001745B2"/>
    <w:rsid w:val="00174678"/>
    <w:rsid w:val="00174F01"/>
    <w:rsid w:val="00175334"/>
    <w:rsid w:val="001753DB"/>
    <w:rsid w:val="00175566"/>
    <w:rsid w:val="001758C4"/>
    <w:rsid w:val="001758D3"/>
    <w:rsid w:val="0017593A"/>
    <w:rsid w:val="001759AF"/>
    <w:rsid w:val="00175A19"/>
    <w:rsid w:val="00175BEA"/>
    <w:rsid w:val="00175E72"/>
    <w:rsid w:val="00175EBA"/>
    <w:rsid w:val="00175F2B"/>
    <w:rsid w:val="00176DFD"/>
    <w:rsid w:val="00176F33"/>
    <w:rsid w:val="001772BC"/>
    <w:rsid w:val="0017731E"/>
    <w:rsid w:val="001779A4"/>
    <w:rsid w:val="00180074"/>
    <w:rsid w:val="00180AB5"/>
    <w:rsid w:val="00180AE0"/>
    <w:rsid w:val="00180BA8"/>
    <w:rsid w:val="00180D20"/>
    <w:rsid w:val="00180F1B"/>
    <w:rsid w:val="0018116B"/>
    <w:rsid w:val="001812FF"/>
    <w:rsid w:val="00181470"/>
    <w:rsid w:val="0018159C"/>
    <w:rsid w:val="001815F9"/>
    <w:rsid w:val="00181A21"/>
    <w:rsid w:val="001822EE"/>
    <w:rsid w:val="001826F8"/>
    <w:rsid w:val="00182A9A"/>
    <w:rsid w:val="00182CD0"/>
    <w:rsid w:val="0018366F"/>
    <w:rsid w:val="00183760"/>
    <w:rsid w:val="001837FB"/>
    <w:rsid w:val="00183861"/>
    <w:rsid w:val="00183AE1"/>
    <w:rsid w:val="00183B8E"/>
    <w:rsid w:val="00184AD3"/>
    <w:rsid w:val="00184B2E"/>
    <w:rsid w:val="0018538F"/>
    <w:rsid w:val="00185B84"/>
    <w:rsid w:val="00185D11"/>
    <w:rsid w:val="00185D91"/>
    <w:rsid w:val="00185F6D"/>
    <w:rsid w:val="001860F7"/>
    <w:rsid w:val="001866AF"/>
    <w:rsid w:val="00186760"/>
    <w:rsid w:val="001875DB"/>
    <w:rsid w:val="00187E2A"/>
    <w:rsid w:val="00187E3A"/>
    <w:rsid w:val="0019075E"/>
    <w:rsid w:val="00190F97"/>
    <w:rsid w:val="001914F7"/>
    <w:rsid w:val="00191A53"/>
    <w:rsid w:val="00192344"/>
    <w:rsid w:val="00192CA6"/>
    <w:rsid w:val="00193519"/>
    <w:rsid w:val="001935B9"/>
    <w:rsid w:val="0019389C"/>
    <w:rsid w:val="00193A80"/>
    <w:rsid w:val="00193ABA"/>
    <w:rsid w:val="00193F2C"/>
    <w:rsid w:val="001942F8"/>
    <w:rsid w:val="00194673"/>
    <w:rsid w:val="001947C3"/>
    <w:rsid w:val="00194936"/>
    <w:rsid w:val="00194B5C"/>
    <w:rsid w:val="00194C72"/>
    <w:rsid w:val="00194FB1"/>
    <w:rsid w:val="00194FE7"/>
    <w:rsid w:val="0019501B"/>
    <w:rsid w:val="001952C1"/>
    <w:rsid w:val="001955F0"/>
    <w:rsid w:val="00195782"/>
    <w:rsid w:val="00195C82"/>
    <w:rsid w:val="00195EAC"/>
    <w:rsid w:val="001962A0"/>
    <w:rsid w:val="001966A5"/>
    <w:rsid w:val="00196EBC"/>
    <w:rsid w:val="001973ED"/>
    <w:rsid w:val="00197422"/>
    <w:rsid w:val="001976D9"/>
    <w:rsid w:val="00197767"/>
    <w:rsid w:val="00197C3F"/>
    <w:rsid w:val="001A0172"/>
    <w:rsid w:val="001A01DA"/>
    <w:rsid w:val="001A0873"/>
    <w:rsid w:val="001A09E0"/>
    <w:rsid w:val="001A0D0F"/>
    <w:rsid w:val="001A0FA0"/>
    <w:rsid w:val="001A0FC6"/>
    <w:rsid w:val="001A175F"/>
    <w:rsid w:val="001A17DD"/>
    <w:rsid w:val="001A19DA"/>
    <w:rsid w:val="001A1A9F"/>
    <w:rsid w:val="001A1CD4"/>
    <w:rsid w:val="001A21C4"/>
    <w:rsid w:val="001A249A"/>
    <w:rsid w:val="001A28C7"/>
    <w:rsid w:val="001A35F5"/>
    <w:rsid w:val="001A3C97"/>
    <w:rsid w:val="001A3FBB"/>
    <w:rsid w:val="001A40C2"/>
    <w:rsid w:val="001A43D6"/>
    <w:rsid w:val="001A4794"/>
    <w:rsid w:val="001A4D57"/>
    <w:rsid w:val="001A4E36"/>
    <w:rsid w:val="001A4EA1"/>
    <w:rsid w:val="001A501B"/>
    <w:rsid w:val="001A524B"/>
    <w:rsid w:val="001A5609"/>
    <w:rsid w:val="001A5DC9"/>
    <w:rsid w:val="001A6274"/>
    <w:rsid w:val="001A6315"/>
    <w:rsid w:val="001A6382"/>
    <w:rsid w:val="001A64B8"/>
    <w:rsid w:val="001A6510"/>
    <w:rsid w:val="001A6A51"/>
    <w:rsid w:val="001A7239"/>
    <w:rsid w:val="001A73DB"/>
    <w:rsid w:val="001A7B41"/>
    <w:rsid w:val="001B0035"/>
    <w:rsid w:val="001B030F"/>
    <w:rsid w:val="001B0B6B"/>
    <w:rsid w:val="001B0D1E"/>
    <w:rsid w:val="001B10D8"/>
    <w:rsid w:val="001B17E9"/>
    <w:rsid w:val="001B1972"/>
    <w:rsid w:val="001B19D6"/>
    <w:rsid w:val="001B20FC"/>
    <w:rsid w:val="001B2305"/>
    <w:rsid w:val="001B2418"/>
    <w:rsid w:val="001B248C"/>
    <w:rsid w:val="001B25A8"/>
    <w:rsid w:val="001B2E5E"/>
    <w:rsid w:val="001B3450"/>
    <w:rsid w:val="001B349A"/>
    <w:rsid w:val="001B3753"/>
    <w:rsid w:val="001B3A84"/>
    <w:rsid w:val="001B402F"/>
    <w:rsid w:val="001B44FD"/>
    <w:rsid w:val="001B4A41"/>
    <w:rsid w:val="001B4C4D"/>
    <w:rsid w:val="001B4CB5"/>
    <w:rsid w:val="001B4E18"/>
    <w:rsid w:val="001B4E84"/>
    <w:rsid w:val="001B52CE"/>
    <w:rsid w:val="001B5F85"/>
    <w:rsid w:val="001B60DC"/>
    <w:rsid w:val="001B6413"/>
    <w:rsid w:val="001B74C8"/>
    <w:rsid w:val="001B78CE"/>
    <w:rsid w:val="001B7954"/>
    <w:rsid w:val="001B7B02"/>
    <w:rsid w:val="001B7E48"/>
    <w:rsid w:val="001C01B1"/>
    <w:rsid w:val="001C09D6"/>
    <w:rsid w:val="001C0A6E"/>
    <w:rsid w:val="001C0CE5"/>
    <w:rsid w:val="001C0F3B"/>
    <w:rsid w:val="001C1362"/>
    <w:rsid w:val="001C150C"/>
    <w:rsid w:val="001C1983"/>
    <w:rsid w:val="001C1A52"/>
    <w:rsid w:val="001C1F83"/>
    <w:rsid w:val="001C230A"/>
    <w:rsid w:val="001C2378"/>
    <w:rsid w:val="001C266E"/>
    <w:rsid w:val="001C2729"/>
    <w:rsid w:val="001C2AC4"/>
    <w:rsid w:val="001C2E8A"/>
    <w:rsid w:val="001C3A76"/>
    <w:rsid w:val="001C3AB2"/>
    <w:rsid w:val="001C3C33"/>
    <w:rsid w:val="001C423A"/>
    <w:rsid w:val="001C45F6"/>
    <w:rsid w:val="001C4FD5"/>
    <w:rsid w:val="001C5308"/>
    <w:rsid w:val="001C5A00"/>
    <w:rsid w:val="001C5F2F"/>
    <w:rsid w:val="001C62CB"/>
    <w:rsid w:val="001C6A4F"/>
    <w:rsid w:val="001C6EC6"/>
    <w:rsid w:val="001C787C"/>
    <w:rsid w:val="001C78AA"/>
    <w:rsid w:val="001C7A84"/>
    <w:rsid w:val="001C7AF7"/>
    <w:rsid w:val="001D004A"/>
    <w:rsid w:val="001D014A"/>
    <w:rsid w:val="001D0233"/>
    <w:rsid w:val="001D0482"/>
    <w:rsid w:val="001D12A6"/>
    <w:rsid w:val="001D1785"/>
    <w:rsid w:val="001D1817"/>
    <w:rsid w:val="001D230E"/>
    <w:rsid w:val="001D28B9"/>
    <w:rsid w:val="001D2C00"/>
    <w:rsid w:val="001D2C95"/>
    <w:rsid w:val="001D2DE8"/>
    <w:rsid w:val="001D3319"/>
    <w:rsid w:val="001D3334"/>
    <w:rsid w:val="001D33D8"/>
    <w:rsid w:val="001D34E0"/>
    <w:rsid w:val="001D397E"/>
    <w:rsid w:val="001D39AC"/>
    <w:rsid w:val="001D3F56"/>
    <w:rsid w:val="001D3F71"/>
    <w:rsid w:val="001D43B3"/>
    <w:rsid w:val="001D4ACC"/>
    <w:rsid w:val="001D4B93"/>
    <w:rsid w:val="001D590F"/>
    <w:rsid w:val="001D59AD"/>
    <w:rsid w:val="001D5CF3"/>
    <w:rsid w:val="001D630E"/>
    <w:rsid w:val="001D690E"/>
    <w:rsid w:val="001D691C"/>
    <w:rsid w:val="001D69FE"/>
    <w:rsid w:val="001D6B95"/>
    <w:rsid w:val="001D6BD7"/>
    <w:rsid w:val="001D7AE8"/>
    <w:rsid w:val="001D7E8F"/>
    <w:rsid w:val="001E0296"/>
    <w:rsid w:val="001E0766"/>
    <w:rsid w:val="001E09D8"/>
    <w:rsid w:val="001E0E8A"/>
    <w:rsid w:val="001E0FE6"/>
    <w:rsid w:val="001E12FF"/>
    <w:rsid w:val="001E15E6"/>
    <w:rsid w:val="001E18AD"/>
    <w:rsid w:val="001E1B75"/>
    <w:rsid w:val="001E1BFB"/>
    <w:rsid w:val="001E1E5F"/>
    <w:rsid w:val="001E20CE"/>
    <w:rsid w:val="001E2291"/>
    <w:rsid w:val="001E2A45"/>
    <w:rsid w:val="001E2CC2"/>
    <w:rsid w:val="001E2FCE"/>
    <w:rsid w:val="001E31C3"/>
    <w:rsid w:val="001E3356"/>
    <w:rsid w:val="001E3585"/>
    <w:rsid w:val="001E35F0"/>
    <w:rsid w:val="001E3BD0"/>
    <w:rsid w:val="001E413E"/>
    <w:rsid w:val="001E4472"/>
    <w:rsid w:val="001E4536"/>
    <w:rsid w:val="001E4F6B"/>
    <w:rsid w:val="001E5122"/>
    <w:rsid w:val="001E524C"/>
    <w:rsid w:val="001E5554"/>
    <w:rsid w:val="001E565C"/>
    <w:rsid w:val="001E5901"/>
    <w:rsid w:val="001E5941"/>
    <w:rsid w:val="001E5ADD"/>
    <w:rsid w:val="001E5B78"/>
    <w:rsid w:val="001E63B4"/>
    <w:rsid w:val="001E653E"/>
    <w:rsid w:val="001E6709"/>
    <w:rsid w:val="001E6ACF"/>
    <w:rsid w:val="001E6CBA"/>
    <w:rsid w:val="001E6FB3"/>
    <w:rsid w:val="001E76A1"/>
    <w:rsid w:val="001E7959"/>
    <w:rsid w:val="001E7A2B"/>
    <w:rsid w:val="001E7C8E"/>
    <w:rsid w:val="001F018D"/>
    <w:rsid w:val="001F04B9"/>
    <w:rsid w:val="001F0756"/>
    <w:rsid w:val="001F0D3F"/>
    <w:rsid w:val="001F1C61"/>
    <w:rsid w:val="001F1EFC"/>
    <w:rsid w:val="001F1F35"/>
    <w:rsid w:val="001F29F7"/>
    <w:rsid w:val="001F2A1E"/>
    <w:rsid w:val="001F2ECE"/>
    <w:rsid w:val="001F31B9"/>
    <w:rsid w:val="001F33AF"/>
    <w:rsid w:val="001F3483"/>
    <w:rsid w:val="001F36F6"/>
    <w:rsid w:val="001F3910"/>
    <w:rsid w:val="001F392C"/>
    <w:rsid w:val="001F399E"/>
    <w:rsid w:val="001F3D28"/>
    <w:rsid w:val="001F3FEE"/>
    <w:rsid w:val="001F4FB3"/>
    <w:rsid w:val="001F546D"/>
    <w:rsid w:val="001F5829"/>
    <w:rsid w:val="001F59C1"/>
    <w:rsid w:val="001F59D2"/>
    <w:rsid w:val="001F5B74"/>
    <w:rsid w:val="001F6007"/>
    <w:rsid w:val="001F60C8"/>
    <w:rsid w:val="001F6A21"/>
    <w:rsid w:val="001F6B88"/>
    <w:rsid w:val="001F6F12"/>
    <w:rsid w:val="001F7736"/>
    <w:rsid w:val="001F7B70"/>
    <w:rsid w:val="001F7CD9"/>
    <w:rsid w:val="001F7EAA"/>
    <w:rsid w:val="0020018C"/>
    <w:rsid w:val="00200452"/>
    <w:rsid w:val="00200665"/>
    <w:rsid w:val="00200F2C"/>
    <w:rsid w:val="0020132C"/>
    <w:rsid w:val="00201545"/>
    <w:rsid w:val="0020160D"/>
    <w:rsid w:val="0020164E"/>
    <w:rsid w:val="0020186A"/>
    <w:rsid w:val="00202313"/>
    <w:rsid w:val="00202458"/>
    <w:rsid w:val="002025B3"/>
    <w:rsid w:val="002025D5"/>
    <w:rsid w:val="002028EA"/>
    <w:rsid w:val="00202A71"/>
    <w:rsid w:val="00202A73"/>
    <w:rsid w:val="00202D6D"/>
    <w:rsid w:val="0020303E"/>
    <w:rsid w:val="0020314C"/>
    <w:rsid w:val="0020340A"/>
    <w:rsid w:val="00204394"/>
    <w:rsid w:val="002051BD"/>
    <w:rsid w:val="00205301"/>
    <w:rsid w:val="00205B8A"/>
    <w:rsid w:val="00205BAE"/>
    <w:rsid w:val="00205BF9"/>
    <w:rsid w:val="00205DF5"/>
    <w:rsid w:val="00206798"/>
    <w:rsid w:val="00206973"/>
    <w:rsid w:val="00206AD2"/>
    <w:rsid w:val="00206F2C"/>
    <w:rsid w:val="00207042"/>
    <w:rsid w:val="0020790B"/>
    <w:rsid w:val="00207CC5"/>
    <w:rsid w:val="00210003"/>
    <w:rsid w:val="00210239"/>
    <w:rsid w:val="00210774"/>
    <w:rsid w:val="002108FC"/>
    <w:rsid w:val="00210E84"/>
    <w:rsid w:val="00210F90"/>
    <w:rsid w:val="00211016"/>
    <w:rsid w:val="00211103"/>
    <w:rsid w:val="0021163C"/>
    <w:rsid w:val="00211AD8"/>
    <w:rsid w:val="00211BB6"/>
    <w:rsid w:val="00211E02"/>
    <w:rsid w:val="00212202"/>
    <w:rsid w:val="00212295"/>
    <w:rsid w:val="002123A2"/>
    <w:rsid w:val="002123ED"/>
    <w:rsid w:val="0021243B"/>
    <w:rsid w:val="002128D9"/>
    <w:rsid w:val="00212CD0"/>
    <w:rsid w:val="00212FE7"/>
    <w:rsid w:val="00213142"/>
    <w:rsid w:val="002133AE"/>
    <w:rsid w:val="00213596"/>
    <w:rsid w:val="002135D1"/>
    <w:rsid w:val="00213AD4"/>
    <w:rsid w:val="00213DC3"/>
    <w:rsid w:val="00214773"/>
    <w:rsid w:val="00214800"/>
    <w:rsid w:val="00215F8A"/>
    <w:rsid w:val="00215FBA"/>
    <w:rsid w:val="00216431"/>
    <w:rsid w:val="0021663B"/>
    <w:rsid w:val="00216977"/>
    <w:rsid w:val="00216AD7"/>
    <w:rsid w:val="00216B33"/>
    <w:rsid w:val="00216C22"/>
    <w:rsid w:val="00216E72"/>
    <w:rsid w:val="00217151"/>
    <w:rsid w:val="00217676"/>
    <w:rsid w:val="00217F7B"/>
    <w:rsid w:val="002203F3"/>
    <w:rsid w:val="00220411"/>
    <w:rsid w:val="0022049F"/>
    <w:rsid w:val="002208F3"/>
    <w:rsid w:val="00220AB9"/>
    <w:rsid w:val="00220CB7"/>
    <w:rsid w:val="00220E4F"/>
    <w:rsid w:val="00220E83"/>
    <w:rsid w:val="00221561"/>
    <w:rsid w:val="00221C6B"/>
    <w:rsid w:val="00222573"/>
    <w:rsid w:val="00222A39"/>
    <w:rsid w:val="00222EC2"/>
    <w:rsid w:val="002236C1"/>
    <w:rsid w:val="002244AE"/>
    <w:rsid w:val="002248B0"/>
    <w:rsid w:val="002250F6"/>
    <w:rsid w:val="0022518A"/>
    <w:rsid w:val="002253CC"/>
    <w:rsid w:val="002254AB"/>
    <w:rsid w:val="0022580C"/>
    <w:rsid w:val="0022596A"/>
    <w:rsid w:val="00226388"/>
    <w:rsid w:val="002266BE"/>
    <w:rsid w:val="00226A89"/>
    <w:rsid w:val="00226AF5"/>
    <w:rsid w:val="00226E55"/>
    <w:rsid w:val="00226ED1"/>
    <w:rsid w:val="002272AF"/>
    <w:rsid w:val="0022757F"/>
    <w:rsid w:val="00227592"/>
    <w:rsid w:val="002276D4"/>
    <w:rsid w:val="0022770B"/>
    <w:rsid w:val="00227990"/>
    <w:rsid w:val="002279E6"/>
    <w:rsid w:val="00227B8B"/>
    <w:rsid w:val="002304F8"/>
    <w:rsid w:val="00230D01"/>
    <w:rsid w:val="00230E41"/>
    <w:rsid w:val="00231178"/>
    <w:rsid w:val="002317B3"/>
    <w:rsid w:val="00231B59"/>
    <w:rsid w:val="00231BA2"/>
    <w:rsid w:val="00231DDC"/>
    <w:rsid w:val="0023229E"/>
    <w:rsid w:val="002322B9"/>
    <w:rsid w:val="002322F3"/>
    <w:rsid w:val="00232686"/>
    <w:rsid w:val="00232A42"/>
    <w:rsid w:val="00232D87"/>
    <w:rsid w:val="00233078"/>
    <w:rsid w:val="002333F2"/>
    <w:rsid w:val="0023348C"/>
    <w:rsid w:val="002336F8"/>
    <w:rsid w:val="002337AE"/>
    <w:rsid w:val="002339A9"/>
    <w:rsid w:val="00233A16"/>
    <w:rsid w:val="00233F2D"/>
    <w:rsid w:val="00234468"/>
    <w:rsid w:val="0023451D"/>
    <w:rsid w:val="00234591"/>
    <w:rsid w:val="002348F3"/>
    <w:rsid w:val="00234D32"/>
    <w:rsid w:val="00234EF2"/>
    <w:rsid w:val="00235026"/>
    <w:rsid w:val="002351D7"/>
    <w:rsid w:val="002352CF"/>
    <w:rsid w:val="0023567F"/>
    <w:rsid w:val="002358F9"/>
    <w:rsid w:val="002359DC"/>
    <w:rsid w:val="00235C69"/>
    <w:rsid w:val="0023605C"/>
    <w:rsid w:val="00236237"/>
    <w:rsid w:val="002366E4"/>
    <w:rsid w:val="00236E86"/>
    <w:rsid w:val="00237166"/>
    <w:rsid w:val="00237391"/>
    <w:rsid w:val="002376E9"/>
    <w:rsid w:val="002377C8"/>
    <w:rsid w:val="002402B3"/>
    <w:rsid w:val="00240399"/>
    <w:rsid w:val="00240FE1"/>
    <w:rsid w:val="0024114F"/>
    <w:rsid w:val="002416AE"/>
    <w:rsid w:val="00241B0F"/>
    <w:rsid w:val="00241F6B"/>
    <w:rsid w:val="002421F9"/>
    <w:rsid w:val="0024239F"/>
    <w:rsid w:val="002423E2"/>
    <w:rsid w:val="002426C2"/>
    <w:rsid w:val="0024295C"/>
    <w:rsid w:val="00242B3E"/>
    <w:rsid w:val="0024373F"/>
    <w:rsid w:val="0024374D"/>
    <w:rsid w:val="00243AC8"/>
    <w:rsid w:val="00244173"/>
    <w:rsid w:val="00244491"/>
    <w:rsid w:val="002445E4"/>
    <w:rsid w:val="002448B8"/>
    <w:rsid w:val="00244A4D"/>
    <w:rsid w:val="00244A77"/>
    <w:rsid w:val="00244B1B"/>
    <w:rsid w:val="00244BCB"/>
    <w:rsid w:val="0024549E"/>
    <w:rsid w:val="00245515"/>
    <w:rsid w:val="00245661"/>
    <w:rsid w:val="00245944"/>
    <w:rsid w:val="00245C43"/>
    <w:rsid w:val="00245CE9"/>
    <w:rsid w:val="00246161"/>
    <w:rsid w:val="0024694D"/>
    <w:rsid w:val="00246AE3"/>
    <w:rsid w:val="00246C1A"/>
    <w:rsid w:val="00246C23"/>
    <w:rsid w:val="002472E6"/>
    <w:rsid w:val="002473A9"/>
    <w:rsid w:val="002476D1"/>
    <w:rsid w:val="00247769"/>
    <w:rsid w:val="00247A2B"/>
    <w:rsid w:val="00247CDF"/>
    <w:rsid w:val="0025054A"/>
    <w:rsid w:val="002508FB"/>
    <w:rsid w:val="00250AD4"/>
    <w:rsid w:val="00251038"/>
    <w:rsid w:val="002510EB"/>
    <w:rsid w:val="00251241"/>
    <w:rsid w:val="0025154D"/>
    <w:rsid w:val="00251798"/>
    <w:rsid w:val="002521B7"/>
    <w:rsid w:val="00252990"/>
    <w:rsid w:val="00252A6C"/>
    <w:rsid w:val="00252C3E"/>
    <w:rsid w:val="00252EA3"/>
    <w:rsid w:val="002538C0"/>
    <w:rsid w:val="00253954"/>
    <w:rsid w:val="00253AE8"/>
    <w:rsid w:val="00253BF4"/>
    <w:rsid w:val="002552C8"/>
    <w:rsid w:val="0025550E"/>
    <w:rsid w:val="00255727"/>
    <w:rsid w:val="0025589C"/>
    <w:rsid w:val="002558C4"/>
    <w:rsid w:val="00255919"/>
    <w:rsid w:val="002559EB"/>
    <w:rsid w:val="00255B15"/>
    <w:rsid w:val="00256E71"/>
    <w:rsid w:val="00257376"/>
    <w:rsid w:val="002577FE"/>
    <w:rsid w:val="002578DD"/>
    <w:rsid w:val="00257D0B"/>
    <w:rsid w:val="00257DBD"/>
    <w:rsid w:val="002613B3"/>
    <w:rsid w:val="00261AAC"/>
    <w:rsid w:val="00261AC3"/>
    <w:rsid w:val="00261B33"/>
    <w:rsid w:val="00261E5F"/>
    <w:rsid w:val="00261F65"/>
    <w:rsid w:val="00262814"/>
    <w:rsid w:val="00262947"/>
    <w:rsid w:val="00262EC4"/>
    <w:rsid w:val="00262F5F"/>
    <w:rsid w:val="00263098"/>
    <w:rsid w:val="00263721"/>
    <w:rsid w:val="00263AB3"/>
    <w:rsid w:val="00263B81"/>
    <w:rsid w:val="00263F97"/>
    <w:rsid w:val="002641FC"/>
    <w:rsid w:val="00264C31"/>
    <w:rsid w:val="0026544D"/>
    <w:rsid w:val="0026581C"/>
    <w:rsid w:val="00265EC0"/>
    <w:rsid w:val="00266044"/>
    <w:rsid w:val="0026608A"/>
    <w:rsid w:val="0026659C"/>
    <w:rsid w:val="00266E62"/>
    <w:rsid w:val="002671BE"/>
    <w:rsid w:val="0026727A"/>
    <w:rsid w:val="0026770D"/>
    <w:rsid w:val="00267807"/>
    <w:rsid w:val="00267B2C"/>
    <w:rsid w:val="002700E4"/>
    <w:rsid w:val="00270189"/>
    <w:rsid w:val="002705DA"/>
    <w:rsid w:val="00270680"/>
    <w:rsid w:val="00270691"/>
    <w:rsid w:val="00270D6B"/>
    <w:rsid w:val="0027100C"/>
    <w:rsid w:val="00271042"/>
    <w:rsid w:val="0027131B"/>
    <w:rsid w:val="00271442"/>
    <w:rsid w:val="002715BE"/>
    <w:rsid w:val="002715CB"/>
    <w:rsid w:val="0027194F"/>
    <w:rsid w:val="00271C6D"/>
    <w:rsid w:val="00271C96"/>
    <w:rsid w:val="00271DA1"/>
    <w:rsid w:val="00271DBC"/>
    <w:rsid w:val="00272076"/>
    <w:rsid w:val="00272586"/>
    <w:rsid w:val="0027267A"/>
    <w:rsid w:val="0027268B"/>
    <w:rsid w:val="002728BA"/>
    <w:rsid w:val="00272B82"/>
    <w:rsid w:val="002735EC"/>
    <w:rsid w:val="002738ED"/>
    <w:rsid w:val="00273A21"/>
    <w:rsid w:val="00273C04"/>
    <w:rsid w:val="00273CFE"/>
    <w:rsid w:val="00274151"/>
    <w:rsid w:val="002748DF"/>
    <w:rsid w:val="00274BA4"/>
    <w:rsid w:val="00274F5E"/>
    <w:rsid w:val="0027531C"/>
    <w:rsid w:val="00275709"/>
    <w:rsid w:val="00275C94"/>
    <w:rsid w:val="00275F83"/>
    <w:rsid w:val="00275FC6"/>
    <w:rsid w:val="00276291"/>
    <w:rsid w:val="002769D6"/>
    <w:rsid w:val="00276A24"/>
    <w:rsid w:val="002772FE"/>
    <w:rsid w:val="00277736"/>
    <w:rsid w:val="002778F2"/>
    <w:rsid w:val="00277AC7"/>
    <w:rsid w:val="00277BA6"/>
    <w:rsid w:val="00277E35"/>
    <w:rsid w:val="00280078"/>
    <w:rsid w:val="00280529"/>
    <w:rsid w:val="002809D4"/>
    <w:rsid w:val="002812B2"/>
    <w:rsid w:val="00281587"/>
    <w:rsid w:val="002816DE"/>
    <w:rsid w:val="00281C72"/>
    <w:rsid w:val="00282646"/>
    <w:rsid w:val="00282751"/>
    <w:rsid w:val="002830FD"/>
    <w:rsid w:val="002832DF"/>
    <w:rsid w:val="0028335C"/>
    <w:rsid w:val="0028338E"/>
    <w:rsid w:val="0028381D"/>
    <w:rsid w:val="002838FF"/>
    <w:rsid w:val="0028398A"/>
    <w:rsid w:val="00283D3D"/>
    <w:rsid w:val="00283F61"/>
    <w:rsid w:val="002845F3"/>
    <w:rsid w:val="002848B7"/>
    <w:rsid w:val="00284A9D"/>
    <w:rsid w:val="002852FF"/>
    <w:rsid w:val="00285589"/>
    <w:rsid w:val="00285F89"/>
    <w:rsid w:val="0028626E"/>
    <w:rsid w:val="0028687C"/>
    <w:rsid w:val="00286F12"/>
    <w:rsid w:val="00286F3B"/>
    <w:rsid w:val="00287247"/>
    <w:rsid w:val="002873E6"/>
    <w:rsid w:val="00287A2D"/>
    <w:rsid w:val="00287D1A"/>
    <w:rsid w:val="00290522"/>
    <w:rsid w:val="00290559"/>
    <w:rsid w:val="0029086E"/>
    <w:rsid w:val="00291125"/>
    <w:rsid w:val="00291297"/>
    <w:rsid w:val="00291550"/>
    <w:rsid w:val="0029166E"/>
    <w:rsid w:val="00291672"/>
    <w:rsid w:val="00291889"/>
    <w:rsid w:val="00291A36"/>
    <w:rsid w:val="00291C80"/>
    <w:rsid w:val="00291FDB"/>
    <w:rsid w:val="002926FB"/>
    <w:rsid w:val="00292C45"/>
    <w:rsid w:val="00293438"/>
    <w:rsid w:val="0029348F"/>
    <w:rsid w:val="00293540"/>
    <w:rsid w:val="0029386E"/>
    <w:rsid w:val="00293996"/>
    <w:rsid w:val="00293ABB"/>
    <w:rsid w:val="00293F80"/>
    <w:rsid w:val="002940E0"/>
    <w:rsid w:val="002940ED"/>
    <w:rsid w:val="002945D7"/>
    <w:rsid w:val="0029464D"/>
    <w:rsid w:val="00294A63"/>
    <w:rsid w:val="00294A77"/>
    <w:rsid w:val="00295962"/>
    <w:rsid w:val="002959F2"/>
    <w:rsid w:val="00295C3A"/>
    <w:rsid w:val="00295ED9"/>
    <w:rsid w:val="00296086"/>
    <w:rsid w:val="0029707E"/>
    <w:rsid w:val="0029728F"/>
    <w:rsid w:val="00297521"/>
    <w:rsid w:val="00297553"/>
    <w:rsid w:val="00297AAA"/>
    <w:rsid w:val="002A03B0"/>
    <w:rsid w:val="002A0625"/>
    <w:rsid w:val="002A0913"/>
    <w:rsid w:val="002A0AAF"/>
    <w:rsid w:val="002A0AF7"/>
    <w:rsid w:val="002A0D2E"/>
    <w:rsid w:val="002A0D53"/>
    <w:rsid w:val="002A1B30"/>
    <w:rsid w:val="002A1CA2"/>
    <w:rsid w:val="002A1CFD"/>
    <w:rsid w:val="002A1DB8"/>
    <w:rsid w:val="002A2674"/>
    <w:rsid w:val="002A27E4"/>
    <w:rsid w:val="002A2920"/>
    <w:rsid w:val="002A2E1C"/>
    <w:rsid w:val="002A36B6"/>
    <w:rsid w:val="002A3D4F"/>
    <w:rsid w:val="002A3EBD"/>
    <w:rsid w:val="002A3F16"/>
    <w:rsid w:val="002A4216"/>
    <w:rsid w:val="002A44E9"/>
    <w:rsid w:val="002A4648"/>
    <w:rsid w:val="002A471F"/>
    <w:rsid w:val="002A497A"/>
    <w:rsid w:val="002A5186"/>
    <w:rsid w:val="002A552B"/>
    <w:rsid w:val="002A5631"/>
    <w:rsid w:val="002A61C3"/>
    <w:rsid w:val="002A70A9"/>
    <w:rsid w:val="002A76BD"/>
    <w:rsid w:val="002A7D29"/>
    <w:rsid w:val="002A7E4E"/>
    <w:rsid w:val="002B0962"/>
    <w:rsid w:val="002B10A0"/>
    <w:rsid w:val="002B1476"/>
    <w:rsid w:val="002B162F"/>
    <w:rsid w:val="002B1683"/>
    <w:rsid w:val="002B19FE"/>
    <w:rsid w:val="002B1EEA"/>
    <w:rsid w:val="002B2188"/>
    <w:rsid w:val="002B236F"/>
    <w:rsid w:val="002B2445"/>
    <w:rsid w:val="002B2CCA"/>
    <w:rsid w:val="002B2EB3"/>
    <w:rsid w:val="002B2FBA"/>
    <w:rsid w:val="002B304D"/>
    <w:rsid w:val="002B340B"/>
    <w:rsid w:val="002B365E"/>
    <w:rsid w:val="002B3672"/>
    <w:rsid w:val="002B3E8B"/>
    <w:rsid w:val="002B3EF9"/>
    <w:rsid w:val="002B4614"/>
    <w:rsid w:val="002B4D32"/>
    <w:rsid w:val="002B51C5"/>
    <w:rsid w:val="002B51FA"/>
    <w:rsid w:val="002B52EC"/>
    <w:rsid w:val="002B53D5"/>
    <w:rsid w:val="002B6191"/>
    <w:rsid w:val="002B620B"/>
    <w:rsid w:val="002B6427"/>
    <w:rsid w:val="002B65A5"/>
    <w:rsid w:val="002B6CD4"/>
    <w:rsid w:val="002B6F3A"/>
    <w:rsid w:val="002B7054"/>
    <w:rsid w:val="002B72FB"/>
    <w:rsid w:val="002B74EE"/>
    <w:rsid w:val="002B75B7"/>
    <w:rsid w:val="002B77A3"/>
    <w:rsid w:val="002B78E2"/>
    <w:rsid w:val="002B7AE4"/>
    <w:rsid w:val="002B7FFC"/>
    <w:rsid w:val="002C011A"/>
    <w:rsid w:val="002C0401"/>
    <w:rsid w:val="002C0917"/>
    <w:rsid w:val="002C09D9"/>
    <w:rsid w:val="002C09DA"/>
    <w:rsid w:val="002C0DC2"/>
    <w:rsid w:val="002C0F35"/>
    <w:rsid w:val="002C109F"/>
    <w:rsid w:val="002C1F9B"/>
    <w:rsid w:val="002C240D"/>
    <w:rsid w:val="002C24C1"/>
    <w:rsid w:val="002C2803"/>
    <w:rsid w:val="002C28FB"/>
    <w:rsid w:val="002C2A62"/>
    <w:rsid w:val="002C2AA7"/>
    <w:rsid w:val="002C36EA"/>
    <w:rsid w:val="002C38E4"/>
    <w:rsid w:val="002C3CCC"/>
    <w:rsid w:val="002C42FD"/>
    <w:rsid w:val="002C4345"/>
    <w:rsid w:val="002C47D3"/>
    <w:rsid w:val="002C48CD"/>
    <w:rsid w:val="002C4B9E"/>
    <w:rsid w:val="002C4FFE"/>
    <w:rsid w:val="002C555B"/>
    <w:rsid w:val="002C5651"/>
    <w:rsid w:val="002C57CA"/>
    <w:rsid w:val="002C5B02"/>
    <w:rsid w:val="002C5F5C"/>
    <w:rsid w:val="002C659D"/>
    <w:rsid w:val="002C7204"/>
    <w:rsid w:val="002D0256"/>
    <w:rsid w:val="002D027A"/>
    <w:rsid w:val="002D03A9"/>
    <w:rsid w:val="002D0977"/>
    <w:rsid w:val="002D0A4B"/>
    <w:rsid w:val="002D0B10"/>
    <w:rsid w:val="002D0C1C"/>
    <w:rsid w:val="002D0C26"/>
    <w:rsid w:val="002D0D55"/>
    <w:rsid w:val="002D117B"/>
    <w:rsid w:val="002D1407"/>
    <w:rsid w:val="002D1989"/>
    <w:rsid w:val="002D21F0"/>
    <w:rsid w:val="002D2293"/>
    <w:rsid w:val="002D2F5B"/>
    <w:rsid w:val="002D30C5"/>
    <w:rsid w:val="002D36AA"/>
    <w:rsid w:val="002D42D1"/>
    <w:rsid w:val="002D42FC"/>
    <w:rsid w:val="002D444C"/>
    <w:rsid w:val="002D4597"/>
    <w:rsid w:val="002D46F8"/>
    <w:rsid w:val="002D4BA1"/>
    <w:rsid w:val="002D5394"/>
    <w:rsid w:val="002D5478"/>
    <w:rsid w:val="002D5AF0"/>
    <w:rsid w:val="002D5BB1"/>
    <w:rsid w:val="002D63EF"/>
    <w:rsid w:val="002D7530"/>
    <w:rsid w:val="002D7535"/>
    <w:rsid w:val="002E016C"/>
    <w:rsid w:val="002E01A6"/>
    <w:rsid w:val="002E05A7"/>
    <w:rsid w:val="002E0F95"/>
    <w:rsid w:val="002E19E9"/>
    <w:rsid w:val="002E1DE0"/>
    <w:rsid w:val="002E243D"/>
    <w:rsid w:val="002E2956"/>
    <w:rsid w:val="002E35A4"/>
    <w:rsid w:val="002E3617"/>
    <w:rsid w:val="002E3E1A"/>
    <w:rsid w:val="002E4152"/>
    <w:rsid w:val="002E4266"/>
    <w:rsid w:val="002E465B"/>
    <w:rsid w:val="002E49E6"/>
    <w:rsid w:val="002E4C87"/>
    <w:rsid w:val="002E4F15"/>
    <w:rsid w:val="002E4FF9"/>
    <w:rsid w:val="002E56E1"/>
    <w:rsid w:val="002E57DD"/>
    <w:rsid w:val="002E594E"/>
    <w:rsid w:val="002E5A78"/>
    <w:rsid w:val="002E5A92"/>
    <w:rsid w:val="002E6023"/>
    <w:rsid w:val="002E6943"/>
    <w:rsid w:val="002E6C60"/>
    <w:rsid w:val="002E6D14"/>
    <w:rsid w:val="002E79AE"/>
    <w:rsid w:val="002E7D75"/>
    <w:rsid w:val="002E7ED5"/>
    <w:rsid w:val="002F00C1"/>
    <w:rsid w:val="002F02EE"/>
    <w:rsid w:val="002F083D"/>
    <w:rsid w:val="002F0D99"/>
    <w:rsid w:val="002F1815"/>
    <w:rsid w:val="002F186F"/>
    <w:rsid w:val="002F1A5E"/>
    <w:rsid w:val="002F1E20"/>
    <w:rsid w:val="002F2656"/>
    <w:rsid w:val="002F2785"/>
    <w:rsid w:val="002F2FCB"/>
    <w:rsid w:val="002F3385"/>
    <w:rsid w:val="002F35F3"/>
    <w:rsid w:val="002F3812"/>
    <w:rsid w:val="002F39F5"/>
    <w:rsid w:val="002F3D1E"/>
    <w:rsid w:val="002F3F10"/>
    <w:rsid w:val="002F4986"/>
    <w:rsid w:val="002F49CC"/>
    <w:rsid w:val="002F4A77"/>
    <w:rsid w:val="002F525D"/>
    <w:rsid w:val="002F5B14"/>
    <w:rsid w:val="002F5E8C"/>
    <w:rsid w:val="002F6A00"/>
    <w:rsid w:val="002F6AA0"/>
    <w:rsid w:val="002F7449"/>
    <w:rsid w:val="002F75D4"/>
    <w:rsid w:val="002F7AE6"/>
    <w:rsid w:val="002F7F56"/>
    <w:rsid w:val="003005A1"/>
    <w:rsid w:val="0030069E"/>
    <w:rsid w:val="0030081A"/>
    <w:rsid w:val="00300B71"/>
    <w:rsid w:val="00300F4D"/>
    <w:rsid w:val="0030104A"/>
    <w:rsid w:val="00301151"/>
    <w:rsid w:val="00301908"/>
    <w:rsid w:val="00301E91"/>
    <w:rsid w:val="00302D60"/>
    <w:rsid w:val="00303131"/>
    <w:rsid w:val="003032EE"/>
    <w:rsid w:val="003032F3"/>
    <w:rsid w:val="00303495"/>
    <w:rsid w:val="00303591"/>
    <w:rsid w:val="0030393B"/>
    <w:rsid w:val="00303FDB"/>
    <w:rsid w:val="003040D1"/>
    <w:rsid w:val="00304D72"/>
    <w:rsid w:val="00304D96"/>
    <w:rsid w:val="0030521A"/>
    <w:rsid w:val="00305376"/>
    <w:rsid w:val="00305B22"/>
    <w:rsid w:val="00305C2A"/>
    <w:rsid w:val="0030691E"/>
    <w:rsid w:val="003069F6"/>
    <w:rsid w:val="00306AAA"/>
    <w:rsid w:val="00306DCD"/>
    <w:rsid w:val="003075B7"/>
    <w:rsid w:val="003077E6"/>
    <w:rsid w:val="00307D04"/>
    <w:rsid w:val="00307E86"/>
    <w:rsid w:val="003104DE"/>
    <w:rsid w:val="00310607"/>
    <w:rsid w:val="00310749"/>
    <w:rsid w:val="003108BD"/>
    <w:rsid w:val="00310A45"/>
    <w:rsid w:val="00311388"/>
    <w:rsid w:val="00311625"/>
    <w:rsid w:val="00311B3E"/>
    <w:rsid w:val="00311F49"/>
    <w:rsid w:val="003124FB"/>
    <w:rsid w:val="00312DB1"/>
    <w:rsid w:val="0031311B"/>
    <w:rsid w:val="00313887"/>
    <w:rsid w:val="00314900"/>
    <w:rsid w:val="00314970"/>
    <w:rsid w:val="00314E6A"/>
    <w:rsid w:val="0031501C"/>
    <w:rsid w:val="003152BD"/>
    <w:rsid w:val="00315487"/>
    <w:rsid w:val="00315B3F"/>
    <w:rsid w:val="00315CEB"/>
    <w:rsid w:val="00315DE7"/>
    <w:rsid w:val="00315EE2"/>
    <w:rsid w:val="00315FEF"/>
    <w:rsid w:val="00316163"/>
    <w:rsid w:val="00316678"/>
    <w:rsid w:val="00316A1D"/>
    <w:rsid w:val="00316BA7"/>
    <w:rsid w:val="00317042"/>
    <w:rsid w:val="003174D4"/>
    <w:rsid w:val="00317549"/>
    <w:rsid w:val="00317C9F"/>
    <w:rsid w:val="003203CA"/>
    <w:rsid w:val="00320484"/>
    <w:rsid w:val="00320977"/>
    <w:rsid w:val="00320FF5"/>
    <w:rsid w:val="00321114"/>
    <w:rsid w:val="00321309"/>
    <w:rsid w:val="00321D02"/>
    <w:rsid w:val="00321DAE"/>
    <w:rsid w:val="00321F66"/>
    <w:rsid w:val="0032266F"/>
    <w:rsid w:val="00322866"/>
    <w:rsid w:val="00322AA2"/>
    <w:rsid w:val="00322D36"/>
    <w:rsid w:val="00323086"/>
    <w:rsid w:val="003230A4"/>
    <w:rsid w:val="003237EA"/>
    <w:rsid w:val="00323AB5"/>
    <w:rsid w:val="00323CD7"/>
    <w:rsid w:val="00324372"/>
    <w:rsid w:val="00324776"/>
    <w:rsid w:val="003251ED"/>
    <w:rsid w:val="00325C4E"/>
    <w:rsid w:val="00325F00"/>
    <w:rsid w:val="003266FF"/>
    <w:rsid w:val="00326848"/>
    <w:rsid w:val="0032694C"/>
    <w:rsid w:val="00326A2B"/>
    <w:rsid w:val="00326BEF"/>
    <w:rsid w:val="00326C8A"/>
    <w:rsid w:val="00326D84"/>
    <w:rsid w:val="00327364"/>
    <w:rsid w:val="003275EE"/>
    <w:rsid w:val="00327987"/>
    <w:rsid w:val="003301A5"/>
    <w:rsid w:val="003305DD"/>
    <w:rsid w:val="00330926"/>
    <w:rsid w:val="00330DAB"/>
    <w:rsid w:val="00330E22"/>
    <w:rsid w:val="00330F3A"/>
    <w:rsid w:val="00330F4C"/>
    <w:rsid w:val="0033129C"/>
    <w:rsid w:val="003312B2"/>
    <w:rsid w:val="003313DB"/>
    <w:rsid w:val="00331612"/>
    <w:rsid w:val="00331863"/>
    <w:rsid w:val="00332C2B"/>
    <w:rsid w:val="0033411F"/>
    <w:rsid w:val="00335DD1"/>
    <w:rsid w:val="0033637B"/>
    <w:rsid w:val="00336DEF"/>
    <w:rsid w:val="00336E9E"/>
    <w:rsid w:val="003379F9"/>
    <w:rsid w:val="00337A4C"/>
    <w:rsid w:val="003406FC"/>
    <w:rsid w:val="0034085F"/>
    <w:rsid w:val="003415DE"/>
    <w:rsid w:val="00341610"/>
    <w:rsid w:val="00341833"/>
    <w:rsid w:val="00341BB5"/>
    <w:rsid w:val="00341C60"/>
    <w:rsid w:val="00341E5C"/>
    <w:rsid w:val="003420CD"/>
    <w:rsid w:val="00342B3B"/>
    <w:rsid w:val="00342BEE"/>
    <w:rsid w:val="003432C5"/>
    <w:rsid w:val="00343BD8"/>
    <w:rsid w:val="00343DAA"/>
    <w:rsid w:val="003452FE"/>
    <w:rsid w:val="0034555F"/>
    <w:rsid w:val="00345F26"/>
    <w:rsid w:val="00346093"/>
    <w:rsid w:val="00346322"/>
    <w:rsid w:val="00346D02"/>
    <w:rsid w:val="00346FDC"/>
    <w:rsid w:val="003470C4"/>
    <w:rsid w:val="00347A6C"/>
    <w:rsid w:val="00350959"/>
    <w:rsid w:val="00351194"/>
    <w:rsid w:val="003515C2"/>
    <w:rsid w:val="00351648"/>
    <w:rsid w:val="003519DA"/>
    <w:rsid w:val="00351C7E"/>
    <w:rsid w:val="00351EAA"/>
    <w:rsid w:val="00352406"/>
    <w:rsid w:val="00352721"/>
    <w:rsid w:val="00352778"/>
    <w:rsid w:val="00353032"/>
    <w:rsid w:val="003534EB"/>
    <w:rsid w:val="00353804"/>
    <w:rsid w:val="003538EC"/>
    <w:rsid w:val="00353E52"/>
    <w:rsid w:val="00353FB1"/>
    <w:rsid w:val="00354467"/>
    <w:rsid w:val="00354615"/>
    <w:rsid w:val="0035483B"/>
    <w:rsid w:val="00355375"/>
    <w:rsid w:val="00355777"/>
    <w:rsid w:val="00355B0D"/>
    <w:rsid w:val="00355F81"/>
    <w:rsid w:val="003565BD"/>
    <w:rsid w:val="003568F7"/>
    <w:rsid w:val="003569C8"/>
    <w:rsid w:val="00356FB4"/>
    <w:rsid w:val="00356FBD"/>
    <w:rsid w:val="0035713F"/>
    <w:rsid w:val="00357B5B"/>
    <w:rsid w:val="00357D47"/>
    <w:rsid w:val="0036038C"/>
    <w:rsid w:val="00360AE5"/>
    <w:rsid w:val="003610AF"/>
    <w:rsid w:val="0036163E"/>
    <w:rsid w:val="00361AB3"/>
    <w:rsid w:val="00361F75"/>
    <w:rsid w:val="00361F76"/>
    <w:rsid w:val="0036201F"/>
    <w:rsid w:val="00362206"/>
    <w:rsid w:val="00362515"/>
    <w:rsid w:val="00362BD3"/>
    <w:rsid w:val="00362C77"/>
    <w:rsid w:val="00362DC8"/>
    <w:rsid w:val="003630BE"/>
    <w:rsid w:val="00363E4C"/>
    <w:rsid w:val="00365219"/>
    <w:rsid w:val="00365A6F"/>
    <w:rsid w:val="00365BCD"/>
    <w:rsid w:val="00365EB0"/>
    <w:rsid w:val="003673BE"/>
    <w:rsid w:val="00367907"/>
    <w:rsid w:val="00370271"/>
    <w:rsid w:val="00370396"/>
    <w:rsid w:val="0037077B"/>
    <w:rsid w:val="003709CE"/>
    <w:rsid w:val="00370A29"/>
    <w:rsid w:val="00370B96"/>
    <w:rsid w:val="0037112F"/>
    <w:rsid w:val="003711AE"/>
    <w:rsid w:val="00371245"/>
    <w:rsid w:val="003717BE"/>
    <w:rsid w:val="00371945"/>
    <w:rsid w:val="00371992"/>
    <w:rsid w:val="00371F07"/>
    <w:rsid w:val="00372306"/>
    <w:rsid w:val="00372383"/>
    <w:rsid w:val="0037248A"/>
    <w:rsid w:val="00372736"/>
    <w:rsid w:val="00372895"/>
    <w:rsid w:val="00373C40"/>
    <w:rsid w:val="00373E18"/>
    <w:rsid w:val="00373E1A"/>
    <w:rsid w:val="003745F9"/>
    <w:rsid w:val="0037466A"/>
    <w:rsid w:val="00374E31"/>
    <w:rsid w:val="003757C5"/>
    <w:rsid w:val="0037591F"/>
    <w:rsid w:val="003759AD"/>
    <w:rsid w:val="00375D70"/>
    <w:rsid w:val="00375DF0"/>
    <w:rsid w:val="00376541"/>
    <w:rsid w:val="00376560"/>
    <w:rsid w:val="003768C2"/>
    <w:rsid w:val="00376917"/>
    <w:rsid w:val="00376C18"/>
    <w:rsid w:val="0037718A"/>
    <w:rsid w:val="003771B3"/>
    <w:rsid w:val="00377222"/>
    <w:rsid w:val="003774FA"/>
    <w:rsid w:val="00377688"/>
    <w:rsid w:val="00377AB9"/>
    <w:rsid w:val="00377C18"/>
    <w:rsid w:val="00377CB0"/>
    <w:rsid w:val="00380226"/>
    <w:rsid w:val="00380285"/>
    <w:rsid w:val="003805B0"/>
    <w:rsid w:val="00380A33"/>
    <w:rsid w:val="00380DD6"/>
    <w:rsid w:val="00380FC0"/>
    <w:rsid w:val="00381297"/>
    <w:rsid w:val="00381668"/>
    <w:rsid w:val="0038180C"/>
    <w:rsid w:val="00381A8D"/>
    <w:rsid w:val="0038225D"/>
    <w:rsid w:val="0038262C"/>
    <w:rsid w:val="00382C56"/>
    <w:rsid w:val="00382E1F"/>
    <w:rsid w:val="00382F35"/>
    <w:rsid w:val="00383B8A"/>
    <w:rsid w:val="00383BCE"/>
    <w:rsid w:val="00383EC0"/>
    <w:rsid w:val="00384050"/>
    <w:rsid w:val="003843C5"/>
    <w:rsid w:val="003844E5"/>
    <w:rsid w:val="00384BD0"/>
    <w:rsid w:val="00384EFD"/>
    <w:rsid w:val="00384F3E"/>
    <w:rsid w:val="003852BE"/>
    <w:rsid w:val="00385341"/>
    <w:rsid w:val="003859EF"/>
    <w:rsid w:val="00385AA9"/>
    <w:rsid w:val="00385BFA"/>
    <w:rsid w:val="00385E85"/>
    <w:rsid w:val="0038637C"/>
    <w:rsid w:val="00386BB3"/>
    <w:rsid w:val="00386CD7"/>
    <w:rsid w:val="00386FF1"/>
    <w:rsid w:val="0038736B"/>
    <w:rsid w:val="00387DEA"/>
    <w:rsid w:val="0039062A"/>
    <w:rsid w:val="003906D4"/>
    <w:rsid w:val="003908F1"/>
    <w:rsid w:val="00390AE5"/>
    <w:rsid w:val="00390DAD"/>
    <w:rsid w:val="00391089"/>
    <w:rsid w:val="00391A41"/>
    <w:rsid w:val="00391F91"/>
    <w:rsid w:val="00392155"/>
    <w:rsid w:val="00392613"/>
    <w:rsid w:val="00392D8F"/>
    <w:rsid w:val="00393136"/>
    <w:rsid w:val="003933F6"/>
    <w:rsid w:val="0039373F"/>
    <w:rsid w:val="003938B9"/>
    <w:rsid w:val="00393929"/>
    <w:rsid w:val="00393CE8"/>
    <w:rsid w:val="00393E65"/>
    <w:rsid w:val="003941DC"/>
    <w:rsid w:val="00394268"/>
    <w:rsid w:val="00394390"/>
    <w:rsid w:val="00394535"/>
    <w:rsid w:val="00394D6B"/>
    <w:rsid w:val="00394D7D"/>
    <w:rsid w:val="00395076"/>
    <w:rsid w:val="00395A41"/>
    <w:rsid w:val="00395A5D"/>
    <w:rsid w:val="00395B40"/>
    <w:rsid w:val="00395CFF"/>
    <w:rsid w:val="003960A1"/>
    <w:rsid w:val="0039690E"/>
    <w:rsid w:val="00396F1E"/>
    <w:rsid w:val="00396FF8"/>
    <w:rsid w:val="003971EF"/>
    <w:rsid w:val="00397396"/>
    <w:rsid w:val="003973D4"/>
    <w:rsid w:val="003974C9"/>
    <w:rsid w:val="00397B0B"/>
    <w:rsid w:val="00397B81"/>
    <w:rsid w:val="003A0380"/>
    <w:rsid w:val="003A0A2D"/>
    <w:rsid w:val="003A0AED"/>
    <w:rsid w:val="003A0D5C"/>
    <w:rsid w:val="003A14B3"/>
    <w:rsid w:val="003A1838"/>
    <w:rsid w:val="003A1911"/>
    <w:rsid w:val="003A1DAC"/>
    <w:rsid w:val="003A247E"/>
    <w:rsid w:val="003A2887"/>
    <w:rsid w:val="003A2A7C"/>
    <w:rsid w:val="003A2DA9"/>
    <w:rsid w:val="003A33DC"/>
    <w:rsid w:val="003A3A46"/>
    <w:rsid w:val="003A3DB3"/>
    <w:rsid w:val="003A3FE8"/>
    <w:rsid w:val="003A439E"/>
    <w:rsid w:val="003A4666"/>
    <w:rsid w:val="003A4FC4"/>
    <w:rsid w:val="003A54F0"/>
    <w:rsid w:val="003A5849"/>
    <w:rsid w:val="003A5CEE"/>
    <w:rsid w:val="003A5D0A"/>
    <w:rsid w:val="003A63BE"/>
    <w:rsid w:val="003A6A46"/>
    <w:rsid w:val="003A6DE4"/>
    <w:rsid w:val="003A7236"/>
    <w:rsid w:val="003A7785"/>
    <w:rsid w:val="003A7883"/>
    <w:rsid w:val="003A7A51"/>
    <w:rsid w:val="003A7AE5"/>
    <w:rsid w:val="003B07B0"/>
    <w:rsid w:val="003B0968"/>
    <w:rsid w:val="003B0C8A"/>
    <w:rsid w:val="003B0CE3"/>
    <w:rsid w:val="003B122D"/>
    <w:rsid w:val="003B1298"/>
    <w:rsid w:val="003B1588"/>
    <w:rsid w:val="003B15B7"/>
    <w:rsid w:val="003B179B"/>
    <w:rsid w:val="003B1E19"/>
    <w:rsid w:val="003B1EA9"/>
    <w:rsid w:val="003B2415"/>
    <w:rsid w:val="003B2AA7"/>
    <w:rsid w:val="003B2DDB"/>
    <w:rsid w:val="003B301C"/>
    <w:rsid w:val="003B304E"/>
    <w:rsid w:val="003B3052"/>
    <w:rsid w:val="003B30E0"/>
    <w:rsid w:val="003B3111"/>
    <w:rsid w:val="003B3CA9"/>
    <w:rsid w:val="003B3CF6"/>
    <w:rsid w:val="003B3D5F"/>
    <w:rsid w:val="003B3FA5"/>
    <w:rsid w:val="003B4308"/>
    <w:rsid w:val="003B4411"/>
    <w:rsid w:val="003B49F0"/>
    <w:rsid w:val="003B4A41"/>
    <w:rsid w:val="003B559A"/>
    <w:rsid w:val="003B5C2B"/>
    <w:rsid w:val="003B5D87"/>
    <w:rsid w:val="003B5F37"/>
    <w:rsid w:val="003B66BF"/>
    <w:rsid w:val="003B706E"/>
    <w:rsid w:val="003B77CC"/>
    <w:rsid w:val="003B785A"/>
    <w:rsid w:val="003B7DC8"/>
    <w:rsid w:val="003B7EBD"/>
    <w:rsid w:val="003C0202"/>
    <w:rsid w:val="003C07D1"/>
    <w:rsid w:val="003C0AB2"/>
    <w:rsid w:val="003C0FFE"/>
    <w:rsid w:val="003C111D"/>
    <w:rsid w:val="003C135B"/>
    <w:rsid w:val="003C1A34"/>
    <w:rsid w:val="003C22EB"/>
    <w:rsid w:val="003C268F"/>
    <w:rsid w:val="003C270C"/>
    <w:rsid w:val="003C28DD"/>
    <w:rsid w:val="003C2B09"/>
    <w:rsid w:val="003C2CE6"/>
    <w:rsid w:val="003C377B"/>
    <w:rsid w:val="003C38E2"/>
    <w:rsid w:val="003C3B58"/>
    <w:rsid w:val="003C3E33"/>
    <w:rsid w:val="003C4212"/>
    <w:rsid w:val="003C423F"/>
    <w:rsid w:val="003C4250"/>
    <w:rsid w:val="003C43E7"/>
    <w:rsid w:val="003C5083"/>
    <w:rsid w:val="003C53CD"/>
    <w:rsid w:val="003C5AE6"/>
    <w:rsid w:val="003C5F9E"/>
    <w:rsid w:val="003C6106"/>
    <w:rsid w:val="003C611C"/>
    <w:rsid w:val="003C6232"/>
    <w:rsid w:val="003C6297"/>
    <w:rsid w:val="003C6D6E"/>
    <w:rsid w:val="003C6E80"/>
    <w:rsid w:val="003C7257"/>
    <w:rsid w:val="003C7C04"/>
    <w:rsid w:val="003D0109"/>
    <w:rsid w:val="003D013E"/>
    <w:rsid w:val="003D098F"/>
    <w:rsid w:val="003D0AE6"/>
    <w:rsid w:val="003D0BF6"/>
    <w:rsid w:val="003D10E8"/>
    <w:rsid w:val="003D1480"/>
    <w:rsid w:val="003D15DD"/>
    <w:rsid w:val="003D1967"/>
    <w:rsid w:val="003D1D91"/>
    <w:rsid w:val="003D1EF7"/>
    <w:rsid w:val="003D1F50"/>
    <w:rsid w:val="003D27F1"/>
    <w:rsid w:val="003D29DE"/>
    <w:rsid w:val="003D2A1B"/>
    <w:rsid w:val="003D31E6"/>
    <w:rsid w:val="003D326E"/>
    <w:rsid w:val="003D3A09"/>
    <w:rsid w:val="003D3ADA"/>
    <w:rsid w:val="003D3D37"/>
    <w:rsid w:val="003D3D9F"/>
    <w:rsid w:val="003D4023"/>
    <w:rsid w:val="003D440C"/>
    <w:rsid w:val="003D4586"/>
    <w:rsid w:val="003D4CEE"/>
    <w:rsid w:val="003D4F65"/>
    <w:rsid w:val="003D5178"/>
    <w:rsid w:val="003D539D"/>
    <w:rsid w:val="003D561C"/>
    <w:rsid w:val="003D5A7F"/>
    <w:rsid w:val="003D5A8D"/>
    <w:rsid w:val="003D5DE6"/>
    <w:rsid w:val="003D5F7C"/>
    <w:rsid w:val="003D64E2"/>
    <w:rsid w:val="003D6B7C"/>
    <w:rsid w:val="003D6C9C"/>
    <w:rsid w:val="003D6F83"/>
    <w:rsid w:val="003D799C"/>
    <w:rsid w:val="003D7E71"/>
    <w:rsid w:val="003E0891"/>
    <w:rsid w:val="003E0C76"/>
    <w:rsid w:val="003E0D78"/>
    <w:rsid w:val="003E1199"/>
    <w:rsid w:val="003E1420"/>
    <w:rsid w:val="003E1906"/>
    <w:rsid w:val="003E20C7"/>
    <w:rsid w:val="003E2388"/>
    <w:rsid w:val="003E23AD"/>
    <w:rsid w:val="003E24EF"/>
    <w:rsid w:val="003E2515"/>
    <w:rsid w:val="003E279C"/>
    <w:rsid w:val="003E2938"/>
    <w:rsid w:val="003E2A0D"/>
    <w:rsid w:val="003E2A96"/>
    <w:rsid w:val="003E2B54"/>
    <w:rsid w:val="003E2BB7"/>
    <w:rsid w:val="003E306C"/>
    <w:rsid w:val="003E30BA"/>
    <w:rsid w:val="003E3237"/>
    <w:rsid w:val="003E337C"/>
    <w:rsid w:val="003E3556"/>
    <w:rsid w:val="003E3695"/>
    <w:rsid w:val="003E3829"/>
    <w:rsid w:val="003E3830"/>
    <w:rsid w:val="003E3993"/>
    <w:rsid w:val="003E3AA2"/>
    <w:rsid w:val="003E3D98"/>
    <w:rsid w:val="003E41F3"/>
    <w:rsid w:val="003E439B"/>
    <w:rsid w:val="003E4532"/>
    <w:rsid w:val="003E4949"/>
    <w:rsid w:val="003E4A07"/>
    <w:rsid w:val="003E5378"/>
    <w:rsid w:val="003E6015"/>
    <w:rsid w:val="003E60A4"/>
    <w:rsid w:val="003E615A"/>
    <w:rsid w:val="003E616F"/>
    <w:rsid w:val="003E6502"/>
    <w:rsid w:val="003E6731"/>
    <w:rsid w:val="003E67E5"/>
    <w:rsid w:val="003E6B6A"/>
    <w:rsid w:val="003E6C0F"/>
    <w:rsid w:val="003E7042"/>
    <w:rsid w:val="003E70D9"/>
    <w:rsid w:val="003E70FB"/>
    <w:rsid w:val="003E7491"/>
    <w:rsid w:val="003E7811"/>
    <w:rsid w:val="003E7A20"/>
    <w:rsid w:val="003E7B7E"/>
    <w:rsid w:val="003F0204"/>
    <w:rsid w:val="003F02D3"/>
    <w:rsid w:val="003F0A2C"/>
    <w:rsid w:val="003F16F7"/>
    <w:rsid w:val="003F195C"/>
    <w:rsid w:val="003F1C69"/>
    <w:rsid w:val="003F1D6E"/>
    <w:rsid w:val="003F2004"/>
    <w:rsid w:val="003F2A39"/>
    <w:rsid w:val="003F2D99"/>
    <w:rsid w:val="003F3157"/>
    <w:rsid w:val="003F351C"/>
    <w:rsid w:val="003F36C8"/>
    <w:rsid w:val="003F3AD8"/>
    <w:rsid w:val="003F40CA"/>
    <w:rsid w:val="003F4165"/>
    <w:rsid w:val="003F4260"/>
    <w:rsid w:val="003F428B"/>
    <w:rsid w:val="003F4602"/>
    <w:rsid w:val="003F4820"/>
    <w:rsid w:val="003F487F"/>
    <w:rsid w:val="003F4C4D"/>
    <w:rsid w:val="003F4DA4"/>
    <w:rsid w:val="003F4EBD"/>
    <w:rsid w:val="003F55C9"/>
    <w:rsid w:val="003F57CC"/>
    <w:rsid w:val="003F5894"/>
    <w:rsid w:val="003F58A1"/>
    <w:rsid w:val="003F5C15"/>
    <w:rsid w:val="003F61EC"/>
    <w:rsid w:val="003F65F0"/>
    <w:rsid w:val="003F68DF"/>
    <w:rsid w:val="003F6A17"/>
    <w:rsid w:val="003F6A83"/>
    <w:rsid w:val="003F6AB9"/>
    <w:rsid w:val="003F6CC8"/>
    <w:rsid w:val="003F6EA0"/>
    <w:rsid w:val="003F6F8A"/>
    <w:rsid w:val="003F7064"/>
    <w:rsid w:val="003F75E2"/>
    <w:rsid w:val="003F7BC5"/>
    <w:rsid w:val="003F7C34"/>
    <w:rsid w:val="003F7D2C"/>
    <w:rsid w:val="004002B9"/>
    <w:rsid w:val="00400614"/>
    <w:rsid w:val="004008A0"/>
    <w:rsid w:val="00400942"/>
    <w:rsid w:val="00400AA8"/>
    <w:rsid w:val="0040102E"/>
    <w:rsid w:val="00401548"/>
    <w:rsid w:val="00402263"/>
    <w:rsid w:val="0040247E"/>
    <w:rsid w:val="00402485"/>
    <w:rsid w:val="004024E6"/>
    <w:rsid w:val="004026F0"/>
    <w:rsid w:val="00402C4E"/>
    <w:rsid w:val="0040360E"/>
    <w:rsid w:val="0040380A"/>
    <w:rsid w:val="00403BD1"/>
    <w:rsid w:val="0040447B"/>
    <w:rsid w:val="00404AB9"/>
    <w:rsid w:val="00404B43"/>
    <w:rsid w:val="00405796"/>
    <w:rsid w:val="0040593F"/>
    <w:rsid w:val="00405FEF"/>
    <w:rsid w:val="00406788"/>
    <w:rsid w:val="004067A5"/>
    <w:rsid w:val="00406AD3"/>
    <w:rsid w:val="00406DD6"/>
    <w:rsid w:val="00406F0B"/>
    <w:rsid w:val="00407759"/>
    <w:rsid w:val="00407B25"/>
    <w:rsid w:val="00407D85"/>
    <w:rsid w:val="004103E1"/>
    <w:rsid w:val="0041109D"/>
    <w:rsid w:val="004113EE"/>
    <w:rsid w:val="0041156D"/>
    <w:rsid w:val="00411844"/>
    <w:rsid w:val="00411CF1"/>
    <w:rsid w:val="00412EE7"/>
    <w:rsid w:val="004132CF"/>
    <w:rsid w:val="00413432"/>
    <w:rsid w:val="00413AA2"/>
    <w:rsid w:val="00413BD7"/>
    <w:rsid w:val="00413C93"/>
    <w:rsid w:val="004142A3"/>
    <w:rsid w:val="00414385"/>
    <w:rsid w:val="0041462C"/>
    <w:rsid w:val="004148D8"/>
    <w:rsid w:val="00414EDF"/>
    <w:rsid w:val="00414F82"/>
    <w:rsid w:val="004151DD"/>
    <w:rsid w:val="00415390"/>
    <w:rsid w:val="00415572"/>
    <w:rsid w:val="0041599A"/>
    <w:rsid w:val="00415DB8"/>
    <w:rsid w:val="00415DD7"/>
    <w:rsid w:val="0041625B"/>
    <w:rsid w:val="004163E4"/>
    <w:rsid w:val="004166A5"/>
    <w:rsid w:val="00417904"/>
    <w:rsid w:val="00417DD3"/>
    <w:rsid w:val="00420964"/>
    <w:rsid w:val="00420EE6"/>
    <w:rsid w:val="00421187"/>
    <w:rsid w:val="004216B4"/>
    <w:rsid w:val="00421F11"/>
    <w:rsid w:val="00421F94"/>
    <w:rsid w:val="00423585"/>
    <w:rsid w:val="00423D2B"/>
    <w:rsid w:val="0042400E"/>
    <w:rsid w:val="0042417A"/>
    <w:rsid w:val="004242CE"/>
    <w:rsid w:val="004244F8"/>
    <w:rsid w:val="0042450D"/>
    <w:rsid w:val="0042488F"/>
    <w:rsid w:val="00424E7D"/>
    <w:rsid w:val="004250CB"/>
    <w:rsid w:val="004257CD"/>
    <w:rsid w:val="00425841"/>
    <w:rsid w:val="00425912"/>
    <w:rsid w:val="00425F0C"/>
    <w:rsid w:val="00426039"/>
    <w:rsid w:val="004261BD"/>
    <w:rsid w:val="00426222"/>
    <w:rsid w:val="0042632C"/>
    <w:rsid w:val="00426393"/>
    <w:rsid w:val="00426862"/>
    <w:rsid w:val="0042694C"/>
    <w:rsid w:val="00426A7B"/>
    <w:rsid w:val="00426C25"/>
    <w:rsid w:val="0042715A"/>
    <w:rsid w:val="00427645"/>
    <w:rsid w:val="00427A30"/>
    <w:rsid w:val="00427A77"/>
    <w:rsid w:val="00427A7D"/>
    <w:rsid w:val="00427AFA"/>
    <w:rsid w:val="00427B65"/>
    <w:rsid w:val="00427D09"/>
    <w:rsid w:val="00430239"/>
    <w:rsid w:val="0043049C"/>
    <w:rsid w:val="00430E3B"/>
    <w:rsid w:val="004310CF"/>
    <w:rsid w:val="0043129A"/>
    <w:rsid w:val="00431331"/>
    <w:rsid w:val="00431366"/>
    <w:rsid w:val="00431AFF"/>
    <w:rsid w:val="00432063"/>
    <w:rsid w:val="00432471"/>
    <w:rsid w:val="00432566"/>
    <w:rsid w:val="00432D0C"/>
    <w:rsid w:val="0043309B"/>
    <w:rsid w:val="00433432"/>
    <w:rsid w:val="004336D2"/>
    <w:rsid w:val="004338FB"/>
    <w:rsid w:val="0043396C"/>
    <w:rsid w:val="00433E8A"/>
    <w:rsid w:val="00434C7B"/>
    <w:rsid w:val="00434CBC"/>
    <w:rsid w:val="00435E83"/>
    <w:rsid w:val="00435F43"/>
    <w:rsid w:val="004362E8"/>
    <w:rsid w:val="004365E9"/>
    <w:rsid w:val="00436AF6"/>
    <w:rsid w:val="00436E6C"/>
    <w:rsid w:val="00436EE2"/>
    <w:rsid w:val="00436F8B"/>
    <w:rsid w:val="004372C0"/>
    <w:rsid w:val="00440325"/>
    <w:rsid w:val="00440517"/>
    <w:rsid w:val="0044055F"/>
    <w:rsid w:val="00440638"/>
    <w:rsid w:val="00440A7A"/>
    <w:rsid w:val="00440B2F"/>
    <w:rsid w:val="00441157"/>
    <w:rsid w:val="0044192D"/>
    <w:rsid w:val="00441E5F"/>
    <w:rsid w:val="00442128"/>
    <w:rsid w:val="00442310"/>
    <w:rsid w:val="004424C9"/>
    <w:rsid w:val="0044263E"/>
    <w:rsid w:val="0044272C"/>
    <w:rsid w:val="00442985"/>
    <w:rsid w:val="00442F4B"/>
    <w:rsid w:val="00442F57"/>
    <w:rsid w:val="00443011"/>
    <w:rsid w:val="00443049"/>
    <w:rsid w:val="0044394F"/>
    <w:rsid w:val="004448E3"/>
    <w:rsid w:val="00445074"/>
    <w:rsid w:val="004457BE"/>
    <w:rsid w:val="00445A82"/>
    <w:rsid w:val="00445E40"/>
    <w:rsid w:val="0044692B"/>
    <w:rsid w:val="0044692D"/>
    <w:rsid w:val="00446A3F"/>
    <w:rsid w:val="00446F1D"/>
    <w:rsid w:val="00447146"/>
    <w:rsid w:val="00447635"/>
    <w:rsid w:val="0044771D"/>
    <w:rsid w:val="0044772A"/>
    <w:rsid w:val="00447730"/>
    <w:rsid w:val="0044785F"/>
    <w:rsid w:val="004507C6"/>
    <w:rsid w:val="00450E34"/>
    <w:rsid w:val="00450F72"/>
    <w:rsid w:val="004511D4"/>
    <w:rsid w:val="004517C2"/>
    <w:rsid w:val="00451B4F"/>
    <w:rsid w:val="00452015"/>
    <w:rsid w:val="004524FB"/>
    <w:rsid w:val="00452599"/>
    <w:rsid w:val="004529B3"/>
    <w:rsid w:val="00452CFF"/>
    <w:rsid w:val="00452E49"/>
    <w:rsid w:val="004533B6"/>
    <w:rsid w:val="00453A40"/>
    <w:rsid w:val="00453CF2"/>
    <w:rsid w:val="004540B9"/>
    <w:rsid w:val="0045411A"/>
    <w:rsid w:val="004548C3"/>
    <w:rsid w:val="00454BF3"/>
    <w:rsid w:val="004550E7"/>
    <w:rsid w:val="00455252"/>
    <w:rsid w:val="004556FA"/>
    <w:rsid w:val="004558A6"/>
    <w:rsid w:val="00455A6D"/>
    <w:rsid w:val="00455AA2"/>
    <w:rsid w:val="00455C79"/>
    <w:rsid w:val="00455D70"/>
    <w:rsid w:val="00456912"/>
    <w:rsid w:val="004569F2"/>
    <w:rsid w:val="00456ADD"/>
    <w:rsid w:val="00456E2A"/>
    <w:rsid w:val="00457378"/>
    <w:rsid w:val="004574ED"/>
    <w:rsid w:val="00457726"/>
    <w:rsid w:val="00457EFD"/>
    <w:rsid w:val="0046031C"/>
    <w:rsid w:val="004607A2"/>
    <w:rsid w:val="00460B3A"/>
    <w:rsid w:val="00460F53"/>
    <w:rsid w:val="00461119"/>
    <w:rsid w:val="00461393"/>
    <w:rsid w:val="00461590"/>
    <w:rsid w:val="00461D9F"/>
    <w:rsid w:val="004620FA"/>
    <w:rsid w:val="004622C3"/>
    <w:rsid w:val="00462304"/>
    <w:rsid w:val="00462321"/>
    <w:rsid w:val="00462444"/>
    <w:rsid w:val="004625E0"/>
    <w:rsid w:val="00462EA3"/>
    <w:rsid w:val="00462F1C"/>
    <w:rsid w:val="004634CB"/>
    <w:rsid w:val="004635B9"/>
    <w:rsid w:val="00463852"/>
    <w:rsid w:val="0046397C"/>
    <w:rsid w:val="00463FFD"/>
    <w:rsid w:val="00464194"/>
    <w:rsid w:val="00464380"/>
    <w:rsid w:val="00464713"/>
    <w:rsid w:val="00464765"/>
    <w:rsid w:val="0046488D"/>
    <w:rsid w:val="00464977"/>
    <w:rsid w:val="00464AB0"/>
    <w:rsid w:val="00464C2E"/>
    <w:rsid w:val="00464CFE"/>
    <w:rsid w:val="00464FB8"/>
    <w:rsid w:val="0046500A"/>
    <w:rsid w:val="004655A4"/>
    <w:rsid w:val="004656C4"/>
    <w:rsid w:val="00465864"/>
    <w:rsid w:val="004659E1"/>
    <w:rsid w:val="00466383"/>
    <w:rsid w:val="00466891"/>
    <w:rsid w:val="00466D82"/>
    <w:rsid w:val="00467180"/>
    <w:rsid w:val="0046753E"/>
    <w:rsid w:val="004676E3"/>
    <w:rsid w:val="00467A79"/>
    <w:rsid w:val="00467B81"/>
    <w:rsid w:val="00471055"/>
    <w:rsid w:val="00471715"/>
    <w:rsid w:val="00471C67"/>
    <w:rsid w:val="00471D68"/>
    <w:rsid w:val="00471DCF"/>
    <w:rsid w:val="00471E3E"/>
    <w:rsid w:val="004721F0"/>
    <w:rsid w:val="0047246C"/>
    <w:rsid w:val="00473594"/>
    <w:rsid w:val="004735DC"/>
    <w:rsid w:val="0047361B"/>
    <w:rsid w:val="0047367E"/>
    <w:rsid w:val="00473706"/>
    <w:rsid w:val="00473E11"/>
    <w:rsid w:val="004743A4"/>
    <w:rsid w:val="0047461D"/>
    <w:rsid w:val="004748BD"/>
    <w:rsid w:val="00474C3A"/>
    <w:rsid w:val="00474D44"/>
    <w:rsid w:val="00475289"/>
    <w:rsid w:val="0047567B"/>
    <w:rsid w:val="00475815"/>
    <w:rsid w:val="00475C10"/>
    <w:rsid w:val="00475CA0"/>
    <w:rsid w:val="004761C8"/>
    <w:rsid w:val="0047658D"/>
    <w:rsid w:val="00476A2E"/>
    <w:rsid w:val="00476A38"/>
    <w:rsid w:val="004772D8"/>
    <w:rsid w:val="0047794C"/>
    <w:rsid w:val="00477ADA"/>
    <w:rsid w:val="00477D54"/>
    <w:rsid w:val="00477D6F"/>
    <w:rsid w:val="00480068"/>
    <w:rsid w:val="0048016B"/>
    <w:rsid w:val="0048040C"/>
    <w:rsid w:val="00480D80"/>
    <w:rsid w:val="00480DDF"/>
    <w:rsid w:val="00480E17"/>
    <w:rsid w:val="00480E5A"/>
    <w:rsid w:val="0048121E"/>
    <w:rsid w:val="004816F1"/>
    <w:rsid w:val="00482245"/>
    <w:rsid w:val="0048225A"/>
    <w:rsid w:val="004823D5"/>
    <w:rsid w:val="00482507"/>
    <w:rsid w:val="0048295F"/>
    <w:rsid w:val="00482D2D"/>
    <w:rsid w:val="00482DF4"/>
    <w:rsid w:val="00482E9F"/>
    <w:rsid w:val="004834C3"/>
    <w:rsid w:val="0048389D"/>
    <w:rsid w:val="00483D57"/>
    <w:rsid w:val="00483DDD"/>
    <w:rsid w:val="0048405C"/>
    <w:rsid w:val="00484551"/>
    <w:rsid w:val="00484A4F"/>
    <w:rsid w:val="00484E8B"/>
    <w:rsid w:val="004852A6"/>
    <w:rsid w:val="0048533F"/>
    <w:rsid w:val="00485359"/>
    <w:rsid w:val="004853F3"/>
    <w:rsid w:val="004854EC"/>
    <w:rsid w:val="004856DA"/>
    <w:rsid w:val="00485C07"/>
    <w:rsid w:val="00485CBD"/>
    <w:rsid w:val="00486349"/>
    <w:rsid w:val="004863AB"/>
    <w:rsid w:val="0048677C"/>
    <w:rsid w:val="00486C9E"/>
    <w:rsid w:val="00486FE1"/>
    <w:rsid w:val="00487019"/>
    <w:rsid w:val="0048733B"/>
    <w:rsid w:val="00487660"/>
    <w:rsid w:val="00487B46"/>
    <w:rsid w:val="00487CE2"/>
    <w:rsid w:val="00487EB1"/>
    <w:rsid w:val="004900DD"/>
    <w:rsid w:val="00490BCB"/>
    <w:rsid w:val="00490CE8"/>
    <w:rsid w:val="00491619"/>
    <w:rsid w:val="004918D9"/>
    <w:rsid w:val="00491C25"/>
    <w:rsid w:val="00491F75"/>
    <w:rsid w:val="00492B3F"/>
    <w:rsid w:val="00493579"/>
    <w:rsid w:val="00493E0C"/>
    <w:rsid w:val="00493F01"/>
    <w:rsid w:val="00494226"/>
    <w:rsid w:val="00494276"/>
    <w:rsid w:val="0049527D"/>
    <w:rsid w:val="00495986"/>
    <w:rsid w:val="00495D3B"/>
    <w:rsid w:val="00496A12"/>
    <w:rsid w:val="00496EF0"/>
    <w:rsid w:val="00497590"/>
    <w:rsid w:val="00497FB2"/>
    <w:rsid w:val="004A015F"/>
    <w:rsid w:val="004A0274"/>
    <w:rsid w:val="004A0905"/>
    <w:rsid w:val="004A0EA6"/>
    <w:rsid w:val="004A1060"/>
    <w:rsid w:val="004A112A"/>
    <w:rsid w:val="004A12CB"/>
    <w:rsid w:val="004A13C9"/>
    <w:rsid w:val="004A148C"/>
    <w:rsid w:val="004A15EC"/>
    <w:rsid w:val="004A1675"/>
    <w:rsid w:val="004A1AC3"/>
    <w:rsid w:val="004A1C27"/>
    <w:rsid w:val="004A21B3"/>
    <w:rsid w:val="004A234C"/>
    <w:rsid w:val="004A24FF"/>
    <w:rsid w:val="004A28F8"/>
    <w:rsid w:val="004A2AFF"/>
    <w:rsid w:val="004A2F12"/>
    <w:rsid w:val="004A2F1E"/>
    <w:rsid w:val="004A31AC"/>
    <w:rsid w:val="004A321D"/>
    <w:rsid w:val="004A32D4"/>
    <w:rsid w:val="004A3315"/>
    <w:rsid w:val="004A3575"/>
    <w:rsid w:val="004A38ED"/>
    <w:rsid w:val="004A38F6"/>
    <w:rsid w:val="004A3A9E"/>
    <w:rsid w:val="004A3E2B"/>
    <w:rsid w:val="004A4003"/>
    <w:rsid w:val="004A402C"/>
    <w:rsid w:val="004A4301"/>
    <w:rsid w:val="004A471A"/>
    <w:rsid w:val="004A4963"/>
    <w:rsid w:val="004A4BD2"/>
    <w:rsid w:val="004A4CD2"/>
    <w:rsid w:val="004A5931"/>
    <w:rsid w:val="004A5E84"/>
    <w:rsid w:val="004A5FA4"/>
    <w:rsid w:val="004A6053"/>
    <w:rsid w:val="004A61DF"/>
    <w:rsid w:val="004A66B6"/>
    <w:rsid w:val="004A6C49"/>
    <w:rsid w:val="004A7065"/>
    <w:rsid w:val="004A75F4"/>
    <w:rsid w:val="004A7B41"/>
    <w:rsid w:val="004B0321"/>
    <w:rsid w:val="004B05B1"/>
    <w:rsid w:val="004B0A1C"/>
    <w:rsid w:val="004B0BFD"/>
    <w:rsid w:val="004B142A"/>
    <w:rsid w:val="004B1472"/>
    <w:rsid w:val="004B1A47"/>
    <w:rsid w:val="004B1A6D"/>
    <w:rsid w:val="004B1B75"/>
    <w:rsid w:val="004B1BCA"/>
    <w:rsid w:val="004B2358"/>
    <w:rsid w:val="004B2AE0"/>
    <w:rsid w:val="004B2AE9"/>
    <w:rsid w:val="004B3048"/>
    <w:rsid w:val="004B3192"/>
    <w:rsid w:val="004B3321"/>
    <w:rsid w:val="004B35BC"/>
    <w:rsid w:val="004B39A6"/>
    <w:rsid w:val="004B4DA0"/>
    <w:rsid w:val="004B4F80"/>
    <w:rsid w:val="004B5523"/>
    <w:rsid w:val="004B573A"/>
    <w:rsid w:val="004B5A9B"/>
    <w:rsid w:val="004B5F11"/>
    <w:rsid w:val="004B61F3"/>
    <w:rsid w:val="004B61F5"/>
    <w:rsid w:val="004B63B9"/>
    <w:rsid w:val="004B6410"/>
    <w:rsid w:val="004B6661"/>
    <w:rsid w:val="004B6BE3"/>
    <w:rsid w:val="004B6DA1"/>
    <w:rsid w:val="004B75B4"/>
    <w:rsid w:val="004C00C1"/>
    <w:rsid w:val="004C021F"/>
    <w:rsid w:val="004C04DB"/>
    <w:rsid w:val="004C0552"/>
    <w:rsid w:val="004C0A93"/>
    <w:rsid w:val="004C1651"/>
    <w:rsid w:val="004C1FC4"/>
    <w:rsid w:val="004C2268"/>
    <w:rsid w:val="004C300D"/>
    <w:rsid w:val="004C41C9"/>
    <w:rsid w:val="004C42E2"/>
    <w:rsid w:val="004C4724"/>
    <w:rsid w:val="004C4D6A"/>
    <w:rsid w:val="004C530E"/>
    <w:rsid w:val="004C531F"/>
    <w:rsid w:val="004C5CB6"/>
    <w:rsid w:val="004C5D24"/>
    <w:rsid w:val="004C5D51"/>
    <w:rsid w:val="004C5FAA"/>
    <w:rsid w:val="004C61E5"/>
    <w:rsid w:val="004C6287"/>
    <w:rsid w:val="004C62AB"/>
    <w:rsid w:val="004C659D"/>
    <w:rsid w:val="004C65B6"/>
    <w:rsid w:val="004C6BAD"/>
    <w:rsid w:val="004C6CCE"/>
    <w:rsid w:val="004C6ECF"/>
    <w:rsid w:val="004C6F00"/>
    <w:rsid w:val="004C709C"/>
    <w:rsid w:val="004C79B0"/>
    <w:rsid w:val="004C7C8C"/>
    <w:rsid w:val="004C7CEB"/>
    <w:rsid w:val="004D003B"/>
    <w:rsid w:val="004D0083"/>
    <w:rsid w:val="004D04C9"/>
    <w:rsid w:val="004D0574"/>
    <w:rsid w:val="004D0A49"/>
    <w:rsid w:val="004D0B29"/>
    <w:rsid w:val="004D0C28"/>
    <w:rsid w:val="004D0FFF"/>
    <w:rsid w:val="004D1194"/>
    <w:rsid w:val="004D1BF7"/>
    <w:rsid w:val="004D1D64"/>
    <w:rsid w:val="004D218F"/>
    <w:rsid w:val="004D2346"/>
    <w:rsid w:val="004D3026"/>
    <w:rsid w:val="004D348E"/>
    <w:rsid w:val="004D3661"/>
    <w:rsid w:val="004D39C0"/>
    <w:rsid w:val="004D451D"/>
    <w:rsid w:val="004D45C6"/>
    <w:rsid w:val="004D4BEC"/>
    <w:rsid w:val="004D4E86"/>
    <w:rsid w:val="004D5225"/>
    <w:rsid w:val="004D53D2"/>
    <w:rsid w:val="004D5A3B"/>
    <w:rsid w:val="004D5B66"/>
    <w:rsid w:val="004D5D6E"/>
    <w:rsid w:val="004D62BE"/>
    <w:rsid w:val="004D6599"/>
    <w:rsid w:val="004D67DE"/>
    <w:rsid w:val="004D6821"/>
    <w:rsid w:val="004D6907"/>
    <w:rsid w:val="004D6E02"/>
    <w:rsid w:val="004D71D8"/>
    <w:rsid w:val="004D73C3"/>
    <w:rsid w:val="004E047F"/>
    <w:rsid w:val="004E06FC"/>
    <w:rsid w:val="004E0964"/>
    <w:rsid w:val="004E1463"/>
    <w:rsid w:val="004E175C"/>
    <w:rsid w:val="004E1A8B"/>
    <w:rsid w:val="004E1B40"/>
    <w:rsid w:val="004E1B4A"/>
    <w:rsid w:val="004E1ED3"/>
    <w:rsid w:val="004E1F2B"/>
    <w:rsid w:val="004E228B"/>
    <w:rsid w:val="004E2938"/>
    <w:rsid w:val="004E2BB2"/>
    <w:rsid w:val="004E2D7C"/>
    <w:rsid w:val="004E2E54"/>
    <w:rsid w:val="004E31A4"/>
    <w:rsid w:val="004E358E"/>
    <w:rsid w:val="004E3F04"/>
    <w:rsid w:val="004E42DE"/>
    <w:rsid w:val="004E4396"/>
    <w:rsid w:val="004E443E"/>
    <w:rsid w:val="004E448A"/>
    <w:rsid w:val="004E4B13"/>
    <w:rsid w:val="004E51B0"/>
    <w:rsid w:val="004E55B2"/>
    <w:rsid w:val="004E56D8"/>
    <w:rsid w:val="004E599F"/>
    <w:rsid w:val="004E5B70"/>
    <w:rsid w:val="004E5E17"/>
    <w:rsid w:val="004E5EAB"/>
    <w:rsid w:val="004E5F13"/>
    <w:rsid w:val="004E67EC"/>
    <w:rsid w:val="004E67F9"/>
    <w:rsid w:val="004E69F6"/>
    <w:rsid w:val="004E6B1F"/>
    <w:rsid w:val="004E6C1C"/>
    <w:rsid w:val="004E71A2"/>
    <w:rsid w:val="004E729F"/>
    <w:rsid w:val="004E7D12"/>
    <w:rsid w:val="004F0477"/>
    <w:rsid w:val="004F123A"/>
    <w:rsid w:val="004F1A6C"/>
    <w:rsid w:val="004F1F7C"/>
    <w:rsid w:val="004F3458"/>
    <w:rsid w:val="004F351F"/>
    <w:rsid w:val="004F36C8"/>
    <w:rsid w:val="004F3A75"/>
    <w:rsid w:val="004F3E97"/>
    <w:rsid w:val="004F3EAD"/>
    <w:rsid w:val="004F44EE"/>
    <w:rsid w:val="004F522A"/>
    <w:rsid w:val="004F596B"/>
    <w:rsid w:val="004F5EBE"/>
    <w:rsid w:val="004F5F93"/>
    <w:rsid w:val="004F5FB1"/>
    <w:rsid w:val="004F5FE2"/>
    <w:rsid w:val="004F615C"/>
    <w:rsid w:val="004F65AE"/>
    <w:rsid w:val="004F6A82"/>
    <w:rsid w:val="004F6F1D"/>
    <w:rsid w:val="004F6F72"/>
    <w:rsid w:val="004F6FF8"/>
    <w:rsid w:val="004F7054"/>
    <w:rsid w:val="004F7893"/>
    <w:rsid w:val="004F7B6C"/>
    <w:rsid w:val="004F7D50"/>
    <w:rsid w:val="0050079C"/>
    <w:rsid w:val="00500B71"/>
    <w:rsid w:val="005014E2"/>
    <w:rsid w:val="00501A9D"/>
    <w:rsid w:val="00502ABF"/>
    <w:rsid w:val="005031B1"/>
    <w:rsid w:val="00503BFC"/>
    <w:rsid w:val="00504067"/>
    <w:rsid w:val="0050413D"/>
    <w:rsid w:val="00504610"/>
    <w:rsid w:val="00504B2D"/>
    <w:rsid w:val="0050572D"/>
    <w:rsid w:val="00505CB6"/>
    <w:rsid w:val="00505F24"/>
    <w:rsid w:val="00506030"/>
    <w:rsid w:val="005069BA"/>
    <w:rsid w:val="005075BE"/>
    <w:rsid w:val="00507A52"/>
    <w:rsid w:val="005102FB"/>
    <w:rsid w:val="00510697"/>
    <w:rsid w:val="005108C7"/>
    <w:rsid w:val="00510E9D"/>
    <w:rsid w:val="00510F2F"/>
    <w:rsid w:val="00510F48"/>
    <w:rsid w:val="00511DD4"/>
    <w:rsid w:val="00511F9D"/>
    <w:rsid w:val="0051212F"/>
    <w:rsid w:val="005125E7"/>
    <w:rsid w:val="00512D84"/>
    <w:rsid w:val="00512FBF"/>
    <w:rsid w:val="005132FF"/>
    <w:rsid w:val="005134ED"/>
    <w:rsid w:val="00513C67"/>
    <w:rsid w:val="00513F90"/>
    <w:rsid w:val="005143FC"/>
    <w:rsid w:val="005147E4"/>
    <w:rsid w:val="005148B8"/>
    <w:rsid w:val="00514920"/>
    <w:rsid w:val="00514F60"/>
    <w:rsid w:val="00515440"/>
    <w:rsid w:val="00515649"/>
    <w:rsid w:val="00515994"/>
    <w:rsid w:val="00515F40"/>
    <w:rsid w:val="00516426"/>
    <w:rsid w:val="00516459"/>
    <w:rsid w:val="00516AC7"/>
    <w:rsid w:val="00516C09"/>
    <w:rsid w:val="00516C32"/>
    <w:rsid w:val="00517073"/>
    <w:rsid w:val="0051729D"/>
    <w:rsid w:val="005174B5"/>
    <w:rsid w:val="005174D9"/>
    <w:rsid w:val="00517A37"/>
    <w:rsid w:val="00517D14"/>
    <w:rsid w:val="00520028"/>
    <w:rsid w:val="00520C0C"/>
    <w:rsid w:val="00520E1D"/>
    <w:rsid w:val="005210C6"/>
    <w:rsid w:val="00521735"/>
    <w:rsid w:val="005217BC"/>
    <w:rsid w:val="00521A13"/>
    <w:rsid w:val="00521C10"/>
    <w:rsid w:val="00521F9A"/>
    <w:rsid w:val="0052259A"/>
    <w:rsid w:val="00522624"/>
    <w:rsid w:val="00522BD8"/>
    <w:rsid w:val="00522C1B"/>
    <w:rsid w:val="00522C4B"/>
    <w:rsid w:val="00522D78"/>
    <w:rsid w:val="005239DA"/>
    <w:rsid w:val="00523BA3"/>
    <w:rsid w:val="00523D35"/>
    <w:rsid w:val="00523E72"/>
    <w:rsid w:val="00524196"/>
    <w:rsid w:val="00524297"/>
    <w:rsid w:val="00524468"/>
    <w:rsid w:val="0052461F"/>
    <w:rsid w:val="0052499C"/>
    <w:rsid w:val="00524BED"/>
    <w:rsid w:val="00524C02"/>
    <w:rsid w:val="00524EF6"/>
    <w:rsid w:val="005250CC"/>
    <w:rsid w:val="00525337"/>
    <w:rsid w:val="00525393"/>
    <w:rsid w:val="00525950"/>
    <w:rsid w:val="00525B1D"/>
    <w:rsid w:val="00525B6B"/>
    <w:rsid w:val="00525C7F"/>
    <w:rsid w:val="00525E07"/>
    <w:rsid w:val="00525F6C"/>
    <w:rsid w:val="00526640"/>
    <w:rsid w:val="005266CA"/>
    <w:rsid w:val="0052686F"/>
    <w:rsid w:val="005268FD"/>
    <w:rsid w:val="005269BD"/>
    <w:rsid w:val="00527495"/>
    <w:rsid w:val="00527743"/>
    <w:rsid w:val="00527856"/>
    <w:rsid w:val="0052799B"/>
    <w:rsid w:val="005279CF"/>
    <w:rsid w:val="00527D04"/>
    <w:rsid w:val="005302BE"/>
    <w:rsid w:val="005306F1"/>
    <w:rsid w:val="0053086D"/>
    <w:rsid w:val="00531B9C"/>
    <w:rsid w:val="00531C9A"/>
    <w:rsid w:val="00531DF5"/>
    <w:rsid w:val="005320FF"/>
    <w:rsid w:val="0053214C"/>
    <w:rsid w:val="00532BE8"/>
    <w:rsid w:val="00534899"/>
    <w:rsid w:val="00534F9D"/>
    <w:rsid w:val="00534FA3"/>
    <w:rsid w:val="00534FAB"/>
    <w:rsid w:val="00535186"/>
    <w:rsid w:val="0053541C"/>
    <w:rsid w:val="00535565"/>
    <w:rsid w:val="00536758"/>
    <w:rsid w:val="00536DEE"/>
    <w:rsid w:val="00536FF4"/>
    <w:rsid w:val="00537833"/>
    <w:rsid w:val="0054006B"/>
    <w:rsid w:val="00540544"/>
    <w:rsid w:val="005405FC"/>
    <w:rsid w:val="005407CF"/>
    <w:rsid w:val="00540809"/>
    <w:rsid w:val="00540993"/>
    <w:rsid w:val="00540A3C"/>
    <w:rsid w:val="00540B88"/>
    <w:rsid w:val="00540FE4"/>
    <w:rsid w:val="005410C4"/>
    <w:rsid w:val="00541817"/>
    <w:rsid w:val="00541972"/>
    <w:rsid w:val="00541A6F"/>
    <w:rsid w:val="00541F9D"/>
    <w:rsid w:val="0054229D"/>
    <w:rsid w:val="005425E6"/>
    <w:rsid w:val="0054291B"/>
    <w:rsid w:val="00542CD4"/>
    <w:rsid w:val="00542CFF"/>
    <w:rsid w:val="00543199"/>
    <w:rsid w:val="0054345A"/>
    <w:rsid w:val="005434D5"/>
    <w:rsid w:val="0054356C"/>
    <w:rsid w:val="0054362B"/>
    <w:rsid w:val="005439B7"/>
    <w:rsid w:val="00543AFB"/>
    <w:rsid w:val="00543B5B"/>
    <w:rsid w:val="00543F23"/>
    <w:rsid w:val="005444D5"/>
    <w:rsid w:val="00544556"/>
    <w:rsid w:val="005448E9"/>
    <w:rsid w:val="0054559D"/>
    <w:rsid w:val="00545709"/>
    <w:rsid w:val="00545B34"/>
    <w:rsid w:val="00545D66"/>
    <w:rsid w:val="00545E5E"/>
    <w:rsid w:val="005465E5"/>
    <w:rsid w:val="0054687C"/>
    <w:rsid w:val="00546978"/>
    <w:rsid w:val="00546F8C"/>
    <w:rsid w:val="00547180"/>
    <w:rsid w:val="005476A5"/>
    <w:rsid w:val="00547747"/>
    <w:rsid w:val="00547F6D"/>
    <w:rsid w:val="005500EF"/>
    <w:rsid w:val="00550103"/>
    <w:rsid w:val="005503D9"/>
    <w:rsid w:val="00550488"/>
    <w:rsid w:val="005508FA"/>
    <w:rsid w:val="00550959"/>
    <w:rsid w:val="00550CF4"/>
    <w:rsid w:val="00551177"/>
    <w:rsid w:val="0055170D"/>
    <w:rsid w:val="00551CC5"/>
    <w:rsid w:val="00551DA9"/>
    <w:rsid w:val="00551E3F"/>
    <w:rsid w:val="00551F42"/>
    <w:rsid w:val="00552235"/>
    <w:rsid w:val="00552762"/>
    <w:rsid w:val="00552EAF"/>
    <w:rsid w:val="005533EC"/>
    <w:rsid w:val="00553481"/>
    <w:rsid w:val="005535A2"/>
    <w:rsid w:val="005536A3"/>
    <w:rsid w:val="00553818"/>
    <w:rsid w:val="005542D3"/>
    <w:rsid w:val="00554742"/>
    <w:rsid w:val="0055479A"/>
    <w:rsid w:val="005547BA"/>
    <w:rsid w:val="00555BE8"/>
    <w:rsid w:val="005563F8"/>
    <w:rsid w:val="00556953"/>
    <w:rsid w:val="00556A3E"/>
    <w:rsid w:val="005571B6"/>
    <w:rsid w:val="005602A4"/>
    <w:rsid w:val="00560A14"/>
    <w:rsid w:val="00561633"/>
    <w:rsid w:val="005617FF"/>
    <w:rsid w:val="00561B61"/>
    <w:rsid w:val="00561C14"/>
    <w:rsid w:val="00561FD4"/>
    <w:rsid w:val="0056242C"/>
    <w:rsid w:val="005624A6"/>
    <w:rsid w:val="005629B3"/>
    <w:rsid w:val="005629FD"/>
    <w:rsid w:val="005631D3"/>
    <w:rsid w:val="005633C2"/>
    <w:rsid w:val="00563525"/>
    <w:rsid w:val="005636EA"/>
    <w:rsid w:val="00563A9C"/>
    <w:rsid w:val="00563CAF"/>
    <w:rsid w:val="00563CFA"/>
    <w:rsid w:val="00563D59"/>
    <w:rsid w:val="00563E54"/>
    <w:rsid w:val="00564661"/>
    <w:rsid w:val="00564BBB"/>
    <w:rsid w:val="00565465"/>
    <w:rsid w:val="00565818"/>
    <w:rsid w:val="00565D02"/>
    <w:rsid w:val="00565F5F"/>
    <w:rsid w:val="00566463"/>
    <w:rsid w:val="00566520"/>
    <w:rsid w:val="00566825"/>
    <w:rsid w:val="00566AB4"/>
    <w:rsid w:val="00566FA6"/>
    <w:rsid w:val="00566FCB"/>
    <w:rsid w:val="00567302"/>
    <w:rsid w:val="0056742F"/>
    <w:rsid w:val="005707E6"/>
    <w:rsid w:val="005710ED"/>
    <w:rsid w:val="005712AB"/>
    <w:rsid w:val="00571CB5"/>
    <w:rsid w:val="00571CF2"/>
    <w:rsid w:val="00571E8B"/>
    <w:rsid w:val="005722DF"/>
    <w:rsid w:val="0057239A"/>
    <w:rsid w:val="00572537"/>
    <w:rsid w:val="00572E60"/>
    <w:rsid w:val="0057311F"/>
    <w:rsid w:val="00573432"/>
    <w:rsid w:val="00573740"/>
    <w:rsid w:val="00573AF2"/>
    <w:rsid w:val="00574258"/>
    <w:rsid w:val="00574492"/>
    <w:rsid w:val="005749B3"/>
    <w:rsid w:val="00574FA6"/>
    <w:rsid w:val="00574FFC"/>
    <w:rsid w:val="00575D02"/>
    <w:rsid w:val="00576005"/>
    <w:rsid w:val="00576052"/>
    <w:rsid w:val="0057605D"/>
    <w:rsid w:val="00576EFB"/>
    <w:rsid w:val="0057732D"/>
    <w:rsid w:val="00577465"/>
    <w:rsid w:val="00577907"/>
    <w:rsid w:val="00577981"/>
    <w:rsid w:val="00577E7B"/>
    <w:rsid w:val="00580345"/>
    <w:rsid w:val="005809D7"/>
    <w:rsid w:val="00580AF4"/>
    <w:rsid w:val="00580CB4"/>
    <w:rsid w:val="00580E13"/>
    <w:rsid w:val="00580E29"/>
    <w:rsid w:val="00580F13"/>
    <w:rsid w:val="00581392"/>
    <w:rsid w:val="005814D6"/>
    <w:rsid w:val="00581B12"/>
    <w:rsid w:val="0058211C"/>
    <w:rsid w:val="0058231C"/>
    <w:rsid w:val="00582988"/>
    <w:rsid w:val="005830AA"/>
    <w:rsid w:val="00583A49"/>
    <w:rsid w:val="00583AAB"/>
    <w:rsid w:val="00585080"/>
    <w:rsid w:val="005850EA"/>
    <w:rsid w:val="00585261"/>
    <w:rsid w:val="00585886"/>
    <w:rsid w:val="00585C98"/>
    <w:rsid w:val="00585E73"/>
    <w:rsid w:val="00585F6D"/>
    <w:rsid w:val="005865E8"/>
    <w:rsid w:val="00586699"/>
    <w:rsid w:val="00587583"/>
    <w:rsid w:val="005876D9"/>
    <w:rsid w:val="005877A5"/>
    <w:rsid w:val="005878C3"/>
    <w:rsid w:val="0059033D"/>
    <w:rsid w:val="00590393"/>
    <w:rsid w:val="00590CDA"/>
    <w:rsid w:val="0059157F"/>
    <w:rsid w:val="005915CD"/>
    <w:rsid w:val="005916D7"/>
    <w:rsid w:val="005917B3"/>
    <w:rsid w:val="00592152"/>
    <w:rsid w:val="00592418"/>
    <w:rsid w:val="00592AE6"/>
    <w:rsid w:val="00592B53"/>
    <w:rsid w:val="00592E28"/>
    <w:rsid w:val="00592E94"/>
    <w:rsid w:val="00592E99"/>
    <w:rsid w:val="00593146"/>
    <w:rsid w:val="005936C7"/>
    <w:rsid w:val="0059372F"/>
    <w:rsid w:val="0059399B"/>
    <w:rsid w:val="00593C55"/>
    <w:rsid w:val="00594C10"/>
    <w:rsid w:val="00594E88"/>
    <w:rsid w:val="005954AC"/>
    <w:rsid w:val="005958D7"/>
    <w:rsid w:val="00595CBA"/>
    <w:rsid w:val="00595E3D"/>
    <w:rsid w:val="0059629E"/>
    <w:rsid w:val="00596411"/>
    <w:rsid w:val="0059651B"/>
    <w:rsid w:val="00596571"/>
    <w:rsid w:val="00596D0D"/>
    <w:rsid w:val="00596F1B"/>
    <w:rsid w:val="00596FD3"/>
    <w:rsid w:val="00597155"/>
    <w:rsid w:val="00597AB4"/>
    <w:rsid w:val="00597F32"/>
    <w:rsid w:val="005A00DA"/>
    <w:rsid w:val="005A04E9"/>
    <w:rsid w:val="005A09D9"/>
    <w:rsid w:val="005A0A18"/>
    <w:rsid w:val="005A0B59"/>
    <w:rsid w:val="005A0BF2"/>
    <w:rsid w:val="005A0DFB"/>
    <w:rsid w:val="005A10AC"/>
    <w:rsid w:val="005A12B0"/>
    <w:rsid w:val="005A1AF8"/>
    <w:rsid w:val="005A1C5E"/>
    <w:rsid w:val="005A27F7"/>
    <w:rsid w:val="005A2820"/>
    <w:rsid w:val="005A2849"/>
    <w:rsid w:val="005A290B"/>
    <w:rsid w:val="005A2AB2"/>
    <w:rsid w:val="005A2D79"/>
    <w:rsid w:val="005A32B6"/>
    <w:rsid w:val="005A32BC"/>
    <w:rsid w:val="005A38FF"/>
    <w:rsid w:val="005A3EC4"/>
    <w:rsid w:val="005A484E"/>
    <w:rsid w:val="005A4967"/>
    <w:rsid w:val="005A4A29"/>
    <w:rsid w:val="005A4AD9"/>
    <w:rsid w:val="005A4ED3"/>
    <w:rsid w:val="005A5727"/>
    <w:rsid w:val="005A5B1E"/>
    <w:rsid w:val="005A5F75"/>
    <w:rsid w:val="005A5F81"/>
    <w:rsid w:val="005A636A"/>
    <w:rsid w:val="005A6560"/>
    <w:rsid w:val="005A66FC"/>
    <w:rsid w:val="005A70B6"/>
    <w:rsid w:val="005A79CF"/>
    <w:rsid w:val="005A7D9A"/>
    <w:rsid w:val="005B0464"/>
    <w:rsid w:val="005B0659"/>
    <w:rsid w:val="005B0DDE"/>
    <w:rsid w:val="005B111E"/>
    <w:rsid w:val="005B1285"/>
    <w:rsid w:val="005B141C"/>
    <w:rsid w:val="005B145C"/>
    <w:rsid w:val="005B17CC"/>
    <w:rsid w:val="005B17F4"/>
    <w:rsid w:val="005B1CC9"/>
    <w:rsid w:val="005B1FC9"/>
    <w:rsid w:val="005B202F"/>
    <w:rsid w:val="005B2186"/>
    <w:rsid w:val="005B27A4"/>
    <w:rsid w:val="005B27B1"/>
    <w:rsid w:val="005B3002"/>
    <w:rsid w:val="005B3249"/>
    <w:rsid w:val="005B3463"/>
    <w:rsid w:val="005B3C71"/>
    <w:rsid w:val="005B4075"/>
    <w:rsid w:val="005B431E"/>
    <w:rsid w:val="005B460F"/>
    <w:rsid w:val="005B4890"/>
    <w:rsid w:val="005B4A51"/>
    <w:rsid w:val="005B4A97"/>
    <w:rsid w:val="005B5827"/>
    <w:rsid w:val="005B5A6C"/>
    <w:rsid w:val="005B654A"/>
    <w:rsid w:val="005B6B1A"/>
    <w:rsid w:val="005B6C5B"/>
    <w:rsid w:val="005B70C0"/>
    <w:rsid w:val="005B70ED"/>
    <w:rsid w:val="005B79B6"/>
    <w:rsid w:val="005B7D71"/>
    <w:rsid w:val="005C0140"/>
    <w:rsid w:val="005C05E2"/>
    <w:rsid w:val="005C06F3"/>
    <w:rsid w:val="005C09BB"/>
    <w:rsid w:val="005C0D27"/>
    <w:rsid w:val="005C0F93"/>
    <w:rsid w:val="005C10A9"/>
    <w:rsid w:val="005C1121"/>
    <w:rsid w:val="005C1155"/>
    <w:rsid w:val="005C1270"/>
    <w:rsid w:val="005C1BA9"/>
    <w:rsid w:val="005C1BF4"/>
    <w:rsid w:val="005C1CBF"/>
    <w:rsid w:val="005C266E"/>
    <w:rsid w:val="005C289F"/>
    <w:rsid w:val="005C3020"/>
    <w:rsid w:val="005C3075"/>
    <w:rsid w:val="005C34E2"/>
    <w:rsid w:val="005C3672"/>
    <w:rsid w:val="005C3753"/>
    <w:rsid w:val="005C3A6F"/>
    <w:rsid w:val="005C3B0C"/>
    <w:rsid w:val="005C3BDB"/>
    <w:rsid w:val="005C3C1A"/>
    <w:rsid w:val="005C3C3A"/>
    <w:rsid w:val="005C489D"/>
    <w:rsid w:val="005C4975"/>
    <w:rsid w:val="005C4AAB"/>
    <w:rsid w:val="005C538A"/>
    <w:rsid w:val="005C54D9"/>
    <w:rsid w:val="005C5630"/>
    <w:rsid w:val="005C56D4"/>
    <w:rsid w:val="005C5961"/>
    <w:rsid w:val="005C5CF1"/>
    <w:rsid w:val="005C5D5B"/>
    <w:rsid w:val="005C6CD0"/>
    <w:rsid w:val="005C7046"/>
    <w:rsid w:val="005C722E"/>
    <w:rsid w:val="005C7325"/>
    <w:rsid w:val="005C7445"/>
    <w:rsid w:val="005C74D5"/>
    <w:rsid w:val="005C765D"/>
    <w:rsid w:val="005C76D5"/>
    <w:rsid w:val="005C775D"/>
    <w:rsid w:val="005C7890"/>
    <w:rsid w:val="005D0171"/>
    <w:rsid w:val="005D0ACE"/>
    <w:rsid w:val="005D0FC6"/>
    <w:rsid w:val="005D12F7"/>
    <w:rsid w:val="005D17A3"/>
    <w:rsid w:val="005D18A5"/>
    <w:rsid w:val="005D1CEC"/>
    <w:rsid w:val="005D1EB7"/>
    <w:rsid w:val="005D245A"/>
    <w:rsid w:val="005D29E2"/>
    <w:rsid w:val="005D2B3F"/>
    <w:rsid w:val="005D2BB9"/>
    <w:rsid w:val="005D2EB6"/>
    <w:rsid w:val="005D3303"/>
    <w:rsid w:val="005D33F1"/>
    <w:rsid w:val="005D351F"/>
    <w:rsid w:val="005D3A29"/>
    <w:rsid w:val="005D3F71"/>
    <w:rsid w:val="005D3FB6"/>
    <w:rsid w:val="005D4440"/>
    <w:rsid w:val="005D457C"/>
    <w:rsid w:val="005D47D2"/>
    <w:rsid w:val="005D4E5E"/>
    <w:rsid w:val="005D57A8"/>
    <w:rsid w:val="005D57A9"/>
    <w:rsid w:val="005D5E09"/>
    <w:rsid w:val="005D6199"/>
    <w:rsid w:val="005D650A"/>
    <w:rsid w:val="005D6609"/>
    <w:rsid w:val="005D6CA7"/>
    <w:rsid w:val="005D6D2F"/>
    <w:rsid w:val="005D701B"/>
    <w:rsid w:val="005D7353"/>
    <w:rsid w:val="005D7699"/>
    <w:rsid w:val="005E0275"/>
    <w:rsid w:val="005E04CE"/>
    <w:rsid w:val="005E061F"/>
    <w:rsid w:val="005E076C"/>
    <w:rsid w:val="005E086B"/>
    <w:rsid w:val="005E0E83"/>
    <w:rsid w:val="005E14E8"/>
    <w:rsid w:val="005E193F"/>
    <w:rsid w:val="005E1AFB"/>
    <w:rsid w:val="005E1BC3"/>
    <w:rsid w:val="005E21EF"/>
    <w:rsid w:val="005E2C58"/>
    <w:rsid w:val="005E2DC9"/>
    <w:rsid w:val="005E3189"/>
    <w:rsid w:val="005E3426"/>
    <w:rsid w:val="005E35F5"/>
    <w:rsid w:val="005E3656"/>
    <w:rsid w:val="005E391D"/>
    <w:rsid w:val="005E3FFF"/>
    <w:rsid w:val="005E40BE"/>
    <w:rsid w:val="005E429E"/>
    <w:rsid w:val="005E4367"/>
    <w:rsid w:val="005E437D"/>
    <w:rsid w:val="005E43A3"/>
    <w:rsid w:val="005E4879"/>
    <w:rsid w:val="005E4DAE"/>
    <w:rsid w:val="005E539F"/>
    <w:rsid w:val="005E5557"/>
    <w:rsid w:val="005E5B83"/>
    <w:rsid w:val="005E5EF8"/>
    <w:rsid w:val="005E60B6"/>
    <w:rsid w:val="005E60DD"/>
    <w:rsid w:val="005E6208"/>
    <w:rsid w:val="005E6A74"/>
    <w:rsid w:val="005E716B"/>
    <w:rsid w:val="005E7357"/>
    <w:rsid w:val="005E7A5A"/>
    <w:rsid w:val="005F003E"/>
    <w:rsid w:val="005F00C3"/>
    <w:rsid w:val="005F02A3"/>
    <w:rsid w:val="005F031F"/>
    <w:rsid w:val="005F038D"/>
    <w:rsid w:val="005F03E1"/>
    <w:rsid w:val="005F0F4C"/>
    <w:rsid w:val="005F1303"/>
    <w:rsid w:val="005F144F"/>
    <w:rsid w:val="005F14F8"/>
    <w:rsid w:val="005F1CA1"/>
    <w:rsid w:val="005F209B"/>
    <w:rsid w:val="005F2105"/>
    <w:rsid w:val="005F264D"/>
    <w:rsid w:val="005F2723"/>
    <w:rsid w:val="005F2BE9"/>
    <w:rsid w:val="005F31DC"/>
    <w:rsid w:val="005F332F"/>
    <w:rsid w:val="005F350A"/>
    <w:rsid w:val="005F389B"/>
    <w:rsid w:val="005F3AB4"/>
    <w:rsid w:val="005F4202"/>
    <w:rsid w:val="005F4262"/>
    <w:rsid w:val="005F4858"/>
    <w:rsid w:val="005F4A23"/>
    <w:rsid w:val="005F4FBF"/>
    <w:rsid w:val="005F5876"/>
    <w:rsid w:val="005F608B"/>
    <w:rsid w:val="005F60A1"/>
    <w:rsid w:val="005F61CB"/>
    <w:rsid w:val="005F675A"/>
    <w:rsid w:val="005F69DE"/>
    <w:rsid w:val="005F6D08"/>
    <w:rsid w:val="005F6EDB"/>
    <w:rsid w:val="005F6EED"/>
    <w:rsid w:val="005F7061"/>
    <w:rsid w:val="005F7207"/>
    <w:rsid w:val="005F720D"/>
    <w:rsid w:val="005F739A"/>
    <w:rsid w:val="005F7FB1"/>
    <w:rsid w:val="0060049A"/>
    <w:rsid w:val="0060067F"/>
    <w:rsid w:val="0060069C"/>
    <w:rsid w:val="006007A8"/>
    <w:rsid w:val="0060172F"/>
    <w:rsid w:val="0060199C"/>
    <w:rsid w:val="00601DFC"/>
    <w:rsid w:val="00601FAE"/>
    <w:rsid w:val="00602837"/>
    <w:rsid w:val="006029EB"/>
    <w:rsid w:val="00602A2B"/>
    <w:rsid w:val="00602AEF"/>
    <w:rsid w:val="00602FE5"/>
    <w:rsid w:val="006030EB"/>
    <w:rsid w:val="00603ADD"/>
    <w:rsid w:val="00603E5F"/>
    <w:rsid w:val="00603E70"/>
    <w:rsid w:val="00603ECE"/>
    <w:rsid w:val="0060496C"/>
    <w:rsid w:val="00604A6D"/>
    <w:rsid w:val="00604AAE"/>
    <w:rsid w:val="00605262"/>
    <w:rsid w:val="0060542D"/>
    <w:rsid w:val="00605776"/>
    <w:rsid w:val="00605EDF"/>
    <w:rsid w:val="00606525"/>
    <w:rsid w:val="00606A29"/>
    <w:rsid w:val="00606C08"/>
    <w:rsid w:val="00607160"/>
    <w:rsid w:val="0060752C"/>
    <w:rsid w:val="0060779D"/>
    <w:rsid w:val="00607CC1"/>
    <w:rsid w:val="00607DEA"/>
    <w:rsid w:val="00607E49"/>
    <w:rsid w:val="006100BD"/>
    <w:rsid w:val="00610576"/>
    <w:rsid w:val="00610A2C"/>
    <w:rsid w:val="00610D97"/>
    <w:rsid w:val="006111E3"/>
    <w:rsid w:val="00611F02"/>
    <w:rsid w:val="00611F44"/>
    <w:rsid w:val="0061219C"/>
    <w:rsid w:val="0061294E"/>
    <w:rsid w:val="00612962"/>
    <w:rsid w:val="00612A9F"/>
    <w:rsid w:val="00612ED8"/>
    <w:rsid w:val="00612F48"/>
    <w:rsid w:val="00613D42"/>
    <w:rsid w:val="00613D8F"/>
    <w:rsid w:val="00613E00"/>
    <w:rsid w:val="00614E82"/>
    <w:rsid w:val="00614FE6"/>
    <w:rsid w:val="006154A8"/>
    <w:rsid w:val="006154FA"/>
    <w:rsid w:val="00615602"/>
    <w:rsid w:val="006159F0"/>
    <w:rsid w:val="00615BAC"/>
    <w:rsid w:val="00615C92"/>
    <w:rsid w:val="00616968"/>
    <w:rsid w:val="00616A8B"/>
    <w:rsid w:val="00616C50"/>
    <w:rsid w:val="00616C99"/>
    <w:rsid w:val="00616D2B"/>
    <w:rsid w:val="00616F8B"/>
    <w:rsid w:val="00617383"/>
    <w:rsid w:val="006174B3"/>
    <w:rsid w:val="00617598"/>
    <w:rsid w:val="00617846"/>
    <w:rsid w:val="00617BCE"/>
    <w:rsid w:val="006204A6"/>
    <w:rsid w:val="006211AC"/>
    <w:rsid w:val="00621FD3"/>
    <w:rsid w:val="0062229B"/>
    <w:rsid w:val="006223E5"/>
    <w:rsid w:val="006223EB"/>
    <w:rsid w:val="006223EC"/>
    <w:rsid w:val="0062286E"/>
    <w:rsid w:val="00622E0A"/>
    <w:rsid w:val="00622E9F"/>
    <w:rsid w:val="006230C9"/>
    <w:rsid w:val="006235A1"/>
    <w:rsid w:val="006235D3"/>
    <w:rsid w:val="006235FE"/>
    <w:rsid w:val="006236B0"/>
    <w:rsid w:val="006237A7"/>
    <w:rsid w:val="00623A60"/>
    <w:rsid w:val="00624011"/>
    <w:rsid w:val="00624352"/>
    <w:rsid w:val="006246E8"/>
    <w:rsid w:val="006255CB"/>
    <w:rsid w:val="0062590C"/>
    <w:rsid w:val="00625A46"/>
    <w:rsid w:val="00625F8E"/>
    <w:rsid w:val="00626002"/>
    <w:rsid w:val="00626166"/>
    <w:rsid w:val="00626174"/>
    <w:rsid w:val="00626724"/>
    <w:rsid w:val="0062673F"/>
    <w:rsid w:val="006267EB"/>
    <w:rsid w:val="0062685D"/>
    <w:rsid w:val="00627875"/>
    <w:rsid w:val="00627FA4"/>
    <w:rsid w:val="00630822"/>
    <w:rsid w:val="006308BB"/>
    <w:rsid w:val="006308CB"/>
    <w:rsid w:val="00630D1F"/>
    <w:rsid w:val="006316C7"/>
    <w:rsid w:val="00631A16"/>
    <w:rsid w:val="00631C60"/>
    <w:rsid w:val="00631CC0"/>
    <w:rsid w:val="00632130"/>
    <w:rsid w:val="006328C3"/>
    <w:rsid w:val="00632F26"/>
    <w:rsid w:val="0063311B"/>
    <w:rsid w:val="00633625"/>
    <w:rsid w:val="0063393F"/>
    <w:rsid w:val="006339E0"/>
    <w:rsid w:val="00633EB8"/>
    <w:rsid w:val="0063479B"/>
    <w:rsid w:val="00634D28"/>
    <w:rsid w:val="006352F2"/>
    <w:rsid w:val="0063575D"/>
    <w:rsid w:val="0063582B"/>
    <w:rsid w:val="00635AEF"/>
    <w:rsid w:val="00635C5E"/>
    <w:rsid w:val="0063622F"/>
    <w:rsid w:val="006368A2"/>
    <w:rsid w:val="00636BD2"/>
    <w:rsid w:val="00636DBC"/>
    <w:rsid w:val="00636EC1"/>
    <w:rsid w:val="00637033"/>
    <w:rsid w:val="006372DA"/>
    <w:rsid w:val="006373BB"/>
    <w:rsid w:val="006377AB"/>
    <w:rsid w:val="00637D8B"/>
    <w:rsid w:val="00640163"/>
    <w:rsid w:val="00640CCD"/>
    <w:rsid w:val="006410AB"/>
    <w:rsid w:val="00641278"/>
    <w:rsid w:val="006424E1"/>
    <w:rsid w:val="00642A2E"/>
    <w:rsid w:val="00642AE4"/>
    <w:rsid w:val="00642EC3"/>
    <w:rsid w:val="00642F62"/>
    <w:rsid w:val="00643486"/>
    <w:rsid w:val="006438B7"/>
    <w:rsid w:val="00643DE9"/>
    <w:rsid w:val="0064437C"/>
    <w:rsid w:val="0064493B"/>
    <w:rsid w:val="006453DF"/>
    <w:rsid w:val="00645728"/>
    <w:rsid w:val="0064629D"/>
    <w:rsid w:val="0064629E"/>
    <w:rsid w:val="006464A7"/>
    <w:rsid w:val="006464F2"/>
    <w:rsid w:val="0064684A"/>
    <w:rsid w:val="00646F57"/>
    <w:rsid w:val="00647234"/>
    <w:rsid w:val="00647894"/>
    <w:rsid w:val="00647A86"/>
    <w:rsid w:val="00647B3A"/>
    <w:rsid w:val="00647B40"/>
    <w:rsid w:val="00647BFC"/>
    <w:rsid w:val="0065015D"/>
    <w:rsid w:val="00650526"/>
    <w:rsid w:val="00650C62"/>
    <w:rsid w:val="00650D7C"/>
    <w:rsid w:val="00651103"/>
    <w:rsid w:val="00651499"/>
    <w:rsid w:val="006518AE"/>
    <w:rsid w:val="00651A61"/>
    <w:rsid w:val="0065275D"/>
    <w:rsid w:val="00652BE5"/>
    <w:rsid w:val="00652E02"/>
    <w:rsid w:val="00652E38"/>
    <w:rsid w:val="00653018"/>
    <w:rsid w:val="006531AB"/>
    <w:rsid w:val="006531E2"/>
    <w:rsid w:val="0065341E"/>
    <w:rsid w:val="00653699"/>
    <w:rsid w:val="006536D5"/>
    <w:rsid w:val="006542F9"/>
    <w:rsid w:val="006543D5"/>
    <w:rsid w:val="00655612"/>
    <w:rsid w:val="00655A4A"/>
    <w:rsid w:val="00655B3B"/>
    <w:rsid w:val="00655C8C"/>
    <w:rsid w:val="00655D5B"/>
    <w:rsid w:val="00655DC7"/>
    <w:rsid w:val="0065663C"/>
    <w:rsid w:val="006567D7"/>
    <w:rsid w:val="00656BD3"/>
    <w:rsid w:val="00656BEE"/>
    <w:rsid w:val="006577F3"/>
    <w:rsid w:val="00657828"/>
    <w:rsid w:val="006578D9"/>
    <w:rsid w:val="00660A1D"/>
    <w:rsid w:val="00661610"/>
    <w:rsid w:val="00661A7F"/>
    <w:rsid w:val="00661FA5"/>
    <w:rsid w:val="006625D9"/>
    <w:rsid w:val="00662B92"/>
    <w:rsid w:val="006631D2"/>
    <w:rsid w:val="00663640"/>
    <w:rsid w:val="006638A9"/>
    <w:rsid w:val="00663DA3"/>
    <w:rsid w:val="00664BFB"/>
    <w:rsid w:val="00665040"/>
    <w:rsid w:val="0066528C"/>
    <w:rsid w:val="0066555C"/>
    <w:rsid w:val="006659AD"/>
    <w:rsid w:val="006659CE"/>
    <w:rsid w:val="006659D8"/>
    <w:rsid w:val="00665CA6"/>
    <w:rsid w:val="00665E09"/>
    <w:rsid w:val="00666005"/>
    <w:rsid w:val="00666296"/>
    <w:rsid w:val="006665A3"/>
    <w:rsid w:val="00666B4B"/>
    <w:rsid w:val="00666E53"/>
    <w:rsid w:val="00666FA0"/>
    <w:rsid w:val="00667294"/>
    <w:rsid w:val="00667497"/>
    <w:rsid w:val="0066788C"/>
    <w:rsid w:val="00667B52"/>
    <w:rsid w:val="00667DD8"/>
    <w:rsid w:val="006708DC"/>
    <w:rsid w:val="00670B12"/>
    <w:rsid w:val="00670DD4"/>
    <w:rsid w:val="00670E3F"/>
    <w:rsid w:val="00670F12"/>
    <w:rsid w:val="00670FB0"/>
    <w:rsid w:val="006710A0"/>
    <w:rsid w:val="00671261"/>
    <w:rsid w:val="00671E78"/>
    <w:rsid w:val="00672040"/>
    <w:rsid w:val="006725A5"/>
    <w:rsid w:val="00672754"/>
    <w:rsid w:val="00672862"/>
    <w:rsid w:val="00672AEE"/>
    <w:rsid w:val="00672C4B"/>
    <w:rsid w:val="00672E12"/>
    <w:rsid w:val="0067312D"/>
    <w:rsid w:val="006732DF"/>
    <w:rsid w:val="00673302"/>
    <w:rsid w:val="006734C7"/>
    <w:rsid w:val="00673633"/>
    <w:rsid w:val="00673D6E"/>
    <w:rsid w:val="0067426E"/>
    <w:rsid w:val="0067433F"/>
    <w:rsid w:val="00674463"/>
    <w:rsid w:val="006748A4"/>
    <w:rsid w:val="00674C83"/>
    <w:rsid w:val="00674CCE"/>
    <w:rsid w:val="00674D9B"/>
    <w:rsid w:val="0067514D"/>
    <w:rsid w:val="00675503"/>
    <w:rsid w:val="00675A72"/>
    <w:rsid w:val="00675AA2"/>
    <w:rsid w:val="00675B69"/>
    <w:rsid w:val="00675CF8"/>
    <w:rsid w:val="006760BD"/>
    <w:rsid w:val="00676551"/>
    <w:rsid w:val="006765FC"/>
    <w:rsid w:val="00676911"/>
    <w:rsid w:val="00676DCF"/>
    <w:rsid w:val="006775BA"/>
    <w:rsid w:val="00677B57"/>
    <w:rsid w:val="00677DD2"/>
    <w:rsid w:val="00677E11"/>
    <w:rsid w:val="0068009B"/>
    <w:rsid w:val="006800F3"/>
    <w:rsid w:val="00680716"/>
    <w:rsid w:val="00680A9A"/>
    <w:rsid w:val="00680FF8"/>
    <w:rsid w:val="006812E8"/>
    <w:rsid w:val="006813FB"/>
    <w:rsid w:val="006819AC"/>
    <w:rsid w:val="00681A4C"/>
    <w:rsid w:val="00682393"/>
    <w:rsid w:val="00682EC4"/>
    <w:rsid w:val="00684BA4"/>
    <w:rsid w:val="00684ECE"/>
    <w:rsid w:val="0068501A"/>
    <w:rsid w:val="006863BB"/>
    <w:rsid w:val="0068648C"/>
    <w:rsid w:val="00686871"/>
    <w:rsid w:val="00686D94"/>
    <w:rsid w:val="0068735B"/>
    <w:rsid w:val="00687A68"/>
    <w:rsid w:val="0069047D"/>
    <w:rsid w:val="00690856"/>
    <w:rsid w:val="00690A7A"/>
    <w:rsid w:val="00690B59"/>
    <w:rsid w:val="00690F6F"/>
    <w:rsid w:val="00690FCA"/>
    <w:rsid w:val="0069152A"/>
    <w:rsid w:val="00691716"/>
    <w:rsid w:val="00691CB3"/>
    <w:rsid w:val="0069243E"/>
    <w:rsid w:val="00693120"/>
    <w:rsid w:val="006931CB"/>
    <w:rsid w:val="0069348C"/>
    <w:rsid w:val="00693755"/>
    <w:rsid w:val="006938BF"/>
    <w:rsid w:val="006939CE"/>
    <w:rsid w:val="00693CC7"/>
    <w:rsid w:val="00693CF9"/>
    <w:rsid w:val="006940EC"/>
    <w:rsid w:val="00694526"/>
    <w:rsid w:val="00694B6D"/>
    <w:rsid w:val="00694E26"/>
    <w:rsid w:val="00695164"/>
    <w:rsid w:val="00695E51"/>
    <w:rsid w:val="00695EA1"/>
    <w:rsid w:val="006964A9"/>
    <w:rsid w:val="00696D80"/>
    <w:rsid w:val="006971E0"/>
    <w:rsid w:val="006976ED"/>
    <w:rsid w:val="006A00EE"/>
    <w:rsid w:val="006A0133"/>
    <w:rsid w:val="006A02E1"/>
    <w:rsid w:val="006A0477"/>
    <w:rsid w:val="006A068C"/>
    <w:rsid w:val="006A0B4C"/>
    <w:rsid w:val="006A0D75"/>
    <w:rsid w:val="006A0FA1"/>
    <w:rsid w:val="006A1665"/>
    <w:rsid w:val="006A188F"/>
    <w:rsid w:val="006A1A16"/>
    <w:rsid w:val="006A1A67"/>
    <w:rsid w:val="006A1C0F"/>
    <w:rsid w:val="006A24AA"/>
    <w:rsid w:val="006A2807"/>
    <w:rsid w:val="006A2B8E"/>
    <w:rsid w:val="006A36DB"/>
    <w:rsid w:val="006A3A15"/>
    <w:rsid w:val="006A421F"/>
    <w:rsid w:val="006A4946"/>
    <w:rsid w:val="006A49D9"/>
    <w:rsid w:val="006A52C9"/>
    <w:rsid w:val="006A550C"/>
    <w:rsid w:val="006A5511"/>
    <w:rsid w:val="006A566E"/>
    <w:rsid w:val="006A57F8"/>
    <w:rsid w:val="006A5B46"/>
    <w:rsid w:val="006A5DD1"/>
    <w:rsid w:val="006A6142"/>
    <w:rsid w:val="006A68E0"/>
    <w:rsid w:val="006A6A85"/>
    <w:rsid w:val="006A6AFD"/>
    <w:rsid w:val="006A70C2"/>
    <w:rsid w:val="006A7757"/>
    <w:rsid w:val="006A77DD"/>
    <w:rsid w:val="006A78B0"/>
    <w:rsid w:val="006A7E2C"/>
    <w:rsid w:val="006B00B2"/>
    <w:rsid w:val="006B0549"/>
    <w:rsid w:val="006B05B0"/>
    <w:rsid w:val="006B0707"/>
    <w:rsid w:val="006B0A27"/>
    <w:rsid w:val="006B0ABE"/>
    <w:rsid w:val="006B0C2C"/>
    <w:rsid w:val="006B0DC8"/>
    <w:rsid w:val="006B0DF7"/>
    <w:rsid w:val="006B10FE"/>
    <w:rsid w:val="006B1196"/>
    <w:rsid w:val="006B1511"/>
    <w:rsid w:val="006B1886"/>
    <w:rsid w:val="006B19B5"/>
    <w:rsid w:val="006B1A66"/>
    <w:rsid w:val="006B1D63"/>
    <w:rsid w:val="006B1FCD"/>
    <w:rsid w:val="006B204F"/>
    <w:rsid w:val="006B2055"/>
    <w:rsid w:val="006B27A9"/>
    <w:rsid w:val="006B31AA"/>
    <w:rsid w:val="006B3E38"/>
    <w:rsid w:val="006B3EDA"/>
    <w:rsid w:val="006B42E0"/>
    <w:rsid w:val="006B46DC"/>
    <w:rsid w:val="006B4785"/>
    <w:rsid w:val="006B4984"/>
    <w:rsid w:val="006B4F51"/>
    <w:rsid w:val="006B4FE2"/>
    <w:rsid w:val="006B5128"/>
    <w:rsid w:val="006B577A"/>
    <w:rsid w:val="006B5F33"/>
    <w:rsid w:val="006B61F3"/>
    <w:rsid w:val="006B658A"/>
    <w:rsid w:val="006B6B3E"/>
    <w:rsid w:val="006B6D78"/>
    <w:rsid w:val="006B711E"/>
    <w:rsid w:val="006B750E"/>
    <w:rsid w:val="006B765C"/>
    <w:rsid w:val="006B79D8"/>
    <w:rsid w:val="006B7F2A"/>
    <w:rsid w:val="006C01EA"/>
    <w:rsid w:val="006C02BD"/>
    <w:rsid w:val="006C08B5"/>
    <w:rsid w:val="006C09EE"/>
    <w:rsid w:val="006C0D0A"/>
    <w:rsid w:val="006C0DF1"/>
    <w:rsid w:val="006C125D"/>
    <w:rsid w:val="006C12EF"/>
    <w:rsid w:val="006C1533"/>
    <w:rsid w:val="006C17A8"/>
    <w:rsid w:val="006C18A6"/>
    <w:rsid w:val="006C1907"/>
    <w:rsid w:val="006C1B57"/>
    <w:rsid w:val="006C1E6B"/>
    <w:rsid w:val="006C1F25"/>
    <w:rsid w:val="006C205A"/>
    <w:rsid w:val="006C23C6"/>
    <w:rsid w:val="006C27DC"/>
    <w:rsid w:val="006C2816"/>
    <w:rsid w:val="006C29C0"/>
    <w:rsid w:val="006C2DBC"/>
    <w:rsid w:val="006C2F77"/>
    <w:rsid w:val="006C39E0"/>
    <w:rsid w:val="006C46D8"/>
    <w:rsid w:val="006C47ED"/>
    <w:rsid w:val="006C4FBB"/>
    <w:rsid w:val="006C51C6"/>
    <w:rsid w:val="006C5474"/>
    <w:rsid w:val="006C5617"/>
    <w:rsid w:val="006C578F"/>
    <w:rsid w:val="006C5998"/>
    <w:rsid w:val="006C6247"/>
    <w:rsid w:val="006C64BA"/>
    <w:rsid w:val="006C71EC"/>
    <w:rsid w:val="006C772C"/>
    <w:rsid w:val="006C7778"/>
    <w:rsid w:val="006C783A"/>
    <w:rsid w:val="006C7C54"/>
    <w:rsid w:val="006D02A4"/>
    <w:rsid w:val="006D0A0F"/>
    <w:rsid w:val="006D0C83"/>
    <w:rsid w:val="006D11D0"/>
    <w:rsid w:val="006D1451"/>
    <w:rsid w:val="006D1DDF"/>
    <w:rsid w:val="006D1E04"/>
    <w:rsid w:val="006D2217"/>
    <w:rsid w:val="006D254B"/>
    <w:rsid w:val="006D25E4"/>
    <w:rsid w:val="006D29DF"/>
    <w:rsid w:val="006D2E38"/>
    <w:rsid w:val="006D31D8"/>
    <w:rsid w:val="006D3499"/>
    <w:rsid w:val="006D37B6"/>
    <w:rsid w:val="006D3995"/>
    <w:rsid w:val="006D3A88"/>
    <w:rsid w:val="006D3EBC"/>
    <w:rsid w:val="006D41C6"/>
    <w:rsid w:val="006D43A0"/>
    <w:rsid w:val="006D48C3"/>
    <w:rsid w:val="006D4DAA"/>
    <w:rsid w:val="006D573E"/>
    <w:rsid w:val="006D5CA8"/>
    <w:rsid w:val="006D5FE9"/>
    <w:rsid w:val="006D6155"/>
    <w:rsid w:val="006D6289"/>
    <w:rsid w:val="006D65C0"/>
    <w:rsid w:val="006D6981"/>
    <w:rsid w:val="006D6D7F"/>
    <w:rsid w:val="006D756F"/>
    <w:rsid w:val="006D7B38"/>
    <w:rsid w:val="006D7CD4"/>
    <w:rsid w:val="006D7EC2"/>
    <w:rsid w:val="006E0314"/>
    <w:rsid w:val="006E060B"/>
    <w:rsid w:val="006E0C2C"/>
    <w:rsid w:val="006E0D8B"/>
    <w:rsid w:val="006E0FC9"/>
    <w:rsid w:val="006E1396"/>
    <w:rsid w:val="006E1427"/>
    <w:rsid w:val="006E1CFA"/>
    <w:rsid w:val="006E1E65"/>
    <w:rsid w:val="006E220B"/>
    <w:rsid w:val="006E267A"/>
    <w:rsid w:val="006E2AE2"/>
    <w:rsid w:val="006E32F9"/>
    <w:rsid w:val="006E3A20"/>
    <w:rsid w:val="006E4151"/>
    <w:rsid w:val="006E4B3F"/>
    <w:rsid w:val="006E5215"/>
    <w:rsid w:val="006E5CAD"/>
    <w:rsid w:val="006E5E4D"/>
    <w:rsid w:val="006E6181"/>
    <w:rsid w:val="006E64DC"/>
    <w:rsid w:val="006E652E"/>
    <w:rsid w:val="006E6A18"/>
    <w:rsid w:val="006E6B9A"/>
    <w:rsid w:val="006E6C78"/>
    <w:rsid w:val="006E6DAA"/>
    <w:rsid w:val="006E762A"/>
    <w:rsid w:val="006E7951"/>
    <w:rsid w:val="006F15C1"/>
    <w:rsid w:val="006F1692"/>
    <w:rsid w:val="006F17A7"/>
    <w:rsid w:val="006F2221"/>
    <w:rsid w:val="006F233B"/>
    <w:rsid w:val="006F2395"/>
    <w:rsid w:val="006F253B"/>
    <w:rsid w:val="006F28D6"/>
    <w:rsid w:val="006F2BAB"/>
    <w:rsid w:val="006F2D6C"/>
    <w:rsid w:val="006F2DFB"/>
    <w:rsid w:val="006F328D"/>
    <w:rsid w:val="006F344F"/>
    <w:rsid w:val="006F368A"/>
    <w:rsid w:val="006F459A"/>
    <w:rsid w:val="006F4C63"/>
    <w:rsid w:val="006F4E06"/>
    <w:rsid w:val="006F5174"/>
    <w:rsid w:val="006F5244"/>
    <w:rsid w:val="006F5A9F"/>
    <w:rsid w:val="006F5B5C"/>
    <w:rsid w:val="006F5D8B"/>
    <w:rsid w:val="006F5F07"/>
    <w:rsid w:val="006F6062"/>
    <w:rsid w:val="006F61D3"/>
    <w:rsid w:val="006F6249"/>
    <w:rsid w:val="006F6D75"/>
    <w:rsid w:val="006F75DF"/>
    <w:rsid w:val="006F76EE"/>
    <w:rsid w:val="006F7A21"/>
    <w:rsid w:val="006F7D08"/>
    <w:rsid w:val="00700F0D"/>
    <w:rsid w:val="00701180"/>
    <w:rsid w:val="007014E5"/>
    <w:rsid w:val="00701955"/>
    <w:rsid w:val="00701D2F"/>
    <w:rsid w:val="00702043"/>
    <w:rsid w:val="00702584"/>
    <w:rsid w:val="0070261F"/>
    <w:rsid w:val="00702D06"/>
    <w:rsid w:val="00702DDD"/>
    <w:rsid w:val="00703565"/>
    <w:rsid w:val="007038C9"/>
    <w:rsid w:val="00703A1B"/>
    <w:rsid w:val="00703A89"/>
    <w:rsid w:val="00703D91"/>
    <w:rsid w:val="00703E5F"/>
    <w:rsid w:val="0070443E"/>
    <w:rsid w:val="00704710"/>
    <w:rsid w:val="00704D5C"/>
    <w:rsid w:val="007051BC"/>
    <w:rsid w:val="007052FD"/>
    <w:rsid w:val="00705A8C"/>
    <w:rsid w:val="00705C78"/>
    <w:rsid w:val="00705EB0"/>
    <w:rsid w:val="00706015"/>
    <w:rsid w:val="0070629E"/>
    <w:rsid w:val="00706770"/>
    <w:rsid w:val="00706D0A"/>
    <w:rsid w:val="007071A1"/>
    <w:rsid w:val="0070743F"/>
    <w:rsid w:val="00707473"/>
    <w:rsid w:val="007076E7"/>
    <w:rsid w:val="007077A0"/>
    <w:rsid w:val="00707903"/>
    <w:rsid w:val="00707D13"/>
    <w:rsid w:val="0071019C"/>
    <w:rsid w:val="00710A6C"/>
    <w:rsid w:val="00710AE6"/>
    <w:rsid w:val="007118D0"/>
    <w:rsid w:val="00711A2D"/>
    <w:rsid w:val="00711A42"/>
    <w:rsid w:val="00711DA7"/>
    <w:rsid w:val="00711E00"/>
    <w:rsid w:val="00712132"/>
    <w:rsid w:val="00712188"/>
    <w:rsid w:val="0071226D"/>
    <w:rsid w:val="007128F7"/>
    <w:rsid w:val="00712F4C"/>
    <w:rsid w:val="00712F64"/>
    <w:rsid w:val="007131AC"/>
    <w:rsid w:val="0071385D"/>
    <w:rsid w:val="0071396D"/>
    <w:rsid w:val="007139E4"/>
    <w:rsid w:val="007141AB"/>
    <w:rsid w:val="00714324"/>
    <w:rsid w:val="007145FF"/>
    <w:rsid w:val="007148B2"/>
    <w:rsid w:val="00714B5A"/>
    <w:rsid w:val="00715712"/>
    <w:rsid w:val="00715764"/>
    <w:rsid w:val="0071589D"/>
    <w:rsid w:val="00715BE7"/>
    <w:rsid w:val="00715CD0"/>
    <w:rsid w:val="00716185"/>
    <w:rsid w:val="00716634"/>
    <w:rsid w:val="007166D1"/>
    <w:rsid w:val="00716853"/>
    <w:rsid w:val="00716AE4"/>
    <w:rsid w:val="00717537"/>
    <w:rsid w:val="00717613"/>
    <w:rsid w:val="007176C7"/>
    <w:rsid w:val="00717762"/>
    <w:rsid w:val="00717ED2"/>
    <w:rsid w:val="00720732"/>
    <w:rsid w:val="00720F58"/>
    <w:rsid w:val="00721B7E"/>
    <w:rsid w:val="00721ED2"/>
    <w:rsid w:val="0072254D"/>
    <w:rsid w:val="007229F5"/>
    <w:rsid w:val="00722C2F"/>
    <w:rsid w:val="00723534"/>
    <w:rsid w:val="0072354A"/>
    <w:rsid w:val="00723684"/>
    <w:rsid w:val="0072396A"/>
    <w:rsid w:val="00723B4C"/>
    <w:rsid w:val="00723CA3"/>
    <w:rsid w:val="00723D60"/>
    <w:rsid w:val="00723DFE"/>
    <w:rsid w:val="00723F5F"/>
    <w:rsid w:val="0072445F"/>
    <w:rsid w:val="007246D1"/>
    <w:rsid w:val="007248EA"/>
    <w:rsid w:val="007253FC"/>
    <w:rsid w:val="007255C5"/>
    <w:rsid w:val="007257DB"/>
    <w:rsid w:val="00726D67"/>
    <w:rsid w:val="00726EBF"/>
    <w:rsid w:val="00726F6C"/>
    <w:rsid w:val="007270DD"/>
    <w:rsid w:val="00727190"/>
    <w:rsid w:val="00727265"/>
    <w:rsid w:val="0072746F"/>
    <w:rsid w:val="00727ED3"/>
    <w:rsid w:val="00727F81"/>
    <w:rsid w:val="0073051C"/>
    <w:rsid w:val="007307A4"/>
    <w:rsid w:val="007307A9"/>
    <w:rsid w:val="00730851"/>
    <w:rsid w:val="00730E86"/>
    <w:rsid w:val="00730F93"/>
    <w:rsid w:val="00730FE1"/>
    <w:rsid w:val="0073119D"/>
    <w:rsid w:val="007311B6"/>
    <w:rsid w:val="00731490"/>
    <w:rsid w:val="00731C66"/>
    <w:rsid w:val="00731D6D"/>
    <w:rsid w:val="00731E36"/>
    <w:rsid w:val="0073260B"/>
    <w:rsid w:val="007328D5"/>
    <w:rsid w:val="00732900"/>
    <w:rsid w:val="00732EDC"/>
    <w:rsid w:val="00733125"/>
    <w:rsid w:val="0073319B"/>
    <w:rsid w:val="0073331C"/>
    <w:rsid w:val="00733358"/>
    <w:rsid w:val="0073356C"/>
    <w:rsid w:val="0073394E"/>
    <w:rsid w:val="00734056"/>
    <w:rsid w:val="00734331"/>
    <w:rsid w:val="007343BD"/>
    <w:rsid w:val="00734999"/>
    <w:rsid w:val="00734D04"/>
    <w:rsid w:val="00734F2B"/>
    <w:rsid w:val="00734FF6"/>
    <w:rsid w:val="007354A2"/>
    <w:rsid w:val="007357B6"/>
    <w:rsid w:val="007357D9"/>
    <w:rsid w:val="00735B59"/>
    <w:rsid w:val="00735D81"/>
    <w:rsid w:val="00736491"/>
    <w:rsid w:val="00736572"/>
    <w:rsid w:val="00736A61"/>
    <w:rsid w:val="00736BE1"/>
    <w:rsid w:val="00737387"/>
    <w:rsid w:val="00737394"/>
    <w:rsid w:val="00737C63"/>
    <w:rsid w:val="00737F2A"/>
    <w:rsid w:val="00740AD8"/>
    <w:rsid w:val="00740B3A"/>
    <w:rsid w:val="00740CCF"/>
    <w:rsid w:val="00740F04"/>
    <w:rsid w:val="0074117F"/>
    <w:rsid w:val="00741630"/>
    <w:rsid w:val="00741929"/>
    <w:rsid w:val="00741B30"/>
    <w:rsid w:val="00741F3E"/>
    <w:rsid w:val="00741FBB"/>
    <w:rsid w:val="00742418"/>
    <w:rsid w:val="007424BD"/>
    <w:rsid w:val="00742669"/>
    <w:rsid w:val="0074275A"/>
    <w:rsid w:val="00743331"/>
    <w:rsid w:val="00743340"/>
    <w:rsid w:val="00743C9A"/>
    <w:rsid w:val="007440F2"/>
    <w:rsid w:val="007442F7"/>
    <w:rsid w:val="00745086"/>
    <w:rsid w:val="007450E7"/>
    <w:rsid w:val="00745388"/>
    <w:rsid w:val="0074551E"/>
    <w:rsid w:val="00745E9B"/>
    <w:rsid w:val="00746178"/>
    <w:rsid w:val="0074631E"/>
    <w:rsid w:val="007463A8"/>
    <w:rsid w:val="00746756"/>
    <w:rsid w:val="007469EF"/>
    <w:rsid w:val="00746BF7"/>
    <w:rsid w:val="00746E13"/>
    <w:rsid w:val="00746EF6"/>
    <w:rsid w:val="0074779D"/>
    <w:rsid w:val="00747B0F"/>
    <w:rsid w:val="00747DA4"/>
    <w:rsid w:val="00747E8C"/>
    <w:rsid w:val="00750BE9"/>
    <w:rsid w:val="00751273"/>
    <w:rsid w:val="0075164E"/>
    <w:rsid w:val="00751E0E"/>
    <w:rsid w:val="00751EB5"/>
    <w:rsid w:val="0075212A"/>
    <w:rsid w:val="007524BF"/>
    <w:rsid w:val="00752510"/>
    <w:rsid w:val="007525B8"/>
    <w:rsid w:val="00753013"/>
    <w:rsid w:val="007532B6"/>
    <w:rsid w:val="00753C13"/>
    <w:rsid w:val="00753F73"/>
    <w:rsid w:val="0075421D"/>
    <w:rsid w:val="007547E8"/>
    <w:rsid w:val="00754857"/>
    <w:rsid w:val="00754BBA"/>
    <w:rsid w:val="007552BF"/>
    <w:rsid w:val="007554F3"/>
    <w:rsid w:val="00755BC6"/>
    <w:rsid w:val="007566EB"/>
    <w:rsid w:val="0075692C"/>
    <w:rsid w:val="00756B8A"/>
    <w:rsid w:val="00756FDB"/>
    <w:rsid w:val="007572E0"/>
    <w:rsid w:val="007574A7"/>
    <w:rsid w:val="007574F7"/>
    <w:rsid w:val="00760537"/>
    <w:rsid w:val="007607E2"/>
    <w:rsid w:val="0076115C"/>
    <w:rsid w:val="007611FD"/>
    <w:rsid w:val="00761402"/>
    <w:rsid w:val="00761745"/>
    <w:rsid w:val="007618F6"/>
    <w:rsid w:val="0076196D"/>
    <w:rsid w:val="00761D2D"/>
    <w:rsid w:val="00762370"/>
    <w:rsid w:val="007631D7"/>
    <w:rsid w:val="007635E3"/>
    <w:rsid w:val="007636F2"/>
    <w:rsid w:val="007638A1"/>
    <w:rsid w:val="00763E8D"/>
    <w:rsid w:val="00764424"/>
    <w:rsid w:val="00764675"/>
    <w:rsid w:val="007647A8"/>
    <w:rsid w:val="007647C0"/>
    <w:rsid w:val="00765020"/>
    <w:rsid w:val="00765C17"/>
    <w:rsid w:val="00765E85"/>
    <w:rsid w:val="007660CD"/>
    <w:rsid w:val="0076641D"/>
    <w:rsid w:val="007665A6"/>
    <w:rsid w:val="007666FB"/>
    <w:rsid w:val="007669C1"/>
    <w:rsid w:val="00766ECC"/>
    <w:rsid w:val="007671F0"/>
    <w:rsid w:val="00767515"/>
    <w:rsid w:val="00767757"/>
    <w:rsid w:val="0076786F"/>
    <w:rsid w:val="00767B5C"/>
    <w:rsid w:val="00767C54"/>
    <w:rsid w:val="0077063D"/>
    <w:rsid w:val="00770B68"/>
    <w:rsid w:val="0077148F"/>
    <w:rsid w:val="0077153E"/>
    <w:rsid w:val="007716E4"/>
    <w:rsid w:val="00771AFD"/>
    <w:rsid w:val="00771BD8"/>
    <w:rsid w:val="007720D5"/>
    <w:rsid w:val="00772BD8"/>
    <w:rsid w:val="0077307C"/>
    <w:rsid w:val="007730AF"/>
    <w:rsid w:val="007734A3"/>
    <w:rsid w:val="0077374A"/>
    <w:rsid w:val="007738EF"/>
    <w:rsid w:val="00773B65"/>
    <w:rsid w:val="007740C7"/>
    <w:rsid w:val="007742D7"/>
    <w:rsid w:val="00774314"/>
    <w:rsid w:val="0077432A"/>
    <w:rsid w:val="0077438D"/>
    <w:rsid w:val="0077461F"/>
    <w:rsid w:val="007748F1"/>
    <w:rsid w:val="00775442"/>
    <w:rsid w:val="00775A0F"/>
    <w:rsid w:val="007760FC"/>
    <w:rsid w:val="007761E5"/>
    <w:rsid w:val="0077648F"/>
    <w:rsid w:val="00776F3C"/>
    <w:rsid w:val="0077731F"/>
    <w:rsid w:val="007773F8"/>
    <w:rsid w:val="00777BA2"/>
    <w:rsid w:val="007805FF"/>
    <w:rsid w:val="00780866"/>
    <w:rsid w:val="007808DC"/>
    <w:rsid w:val="00780C5E"/>
    <w:rsid w:val="007811D3"/>
    <w:rsid w:val="00781736"/>
    <w:rsid w:val="0078183D"/>
    <w:rsid w:val="0078187D"/>
    <w:rsid w:val="00781B8C"/>
    <w:rsid w:val="007821D1"/>
    <w:rsid w:val="00782272"/>
    <w:rsid w:val="007828BA"/>
    <w:rsid w:val="0078353D"/>
    <w:rsid w:val="007837A4"/>
    <w:rsid w:val="007838FF"/>
    <w:rsid w:val="00783B1F"/>
    <w:rsid w:val="007841D7"/>
    <w:rsid w:val="007847B9"/>
    <w:rsid w:val="0078490F"/>
    <w:rsid w:val="007851FC"/>
    <w:rsid w:val="007853A9"/>
    <w:rsid w:val="0078542F"/>
    <w:rsid w:val="00785ACB"/>
    <w:rsid w:val="00785CB3"/>
    <w:rsid w:val="00785D34"/>
    <w:rsid w:val="00785DD7"/>
    <w:rsid w:val="00786216"/>
    <w:rsid w:val="007863D2"/>
    <w:rsid w:val="0078766B"/>
    <w:rsid w:val="0078778C"/>
    <w:rsid w:val="00787A54"/>
    <w:rsid w:val="00787AFE"/>
    <w:rsid w:val="00787E9D"/>
    <w:rsid w:val="0079003B"/>
    <w:rsid w:val="00790209"/>
    <w:rsid w:val="0079089E"/>
    <w:rsid w:val="007909DF"/>
    <w:rsid w:val="00790A09"/>
    <w:rsid w:val="00790BB1"/>
    <w:rsid w:val="007912BE"/>
    <w:rsid w:val="0079133A"/>
    <w:rsid w:val="007916D1"/>
    <w:rsid w:val="00791B60"/>
    <w:rsid w:val="00791C69"/>
    <w:rsid w:val="00791C7A"/>
    <w:rsid w:val="00791DA9"/>
    <w:rsid w:val="0079230A"/>
    <w:rsid w:val="00792531"/>
    <w:rsid w:val="00792879"/>
    <w:rsid w:val="007933CA"/>
    <w:rsid w:val="00793542"/>
    <w:rsid w:val="007939CE"/>
    <w:rsid w:val="00793AA1"/>
    <w:rsid w:val="00793AEC"/>
    <w:rsid w:val="00794168"/>
    <w:rsid w:val="00794793"/>
    <w:rsid w:val="00794858"/>
    <w:rsid w:val="00794A80"/>
    <w:rsid w:val="00794BC3"/>
    <w:rsid w:val="00794DB6"/>
    <w:rsid w:val="00795060"/>
    <w:rsid w:val="0079530F"/>
    <w:rsid w:val="00795726"/>
    <w:rsid w:val="00795D55"/>
    <w:rsid w:val="0079611E"/>
    <w:rsid w:val="00796597"/>
    <w:rsid w:val="007967EA"/>
    <w:rsid w:val="00796CF9"/>
    <w:rsid w:val="0079795D"/>
    <w:rsid w:val="007979DE"/>
    <w:rsid w:val="00797A81"/>
    <w:rsid w:val="00797EB4"/>
    <w:rsid w:val="007A0187"/>
    <w:rsid w:val="007A022C"/>
    <w:rsid w:val="007A042B"/>
    <w:rsid w:val="007A08D8"/>
    <w:rsid w:val="007A0ECD"/>
    <w:rsid w:val="007A12FD"/>
    <w:rsid w:val="007A17B9"/>
    <w:rsid w:val="007A1D15"/>
    <w:rsid w:val="007A2196"/>
    <w:rsid w:val="007A21CC"/>
    <w:rsid w:val="007A285D"/>
    <w:rsid w:val="007A3271"/>
    <w:rsid w:val="007A3282"/>
    <w:rsid w:val="007A38A3"/>
    <w:rsid w:val="007A4116"/>
    <w:rsid w:val="007A4666"/>
    <w:rsid w:val="007A4879"/>
    <w:rsid w:val="007A4D58"/>
    <w:rsid w:val="007A5225"/>
    <w:rsid w:val="007A53E7"/>
    <w:rsid w:val="007A59C0"/>
    <w:rsid w:val="007A6D19"/>
    <w:rsid w:val="007A6DBF"/>
    <w:rsid w:val="007A723C"/>
    <w:rsid w:val="007A76EE"/>
    <w:rsid w:val="007B02B3"/>
    <w:rsid w:val="007B08A3"/>
    <w:rsid w:val="007B1807"/>
    <w:rsid w:val="007B25B2"/>
    <w:rsid w:val="007B26E6"/>
    <w:rsid w:val="007B2830"/>
    <w:rsid w:val="007B2B3A"/>
    <w:rsid w:val="007B2D74"/>
    <w:rsid w:val="007B35B2"/>
    <w:rsid w:val="007B39EC"/>
    <w:rsid w:val="007B3E45"/>
    <w:rsid w:val="007B3FDC"/>
    <w:rsid w:val="007B40A7"/>
    <w:rsid w:val="007B4632"/>
    <w:rsid w:val="007B4864"/>
    <w:rsid w:val="007B4BC2"/>
    <w:rsid w:val="007B4FF2"/>
    <w:rsid w:val="007B50D9"/>
    <w:rsid w:val="007B5422"/>
    <w:rsid w:val="007B544E"/>
    <w:rsid w:val="007B569B"/>
    <w:rsid w:val="007B58CB"/>
    <w:rsid w:val="007B6037"/>
    <w:rsid w:val="007B6130"/>
    <w:rsid w:val="007B61E0"/>
    <w:rsid w:val="007B6C74"/>
    <w:rsid w:val="007B6D53"/>
    <w:rsid w:val="007B6E81"/>
    <w:rsid w:val="007B7859"/>
    <w:rsid w:val="007B7B24"/>
    <w:rsid w:val="007B7E42"/>
    <w:rsid w:val="007C0006"/>
    <w:rsid w:val="007C018C"/>
    <w:rsid w:val="007C0436"/>
    <w:rsid w:val="007C050B"/>
    <w:rsid w:val="007C0A56"/>
    <w:rsid w:val="007C0C7E"/>
    <w:rsid w:val="007C16FC"/>
    <w:rsid w:val="007C204E"/>
    <w:rsid w:val="007C2548"/>
    <w:rsid w:val="007C25E3"/>
    <w:rsid w:val="007C2995"/>
    <w:rsid w:val="007C2B41"/>
    <w:rsid w:val="007C31B6"/>
    <w:rsid w:val="007C31EA"/>
    <w:rsid w:val="007C3973"/>
    <w:rsid w:val="007C3B68"/>
    <w:rsid w:val="007C3CF6"/>
    <w:rsid w:val="007C41AC"/>
    <w:rsid w:val="007C444F"/>
    <w:rsid w:val="007C4888"/>
    <w:rsid w:val="007C48B8"/>
    <w:rsid w:val="007C496F"/>
    <w:rsid w:val="007C4975"/>
    <w:rsid w:val="007C4EC6"/>
    <w:rsid w:val="007C5060"/>
    <w:rsid w:val="007C5122"/>
    <w:rsid w:val="007C5535"/>
    <w:rsid w:val="007C58D1"/>
    <w:rsid w:val="007C679B"/>
    <w:rsid w:val="007C68DD"/>
    <w:rsid w:val="007C6994"/>
    <w:rsid w:val="007C6D5A"/>
    <w:rsid w:val="007C6F2B"/>
    <w:rsid w:val="007C73F0"/>
    <w:rsid w:val="007C7445"/>
    <w:rsid w:val="007C74B0"/>
    <w:rsid w:val="007C74D0"/>
    <w:rsid w:val="007C7FF1"/>
    <w:rsid w:val="007D008E"/>
    <w:rsid w:val="007D118A"/>
    <w:rsid w:val="007D1B54"/>
    <w:rsid w:val="007D24E1"/>
    <w:rsid w:val="007D2730"/>
    <w:rsid w:val="007D28B4"/>
    <w:rsid w:val="007D3796"/>
    <w:rsid w:val="007D3913"/>
    <w:rsid w:val="007D3B66"/>
    <w:rsid w:val="007D3F08"/>
    <w:rsid w:val="007D3F2C"/>
    <w:rsid w:val="007D40D8"/>
    <w:rsid w:val="007D46A0"/>
    <w:rsid w:val="007D46CD"/>
    <w:rsid w:val="007D48DC"/>
    <w:rsid w:val="007D4A13"/>
    <w:rsid w:val="007D4DCB"/>
    <w:rsid w:val="007D4E33"/>
    <w:rsid w:val="007D4F2B"/>
    <w:rsid w:val="007D50CA"/>
    <w:rsid w:val="007D53EB"/>
    <w:rsid w:val="007D54BB"/>
    <w:rsid w:val="007D54E6"/>
    <w:rsid w:val="007D54F0"/>
    <w:rsid w:val="007D5664"/>
    <w:rsid w:val="007D5EB6"/>
    <w:rsid w:val="007D5FF7"/>
    <w:rsid w:val="007D60AF"/>
    <w:rsid w:val="007D618C"/>
    <w:rsid w:val="007D66C0"/>
    <w:rsid w:val="007D67F5"/>
    <w:rsid w:val="007D73CB"/>
    <w:rsid w:val="007D7589"/>
    <w:rsid w:val="007D7CA9"/>
    <w:rsid w:val="007E05B6"/>
    <w:rsid w:val="007E07A1"/>
    <w:rsid w:val="007E0BE1"/>
    <w:rsid w:val="007E0EDD"/>
    <w:rsid w:val="007E117B"/>
    <w:rsid w:val="007E132E"/>
    <w:rsid w:val="007E169A"/>
    <w:rsid w:val="007E1A93"/>
    <w:rsid w:val="007E208F"/>
    <w:rsid w:val="007E258E"/>
    <w:rsid w:val="007E265D"/>
    <w:rsid w:val="007E2751"/>
    <w:rsid w:val="007E2781"/>
    <w:rsid w:val="007E2828"/>
    <w:rsid w:val="007E32B1"/>
    <w:rsid w:val="007E35A4"/>
    <w:rsid w:val="007E38F2"/>
    <w:rsid w:val="007E3E15"/>
    <w:rsid w:val="007E3E27"/>
    <w:rsid w:val="007E3FFF"/>
    <w:rsid w:val="007E460E"/>
    <w:rsid w:val="007E4A20"/>
    <w:rsid w:val="007E4D05"/>
    <w:rsid w:val="007E50FA"/>
    <w:rsid w:val="007E5190"/>
    <w:rsid w:val="007E51A9"/>
    <w:rsid w:val="007E6501"/>
    <w:rsid w:val="007E6531"/>
    <w:rsid w:val="007E6C0D"/>
    <w:rsid w:val="007E73CF"/>
    <w:rsid w:val="007E7511"/>
    <w:rsid w:val="007E75A2"/>
    <w:rsid w:val="007E77B4"/>
    <w:rsid w:val="007E7990"/>
    <w:rsid w:val="007F0F43"/>
    <w:rsid w:val="007F126B"/>
    <w:rsid w:val="007F1761"/>
    <w:rsid w:val="007F1AF5"/>
    <w:rsid w:val="007F281A"/>
    <w:rsid w:val="007F29E4"/>
    <w:rsid w:val="007F2A5E"/>
    <w:rsid w:val="007F34C8"/>
    <w:rsid w:val="007F3E5A"/>
    <w:rsid w:val="007F3E6D"/>
    <w:rsid w:val="007F479F"/>
    <w:rsid w:val="007F499C"/>
    <w:rsid w:val="007F4B3A"/>
    <w:rsid w:val="007F5769"/>
    <w:rsid w:val="007F5BE0"/>
    <w:rsid w:val="007F603F"/>
    <w:rsid w:val="007F6158"/>
    <w:rsid w:val="007F635D"/>
    <w:rsid w:val="007F6845"/>
    <w:rsid w:val="007F73BC"/>
    <w:rsid w:val="007F774D"/>
    <w:rsid w:val="007F78B8"/>
    <w:rsid w:val="007F7D98"/>
    <w:rsid w:val="007F7FFC"/>
    <w:rsid w:val="008004C8"/>
    <w:rsid w:val="00800ACA"/>
    <w:rsid w:val="00800FC9"/>
    <w:rsid w:val="0080138B"/>
    <w:rsid w:val="00802572"/>
    <w:rsid w:val="0080266B"/>
    <w:rsid w:val="00803393"/>
    <w:rsid w:val="0080357B"/>
    <w:rsid w:val="0080395A"/>
    <w:rsid w:val="00803E79"/>
    <w:rsid w:val="008041E8"/>
    <w:rsid w:val="008045AB"/>
    <w:rsid w:val="00804605"/>
    <w:rsid w:val="00804903"/>
    <w:rsid w:val="00804B3F"/>
    <w:rsid w:val="00804DC6"/>
    <w:rsid w:val="008054C4"/>
    <w:rsid w:val="008063EE"/>
    <w:rsid w:val="008064FD"/>
    <w:rsid w:val="00806725"/>
    <w:rsid w:val="00806756"/>
    <w:rsid w:val="00806AB7"/>
    <w:rsid w:val="008070DF"/>
    <w:rsid w:val="008078BF"/>
    <w:rsid w:val="0080791E"/>
    <w:rsid w:val="00807BA6"/>
    <w:rsid w:val="00807DEE"/>
    <w:rsid w:val="00807F4C"/>
    <w:rsid w:val="00810327"/>
    <w:rsid w:val="008107BB"/>
    <w:rsid w:val="00810859"/>
    <w:rsid w:val="008108FF"/>
    <w:rsid w:val="00810CCC"/>
    <w:rsid w:val="00810CDC"/>
    <w:rsid w:val="00810F2B"/>
    <w:rsid w:val="00811572"/>
    <w:rsid w:val="008115E3"/>
    <w:rsid w:val="00811669"/>
    <w:rsid w:val="00811E2D"/>
    <w:rsid w:val="00811F23"/>
    <w:rsid w:val="00812055"/>
    <w:rsid w:val="008120DB"/>
    <w:rsid w:val="00812650"/>
    <w:rsid w:val="00812CC9"/>
    <w:rsid w:val="00813266"/>
    <w:rsid w:val="00813ADC"/>
    <w:rsid w:val="00813B0D"/>
    <w:rsid w:val="00813F00"/>
    <w:rsid w:val="00814908"/>
    <w:rsid w:val="00814CED"/>
    <w:rsid w:val="00814D28"/>
    <w:rsid w:val="00814ED1"/>
    <w:rsid w:val="008150FE"/>
    <w:rsid w:val="00815C77"/>
    <w:rsid w:val="008165BA"/>
    <w:rsid w:val="0081667B"/>
    <w:rsid w:val="00816706"/>
    <w:rsid w:val="00817041"/>
    <w:rsid w:val="0081795F"/>
    <w:rsid w:val="00817CE7"/>
    <w:rsid w:val="00817D62"/>
    <w:rsid w:val="00817D97"/>
    <w:rsid w:val="00820173"/>
    <w:rsid w:val="00820376"/>
    <w:rsid w:val="00820A4D"/>
    <w:rsid w:val="008219D5"/>
    <w:rsid w:val="008219F3"/>
    <w:rsid w:val="0082220E"/>
    <w:rsid w:val="0082243F"/>
    <w:rsid w:val="00822503"/>
    <w:rsid w:val="008225C3"/>
    <w:rsid w:val="00822A52"/>
    <w:rsid w:val="00823479"/>
    <w:rsid w:val="00823594"/>
    <w:rsid w:val="008238BB"/>
    <w:rsid w:val="00823BC3"/>
    <w:rsid w:val="00823E3D"/>
    <w:rsid w:val="0082411F"/>
    <w:rsid w:val="008245C7"/>
    <w:rsid w:val="00824C6D"/>
    <w:rsid w:val="00825620"/>
    <w:rsid w:val="0082574C"/>
    <w:rsid w:val="00826017"/>
    <w:rsid w:val="00826148"/>
    <w:rsid w:val="00826760"/>
    <w:rsid w:val="008268B5"/>
    <w:rsid w:val="008268C3"/>
    <w:rsid w:val="00826FD5"/>
    <w:rsid w:val="008272C4"/>
    <w:rsid w:val="008272DC"/>
    <w:rsid w:val="00827A13"/>
    <w:rsid w:val="00827DFC"/>
    <w:rsid w:val="008300EF"/>
    <w:rsid w:val="008305E8"/>
    <w:rsid w:val="00830679"/>
    <w:rsid w:val="00830B47"/>
    <w:rsid w:val="00830C2F"/>
    <w:rsid w:val="00830CB1"/>
    <w:rsid w:val="00831059"/>
    <w:rsid w:val="008310DE"/>
    <w:rsid w:val="0083139D"/>
    <w:rsid w:val="0083172C"/>
    <w:rsid w:val="00831C32"/>
    <w:rsid w:val="00831CF7"/>
    <w:rsid w:val="00831E1E"/>
    <w:rsid w:val="0083270B"/>
    <w:rsid w:val="008329C4"/>
    <w:rsid w:val="008333C0"/>
    <w:rsid w:val="00833461"/>
    <w:rsid w:val="00833B85"/>
    <w:rsid w:val="00833DA0"/>
    <w:rsid w:val="00834567"/>
    <w:rsid w:val="008345D1"/>
    <w:rsid w:val="008348C5"/>
    <w:rsid w:val="00834D80"/>
    <w:rsid w:val="008354A0"/>
    <w:rsid w:val="00835B28"/>
    <w:rsid w:val="00835E49"/>
    <w:rsid w:val="00835ED7"/>
    <w:rsid w:val="00836487"/>
    <w:rsid w:val="00837357"/>
    <w:rsid w:val="00837410"/>
    <w:rsid w:val="00837BC6"/>
    <w:rsid w:val="00837BF3"/>
    <w:rsid w:val="00840274"/>
    <w:rsid w:val="00840467"/>
    <w:rsid w:val="008405B4"/>
    <w:rsid w:val="0084096D"/>
    <w:rsid w:val="00840E7B"/>
    <w:rsid w:val="00841088"/>
    <w:rsid w:val="00841663"/>
    <w:rsid w:val="00841686"/>
    <w:rsid w:val="008416DF"/>
    <w:rsid w:val="0084190E"/>
    <w:rsid w:val="00841C94"/>
    <w:rsid w:val="00841EDD"/>
    <w:rsid w:val="00842F9F"/>
    <w:rsid w:val="008433B3"/>
    <w:rsid w:val="00843774"/>
    <w:rsid w:val="00843E66"/>
    <w:rsid w:val="00843EF1"/>
    <w:rsid w:val="00844104"/>
    <w:rsid w:val="00844A6A"/>
    <w:rsid w:val="00844BD9"/>
    <w:rsid w:val="00844D7F"/>
    <w:rsid w:val="00845187"/>
    <w:rsid w:val="008456B4"/>
    <w:rsid w:val="0084571A"/>
    <w:rsid w:val="00845AB6"/>
    <w:rsid w:val="00845D33"/>
    <w:rsid w:val="00845E61"/>
    <w:rsid w:val="00845F85"/>
    <w:rsid w:val="00846203"/>
    <w:rsid w:val="0084677D"/>
    <w:rsid w:val="00846882"/>
    <w:rsid w:val="00846C67"/>
    <w:rsid w:val="00846FD1"/>
    <w:rsid w:val="00847389"/>
    <w:rsid w:val="00847548"/>
    <w:rsid w:val="008475EE"/>
    <w:rsid w:val="00847813"/>
    <w:rsid w:val="00847B0F"/>
    <w:rsid w:val="00847D54"/>
    <w:rsid w:val="00847E84"/>
    <w:rsid w:val="00850049"/>
    <w:rsid w:val="0085016E"/>
    <w:rsid w:val="0085046C"/>
    <w:rsid w:val="0085076C"/>
    <w:rsid w:val="00851044"/>
    <w:rsid w:val="00851316"/>
    <w:rsid w:val="008513C6"/>
    <w:rsid w:val="0085152F"/>
    <w:rsid w:val="00851538"/>
    <w:rsid w:val="008515B9"/>
    <w:rsid w:val="00851955"/>
    <w:rsid w:val="008520A2"/>
    <w:rsid w:val="0085222A"/>
    <w:rsid w:val="008523DA"/>
    <w:rsid w:val="0085276B"/>
    <w:rsid w:val="00852AAA"/>
    <w:rsid w:val="00852FF8"/>
    <w:rsid w:val="00853186"/>
    <w:rsid w:val="00854283"/>
    <w:rsid w:val="008551E8"/>
    <w:rsid w:val="008554D4"/>
    <w:rsid w:val="00855679"/>
    <w:rsid w:val="008557D9"/>
    <w:rsid w:val="00855D43"/>
    <w:rsid w:val="00855E60"/>
    <w:rsid w:val="00856445"/>
    <w:rsid w:val="00856F9E"/>
    <w:rsid w:val="008571E3"/>
    <w:rsid w:val="00857561"/>
    <w:rsid w:val="008576C1"/>
    <w:rsid w:val="0085787A"/>
    <w:rsid w:val="00857E41"/>
    <w:rsid w:val="0086022F"/>
    <w:rsid w:val="00860325"/>
    <w:rsid w:val="00860546"/>
    <w:rsid w:val="0086081B"/>
    <w:rsid w:val="00860DC1"/>
    <w:rsid w:val="0086114B"/>
    <w:rsid w:val="00861379"/>
    <w:rsid w:val="008618BD"/>
    <w:rsid w:val="00861A25"/>
    <w:rsid w:val="00861D24"/>
    <w:rsid w:val="008624D6"/>
    <w:rsid w:val="00862B4D"/>
    <w:rsid w:val="00862CF0"/>
    <w:rsid w:val="00862CF7"/>
    <w:rsid w:val="00862D3B"/>
    <w:rsid w:val="00862DC5"/>
    <w:rsid w:val="00862E8A"/>
    <w:rsid w:val="0086303B"/>
    <w:rsid w:val="0086310D"/>
    <w:rsid w:val="008635DE"/>
    <w:rsid w:val="008636AE"/>
    <w:rsid w:val="00863841"/>
    <w:rsid w:val="00863BF7"/>
    <w:rsid w:val="00863EDC"/>
    <w:rsid w:val="00864135"/>
    <w:rsid w:val="00864297"/>
    <w:rsid w:val="00864938"/>
    <w:rsid w:val="00864AD0"/>
    <w:rsid w:val="00864B30"/>
    <w:rsid w:val="00865214"/>
    <w:rsid w:val="0086531C"/>
    <w:rsid w:val="0086534B"/>
    <w:rsid w:val="008655B2"/>
    <w:rsid w:val="00865665"/>
    <w:rsid w:val="00865668"/>
    <w:rsid w:val="0086572E"/>
    <w:rsid w:val="00865EB6"/>
    <w:rsid w:val="00865F67"/>
    <w:rsid w:val="00866143"/>
    <w:rsid w:val="008661A5"/>
    <w:rsid w:val="00866600"/>
    <w:rsid w:val="008667C9"/>
    <w:rsid w:val="00866E4B"/>
    <w:rsid w:val="008672EF"/>
    <w:rsid w:val="00867563"/>
    <w:rsid w:val="008679BF"/>
    <w:rsid w:val="00867B3F"/>
    <w:rsid w:val="00867D79"/>
    <w:rsid w:val="00870004"/>
    <w:rsid w:val="008702DF"/>
    <w:rsid w:val="008704C3"/>
    <w:rsid w:val="00870967"/>
    <w:rsid w:val="0087099A"/>
    <w:rsid w:val="00870A84"/>
    <w:rsid w:val="00870C84"/>
    <w:rsid w:val="00870F65"/>
    <w:rsid w:val="00871236"/>
    <w:rsid w:val="00871795"/>
    <w:rsid w:val="00871A8E"/>
    <w:rsid w:val="00871B04"/>
    <w:rsid w:val="00871F14"/>
    <w:rsid w:val="00871FC3"/>
    <w:rsid w:val="0087225B"/>
    <w:rsid w:val="008722DB"/>
    <w:rsid w:val="00872FE2"/>
    <w:rsid w:val="008732B7"/>
    <w:rsid w:val="00873B2C"/>
    <w:rsid w:val="00873DCC"/>
    <w:rsid w:val="00874139"/>
    <w:rsid w:val="008741A4"/>
    <w:rsid w:val="00874EC7"/>
    <w:rsid w:val="008757A4"/>
    <w:rsid w:val="00875A73"/>
    <w:rsid w:val="00875B25"/>
    <w:rsid w:val="00875C13"/>
    <w:rsid w:val="00876083"/>
    <w:rsid w:val="00876237"/>
    <w:rsid w:val="008767A0"/>
    <w:rsid w:val="0087722B"/>
    <w:rsid w:val="0087773C"/>
    <w:rsid w:val="00877921"/>
    <w:rsid w:val="00877C95"/>
    <w:rsid w:val="00880508"/>
    <w:rsid w:val="008806D5"/>
    <w:rsid w:val="00880A2B"/>
    <w:rsid w:val="00880B50"/>
    <w:rsid w:val="008814E6"/>
    <w:rsid w:val="0088170D"/>
    <w:rsid w:val="00881A92"/>
    <w:rsid w:val="00882205"/>
    <w:rsid w:val="008825D4"/>
    <w:rsid w:val="008826AC"/>
    <w:rsid w:val="00882729"/>
    <w:rsid w:val="0088288E"/>
    <w:rsid w:val="0088299B"/>
    <w:rsid w:val="0088315A"/>
    <w:rsid w:val="008833FF"/>
    <w:rsid w:val="00883FC4"/>
    <w:rsid w:val="00884528"/>
    <w:rsid w:val="00884CA8"/>
    <w:rsid w:val="00884CB6"/>
    <w:rsid w:val="0088549F"/>
    <w:rsid w:val="00885691"/>
    <w:rsid w:val="0088576E"/>
    <w:rsid w:val="00885996"/>
    <w:rsid w:val="00885D21"/>
    <w:rsid w:val="00886219"/>
    <w:rsid w:val="00886445"/>
    <w:rsid w:val="008866DF"/>
    <w:rsid w:val="00886CBA"/>
    <w:rsid w:val="00886FA3"/>
    <w:rsid w:val="0088730F"/>
    <w:rsid w:val="008873A0"/>
    <w:rsid w:val="00887999"/>
    <w:rsid w:val="00890059"/>
    <w:rsid w:val="0089006D"/>
    <w:rsid w:val="0089098C"/>
    <w:rsid w:val="008914BE"/>
    <w:rsid w:val="008917AB"/>
    <w:rsid w:val="00891A24"/>
    <w:rsid w:val="00891EDD"/>
    <w:rsid w:val="008921FB"/>
    <w:rsid w:val="0089248C"/>
    <w:rsid w:val="008925C3"/>
    <w:rsid w:val="00892DFE"/>
    <w:rsid w:val="008932E7"/>
    <w:rsid w:val="00893487"/>
    <w:rsid w:val="00893670"/>
    <w:rsid w:val="008936BA"/>
    <w:rsid w:val="00893919"/>
    <w:rsid w:val="00893F4B"/>
    <w:rsid w:val="00893FEA"/>
    <w:rsid w:val="008942D6"/>
    <w:rsid w:val="008945BA"/>
    <w:rsid w:val="00894F3B"/>
    <w:rsid w:val="00894FB3"/>
    <w:rsid w:val="00895227"/>
    <w:rsid w:val="008957BB"/>
    <w:rsid w:val="00896143"/>
    <w:rsid w:val="00896923"/>
    <w:rsid w:val="00896BE5"/>
    <w:rsid w:val="00896CA2"/>
    <w:rsid w:val="00896F7B"/>
    <w:rsid w:val="00897193"/>
    <w:rsid w:val="00897490"/>
    <w:rsid w:val="00897BB0"/>
    <w:rsid w:val="008A0421"/>
    <w:rsid w:val="008A0798"/>
    <w:rsid w:val="008A0B51"/>
    <w:rsid w:val="008A0DCE"/>
    <w:rsid w:val="008A0E5E"/>
    <w:rsid w:val="008A148C"/>
    <w:rsid w:val="008A1623"/>
    <w:rsid w:val="008A175D"/>
    <w:rsid w:val="008A17D8"/>
    <w:rsid w:val="008A1ED2"/>
    <w:rsid w:val="008A1EF2"/>
    <w:rsid w:val="008A21A6"/>
    <w:rsid w:val="008A22D3"/>
    <w:rsid w:val="008A25DF"/>
    <w:rsid w:val="008A2ABF"/>
    <w:rsid w:val="008A2FC7"/>
    <w:rsid w:val="008A37DA"/>
    <w:rsid w:val="008A380B"/>
    <w:rsid w:val="008A3860"/>
    <w:rsid w:val="008A3A89"/>
    <w:rsid w:val="008A47D1"/>
    <w:rsid w:val="008A47EF"/>
    <w:rsid w:val="008A4BE5"/>
    <w:rsid w:val="008A52A6"/>
    <w:rsid w:val="008A54E7"/>
    <w:rsid w:val="008A55B2"/>
    <w:rsid w:val="008A55D5"/>
    <w:rsid w:val="008A577A"/>
    <w:rsid w:val="008A5C49"/>
    <w:rsid w:val="008A5E12"/>
    <w:rsid w:val="008A63EB"/>
    <w:rsid w:val="008A652C"/>
    <w:rsid w:val="008A6620"/>
    <w:rsid w:val="008A6A16"/>
    <w:rsid w:val="008A6B0D"/>
    <w:rsid w:val="008A6C5F"/>
    <w:rsid w:val="008A6CA5"/>
    <w:rsid w:val="008A6F1E"/>
    <w:rsid w:val="008A7317"/>
    <w:rsid w:val="008A7973"/>
    <w:rsid w:val="008A7BB7"/>
    <w:rsid w:val="008A7CD2"/>
    <w:rsid w:val="008A7E62"/>
    <w:rsid w:val="008B115C"/>
    <w:rsid w:val="008B12CD"/>
    <w:rsid w:val="008B13B0"/>
    <w:rsid w:val="008B1593"/>
    <w:rsid w:val="008B16EF"/>
    <w:rsid w:val="008B19FB"/>
    <w:rsid w:val="008B1E28"/>
    <w:rsid w:val="008B205E"/>
    <w:rsid w:val="008B20A4"/>
    <w:rsid w:val="008B23C0"/>
    <w:rsid w:val="008B2C20"/>
    <w:rsid w:val="008B2CAF"/>
    <w:rsid w:val="008B2FCE"/>
    <w:rsid w:val="008B3404"/>
    <w:rsid w:val="008B3B49"/>
    <w:rsid w:val="008B3E46"/>
    <w:rsid w:val="008B3F42"/>
    <w:rsid w:val="008B3FBE"/>
    <w:rsid w:val="008B4633"/>
    <w:rsid w:val="008B476D"/>
    <w:rsid w:val="008B49A7"/>
    <w:rsid w:val="008B5225"/>
    <w:rsid w:val="008B6571"/>
    <w:rsid w:val="008B664D"/>
    <w:rsid w:val="008B6693"/>
    <w:rsid w:val="008B6A1A"/>
    <w:rsid w:val="008B73ED"/>
    <w:rsid w:val="008B7527"/>
    <w:rsid w:val="008B7546"/>
    <w:rsid w:val="008B79F3"/>
    <w:rsid w:val="008B7C37"/>
    <w:rsid w:val="008B7DBA"/>
    <w:rsid w:val="008C001C"/>
    <w:rsid w:val="008C00BA"/>
    <w:rsid w:val="008C041E"/>
    <w:rsid w:val="008C06BA"/>
    <w:rsid w:val="008C0A6F"/>
    <w:rsid w:val="008C0D3D"/>
    <w:rsid w:val="008C0DA7"/>
    <w:rsid w:val="008C0E8A"/>
    <w:rsid w:val="008C0F1C"/>
    <w:rsid w:val="008C16CF"/>
    <w:rsid w:val="008C1771"/>
    <w:rsid w:val="008C1A6D"/>
    <w:rsid w:val="008C1AE7"/>
    <w:rsid w:val="008C1B96"/>
    <w:rsid w:val="008C1D64"/>
    <w:rsid w:val="008C1F46"/>
    <w:rsid w:val="008C26CE"/>
    <w:rsid w:val="008C2705"/>
    <w:rsid w:val="008C29CF"/>
    <w:rsid w:val="008C31A6"/>
    <w:rsid w:val="008C338F"/>
    <w:rsid w:val="008C383D"/>
    <w:rsid w:val="008C3E38"/>
    <w:rsid w:val="008C3EF7"/>
    <w:rsid w:val="008C3FFD"/>
    <w:rsid w:val="008C420E"/>
    <w:rsid w:val="008C4604"/>
    <w:rsid w:val="008C49A4"/>
    <w:rsid w:val="008C4B0E"/>
    <w:rsid w:val="008C4D8E"/>
    <w:rsid w:val="008C5199"/>
    <w:rsid w:val="008C539E"/>
    <w:rsid w:val="008C56E5"/>
    <w:rsid w:val="008C5AA1"/>
    <w:rsid w:val="008C5F48"/>
    <w:rsid w:val="008C5FA1"/>
    <w:rsid w:val="008C6511"/>
    <w:rsid w:val="008C69D0"/>
    <w:rsid w:val="008C6B53"/>
    <w:rsid w:val="008C7271"/>
    <w:rsid w:val="008C7373"/>
    <w:rsid w:val="008C7965"/>
    <w:rsid w:val="008D0228"/>
    <w:rsid w:val="008D0726"/>
    <w:rsid w:val="008D0A8D"/>
    <w:rsid w:val="008D1057"/>
    <w:rsid w:val="008D1288"/>
    <w:rsid w:val="008D12BA"/>
    <w:rsid w:val="008D156A"/>
    <w:rsid w:val="008D2127"/>
    <w:rsid w:val="008D21C3"/>
    <w:rsid w:val="008D21DC"/>
    <w:rsid w:val="008D25CA"/>
    <w:rsid w:val="008D29D3"/>
    <w:rsid w:val="008D312C"/>
    <w:rsid w:val="008D3203"/>
    <w:rsid w:val="008D32D5"/>
    <w:rsid w:val="008D369E"/>
    <w:rsid w:val="008D3756"/>
    <w:rsid w:val="008D3836"/>
    <w:rsid w:val="008D3874"/>
    <w:rsid w:val="008D38DB"/>
    <w:rsid w:val="008D3E1A"/>
    <w:rsid w:val="008D41B7"/>
    <w:rsid w:val="008D4522"/>
    <w:rsid w:val="008D47A1"/>
    <w:rsid w:val="008D483C"/>
    <w:rsid w:val="008D4AAA"/>
    <w:rsid w:val="008D509F"/>
    <w:rsid w:val="008D563F"/>
    <w:rsid w:val="008D5CEF"/>
    <w:rsid w:val="008D63ED"/>
    <w:rsid w:val="008D6D5C"/>
    <w:rsid w:val="008D731D"/>
    <w:rsid w:val="008D7418"/>
    <w:rsid w:val="008D7490"/>
    <w:rsid w:val="008E0403"/>
    <w:rsid w:val="008E053E"/>
    <w:rsid w:val="008E0542"/>
    <w:rsid w:val="008E05B0"/>
    <w:rsid w:val="008E0865"/>
    <w:rsid w:val="008E096E"/>
    <w:rsid w:val="008E0979"/>
    <w:rsid w:val="008E09F4"/>
    <w:rsid w:val="008E11FD"/>
    <w:rsid w:val="008E13D3"/>
    <w:rsid w:val="008E1629"/>
    <w:rsid w:val="008E16A4"/>
    <w:rsid w:val="008E170C"/>
    <w:rsid w:val="008E1A5B"/>
    <w:rsid w:val="008E1AA6"/>
    <w:rsid w:val="008E1EE6"/>
    <w:rsid w:val="008E23A3"/>
    <w:rsid w:val="008E247B"/>
    <w:rsid w:val="008E2C15"/>
    <w:rsid w:val="008E2EF7"/>
    <w:rsid w:val="008E324F"/>
    <w:rsid w:val="008E36CA"/>
    <w:rsid w:val="008E425F"/>
    <w:rsid w:val="008E42E6"/>
    <w:rsid w:val="008E44C8"/>
    <w:rsid w:val="008E4891"/>
    <w:rsid w:val="008E4D50"/>
    <w:rsid w:val="008E54C1"/>
    <w:rsid w:val="008E56FD"/>
    <w:rsid w:val="008E5994"/>
    <w:rsid w:val="008E62E3"/>
    <w:rsid w:val="008E63FE"/>
    <w:rsid w:val="008E66C0"/>
    <w:rsid w:val="008E6708"/>
    <w:rsid w:val="008E6B6B"/>
    <w:rsid w:val="008E6E3A"/>
    <w:rsid w:val="008E7227"/>
    <w:rsid w:val="008E7773"/>
    <w:rsid w:val="008E78D2"/>
    <w:rsid w:val="008E798B"/>
    <w:rsid w:val="008F041B"/>
    <w:rsid w:val="008F06E4"/>
    <w:rsid w:val="008F11DE"/>
    <w:rsid w:val="008F1292"/>
    <w:rsid w:val="008F1316"/>
    <w:rsid w:val="008F1334"/>
    <w:rsid w:val="008F1670"/>
    <w:rsid w:val="008F17D9"/>
    <w:rsid w:val="008F1967"/>
    <w:rsid w:val="008F1DC6"/>
    <w:rsid w:val="008F1E4D"/>
    <w:rsid w:val="008F237C"/>
    <w:rsid w:val="008F23AA"/>
    <w:rsid w:val="008F23AE"/>
    <w:rsid w:val="008F2643"/>
    <w:rsid w:val="008F28DD"/>
    <w:rsid w:val="008F312C"/>
    <w:rsid w:val="008F3BDB"/>
    <w:rsid w:val="008F425C"/>
    <w:rsid w:val="008F45FD"/>
    <w:rsid w:val="008F639F"/>
    <w:rsid w:val="008F63CF"/>
    <w:rsid w:val="008F6501"/>
    <w:rsid w:val="008F6557"/>
    <w:rsid w:val="008F67EC"/>
    <w:rsid w:val="008F68B3"/>
    <w:rsid w:val="008F6D68"/>
    <w:rsid w:val="008F7E58"/>
    <w:rsid w:val="00900031"/>
    <w:rsid w:val="009003F3"/>
    <w:rsid w:val="0090089A"/>
    <w:rsid w:val="00900BED"/>
    <w:rsid w:val="00900C7E"/>
    <w:rsid w:val="0090129B"/>
    <w:rsid w:val="009016B1"/>
    <w:rsid w:val="00901713"/>
    <w:rsid w:val="0090173C"/>
    <w:rsid w:val="0090195F"/>
    <w:rsid w:val="00901BBB"/>
    <w:rsid w:val="009021B7"/>
    <w:rsid w:val="00902443"/>
    <w:rsid w:val="00902A40"/>
    <w:rsid w:val="00902A6C"/>
    <w:rsid w:val="00902C25"/>
    <w:rsid w:val="00903459"/>
    <w:rsid w:val="0090352C"/>
    <w:rsid w:val="009039A6"/>
    <w:rsid w:val="00903CB3"/>
    <w:rsid w:val="00903E80"/>
    <w:rsid w:val="009046CE"/>
    <w:rsid w:val="00904CCE"/>
    <w:rsid w:val="00904D46"/>
    <w:rsid w:val="00904DE1"/>
    <w:rsid w:val="00904EDB"/>
    <w:rsid w:val="00905315"/>
    <w:rsid w:val="00905427"/>
    <w:rsid w:val="0090593F"/>
    <w:rsid w:val="009060E0"/>
    <w:rsid w:val="00906493"/>
    <w:rsid w:val="00906AE2"/>
    <w:rsid w:val="00907565"/>
    <w:rsid w:val="009076A7"/>
    <w:rsid w:val="009077C9"/>
    <w:rsid w:val="00907AD8"/>
    <w:rsid w:val="00907D67"/>
    <w:rsid w:val="009106B0"/>
    <w:rsid w:val="00910FCD"/>
    <w:rsid w:val="009115BE"/>
    <w:rsid w:val="00911979"/>
    <w:rsid w:val="00911BCA"/>
    <w:rsid w:val="00911BEB"/>
    <w:rsid w:val="00911CFB"/>
    <w:rsid w:val="00911F57"/>
    <w:rsid w:val="0091202D"/>
    <w:rsid w:val="00912054"/>
    <w:rsid w:val="009120DD"/>
    <w:rsid w:val="009123C5"/>
    <w:rsid w:val="0091273D"/>
    <w:rsid w:val="00912A37"/>
    <w:rsid w:val="0091318B"/>
    <w:rsid w:val="009133BC"/>
    <w:rsid w:val="00913864"/>
    <w:rsid w:val="00913B10"/>
    <w:rsid w:val="00914065"/>
    <w:rsid w:val="00914801"/>
    <w:rsid w:val="00914962"/>
    <w:rsid w:val="00914FC6"/>
    <w:rsid w:val="009152A1"/>
    <w:rsid w:val="009156BC"/>
    <w:rsid w:val="00915DAB"/>
    <w:rsid w:val="00915ED2"/>
    <w:rsid w:val="009168A9"/>
    <w:rsid w:val="00916C8E"/>
    <w:rsid w:val="0091754C"/>
    <w:rsid w:val="00917B60"/>
    <w:rsid w:val="00917E6E"/>
    <w:rsid w:val="009200B6"/>
    <w:rsid w:val="00920464"/>
    <w:rsid w:val="00920CC8"/>
    <w:rsid w:val="00920D4F"/>
    <w:rsid w:val="00920D8B"/>
    <w:rsid w:val="00920E5E"/>
    <w:rsid w:val="00921454"/>
    <w:rsid w:val="0092169B"/>
    <w:rsid w:val="00921734"/>
    <w:rsid w:val="00921AC4"/>
    <w:rsid w:val="00921C53"/>
    <w:rsid w:val="0092254A"/>
    <w:rsid w:val="0092256A"/>
    <w:rsid w:val="00922974"/>
    <w:rsid w:val="00922DE1"/>
    <w:rsid w:val="00923012"/>
    <w:rsid w:val="009230FA"/>
    <w:rsid w:val="0092368A"/>
    <w:rsid w:val="00923B40"/>
    <w:rsid w:val="009246C3"/>
    <w:rsid w:val="00924E19"/>
    <w:rsid w:val="00924F84"/>
    <w:rsid w:val="00925ABD"/>
    <w:rsid w:val="009260F2"/>
    <w:rsid w:val="00926509"/>
    <w:rsid w:val="00926735"/>
    <w:rsid w:val="00926D59"/>
    <w:rsid w:val="00926DDC"/>
    <w:rsid w:val="00927322"/>
    <w:rsid w:val="009278A1"/>
    <w:rsid w:val="00927AC4"/>
    <w:rsid w:val="009300C8"/>
    <w:rsid w:val="0093049D"/>
    <w:rsid w:val="00930695"/>
    <w:rsid w:val="00930B0C"/>
    <w:rsid w:val="00930C82"/>
    <w:rsid w:val="009310F3"/>
    <w:rsid w:val="0093113E"/>
    <w:rsid w:val="009311FA"/>
    <w:rsid w:val="009312AC"/>
    <w:rsid w:val="00931527"/>
    <w:rsid w:val="009316C1"/>
    <w:rsid w:val="009317AE"/>
    <w:rsid w:val="00931836"/>
    <w:rsid w:val="00932168"/>
    <w:rsid w:val="009321B7"/>
    <w:rsid w:val="0093243A"/>
    <w:rsid w:val="00932AA8"/>
    <w:rsid w:val="00932ABE"/>
    <w:rsid w:val="00932CFC"/>
    <w:rsid w:val="00933182"/>
    <w:rsid w:val="00933428"/>
    <w:rsid w:val="0093386A"/>
    <w:rsid w:val="009338B6"/>
    <w:rsid w:val="009339C8"/>
    <w:rsid w:val="00934105"/>
    <w:rsid w:val="0093410A"/>
    <w:rsid w:val="009345F4"/>
    <w:rsid w:val="0093514D"/>
    <w:rsid w:val="00935180"/>
    <w:rsid w:val="00935B83"/>
    <w:rsid w:val="00935E89"/>
    <w:rsid w:val="00936D63"/>
    <w:rsid w:val="00936E15"/>
    <w:rsid w:val="00937244"/>
    <w:rsid w:val="009372F8"/>
    <w:rsid w:val="00937412"/>
    <w:rsid w:val="00937752"/>
    <w:rsid w:val="00937779"/>
    <w:rsid w:val="009377D7"/>
    <w:rsid w:val="00937826"/>
    <w:rsid w:val="00940200"/>
    <w:rsid w:val="009402FD"/>
    <w:rsid w:val="0094082B"/>
    <w:rsid w:val="0094097A"/>
    <w:rsid w:val="009416E5"/>
    <w:rsid w:val="009417EC"/>
    <w:rsid w:val="009418EB"/>
    <w:rsid w:val="00941B94"/>
    <w:rsid w:val="009420FC"/>
    <w:rsid w:val="00942276"/>
    <w:rsid w:val="0094296F"/>
    <w:rsid w:val="009430B2"/>
    <w:rsid w:val="00943102"/>
    <w:rsid w:val="00943510"/>
    <w:rsid w:val="00943C79"/>
    <w:rsid w:val="00944758"/>
    <w:rsid w:val="00944C14"/>
    <w:rsid w:val="00944CA1"/>
    <w:rsid w:val="0094503E"/>
    <w:rsid w:val="00945170"/>
    <w:rsid w:val="0094568F"/>
    <w:rsid w:val="009457EF"/>
    <w:rsid w:val="00945B44"/>
    <w:rsid w:val="0094624B"/>
    <w:rsid w:val="009464B8"/>
    <w:rsid w:val="0094675F"/>
    <w:rsid w:val="00946928"/>
    <w:rsid w:val="00946C39"/>
    <w:rsid w:val="00947C86"/>
    <w:rsid w:val="00947D46"/>
    <w:rsid w:val="00947E4A"/>
    <w:rsid w:val="00947E96"/>
    <w:rsid w:val="00950056"/>
    <w:rsid w:val="009509A7"/>
    <w:rsid w:val="009510E6"/>
    <w:rsid w:val="009514B0"/>
    <w:rsid w:val="009515E4"/>
    <w:rsid w:val="00951648"/>
    <w:rsid w:val="009516A2"/>
    <w:rsid w:val="00951937"/>
    <w:rsid w:val="00951B6A"/>
    <w:rsid w:val="00952364"/>
    <w:rsid w:val="009526A7"/>
    <w:rsid w:val="00952726"/>
    <w:rsid w:val="00952748"/>
    <w:rsid w:val="0095289E"/>
    <w:rsid w:val="00952BD7"/>
    <w:rsid w:val="009530E3"/>
    <w:rsid w:val="00953227"/>
    <w:rsid w:val="00953678"/>
    <w:rsid w:val="00953975"/>
    <w:rsid w:val="00953B5B"/>
    <w:rsid w:val="0095417E"/>
    <w:rsid w:val="00954663"/>
    <w:rsid w:val="009546FA"/>
    <w:rsid w:val="0095478C"/>
    <w:rsid w:val="009547E6"/>
    <w:rsid w:val="00954951"/>
    <w:rsid w:val="00954A3A"/>
    <w:rsid w:val="00954A7C"/>
    <w:rsid w:val="009552AF"/>
    <w:rsid w:val="0095541D"/>
    <w:rsid w:val="00955533"/>
    <w:rsid w:val="009558A1"/>
    <w:rsid w:val="00955960"/>
    <w:rsid w:val="00955F6B"/>
    <w:rsid w:val="00955FAD"/>
    <w:rsid w:val="00956081"/>
    <w:rsid w:val="00956303"/>
    <w:rsid w:val="0095656E"/>
    <w:rsid w:val="009566B2"/>
    <w:rsid w:val="00956B01"/>
    <w:rsid w:val="00956CFB"/>
    <w:rsid w:val="00956E45"/>
    <w:rsid w:val="009572DC"/>
    <w:rsid w:val="00957416"/>
    <w:rsid w:val="00957641"/>
    <w:rsid w:val="0095780D"/>
    <w:rsid w:val="00957E6B"/>
    <w:rsid w:val="00960232"/>
    <w:rsid w:val="0096095F"/>
    <w:rsid w:val="00960C0B"/>
    <w:rsid w:val="00960FC4"/>
    <w:rsid w:val="00960FCA"/>
    <w:rsid w:val="009610AE"/>
    <w:rsid w:val="00961216"/>
    <w:rsid w:val="00961468"/>
    <w:rsid w:val="0096197E"/>
    <w:rsid w:val="00961AB7"/>
    <w:rsid w:val="00961FE9"/>
    <w:rsid w:val="00962216"/>
    <w:rsid w:val="00963622"/>
    <w:rsid w:val="009636BD"/>
    <w:rsid w:val="00963AD4"/>
    <w:rsid w:val="00963FF7"/>
    <w:rsid w:val="00964691"/>
    <w:rsid w:val="00964788"/>
    <w:rsid w:val="0096496E"/>
    <w:rsid w:val="00964A1F"/>
    <w:rsid w:val="00964CB9"/>
    <w:rsid w:val="00964F57"/>
    <w:rsid w:val="009650A4"/>
    <w:rsid w:val="0096532D"/>
    <w:rsid w:val="0096581E"/>
    <w:rsid w:val="00965EEA"/>
    <w:rsid w:val="00965EF5"/>
    <w:rsid w:val="00965FA7"/>
    <w:rsid w:val="00966EE3"/>
    <w:rsid w:val="00966F85"/>
    <w:rsid w:val="0096731A"/>
    <w:rsid w:val="009673F2"/>
    <w:rsid w:val="009676BA"/>
    <w:rsid w:val="009706B6"/>
    <w:rsid w:val="00970EA0"/>
    <w:rsid w:val="00971113"/>
    <w:rsid w:val="00971520"/>
    <w:rsid w:val="009715E8"/>
    <w:rsid w:val="009716DD"/>
    <w:rsid w:val="00971F7F"/>
    <w:rsid w:val="00972171"/>
    <w:rsid w:val="009726DE"/>
    <w:rsid w:val="00972737"/>
    <w:rsid w:val="00972B16"/>
    <w:rsid w:val="00972D25"/>
    <w:rsid w:val="00972F7F"/>
    <w:rsid w:val="00972FBE"/>
    <w:rsid w:val="009730F6"/>
    <w:rsid w:val="0097313B"/>
    <w:rsid w:val="00973AFB"/>
    <w:rsid w:val="00973E21"/>
    <w:rsid w:val="00974449"/>
    <w:rsid w:val="009745A6"/>
    <w:rsid w:val="00974DA1"/>
    <w:rsid w:val="0097501B"/>
    <w:rsid w:val="00975058"/>
    <w:rsid w:val="00975B91"/>
    <w:rsid w:val="0097633D"/>
    <w:rsid w:val="00976643"/>
    <w:rsid w:val="00976817"/>
    <w:rsid w:val="00976A39"/>
    <w:rsid w:val="00976C6A"/>
    <w:rsid w:val="00976E36"/>
    <w:rsid w:val="00976ECC"/>
    <w:rsid w:val="0097708A"/>
    <w:rsid w:val="00977863"/>
    <w:rsid w:val="00980289"/>
    <w:rsid w:val="0098040C"/>
    <w:rsid w:val="00980572"/>
    <w:rsid w:val="009805FE"/>
    <w:rsid w:val="0098081C"/>
    <w:rsid w:val="00981223"/>
    <w:rsid w:val="00981315"/>
    <w:rsid w:val="00981A87"/>
    <w:rsid w:val="00981DA8"/>
    <w:rsid w:val="00981FC0"/>
    <w:rsid w:val="0098213A"/>
    <w:rsid w:val="009822D2"/>
    <w:rsid w:val="009824D2"/>
    <w:rsid w:val="00982993"/>
    <w:rsid w:val="00982B5E"/>
    <w:rsid w:val="00982D97"/>
    <w:rsid w:val="00982E2F"/>
    <w:rsid w:val="00983109"/>
    <w:rsid w:val="009834D4"/>
    <w:rsid w:val="00983952"/>
    <w:rsid w:val="00983ADC"/>
    <w:rsid w:val="00983B15"/>
    <w:rsid w:val="00983CC6"/>
    <w:rsid w:val="0098444D"/>
    <w:rsid w:val="009845D6"/>
    <w:rsid w:val="00984920"/>
    <w:rsid w:val="00984D5F"/>
    <w:rsid w:val="00984DEF"/>
    <w:rsid w:val="0098516D"/>
    <w:rsid w:val="00985A36"/>
    <w:rsid w:val="00985BD2"/>
    <w:rsid w:val="00985CE4"/>
    <w:rsid w:val="00985D22"/>
    <w:rsid w:val="0098627B"/>
    <w:rsid w:val="0098649A"/>
    <w:rsid w:val="0098669F"/>
    <w:rsid w:val="00986867"/>
    <w:rsid w:val="009868CC"/>
    <w:rsid w:val="00986ABC"/>
    <w:rsid w:val="00987743"/>
    <w:rsid w:val="00987774"/>
    <w:rsid w:val="00987BCC"/>
    <w:rsid w:val="009904F8"/>
    <w:rsid w:val="00990535"/>
    <w:rsid w:val="0099102D"/>
    <w:rsid w:val="0099113D"/>
    <w:rsid w:val="0099135E"/>
    <w:rsid w:val="0099170E"/>
    <w:rsid w:val="00991F8C"/>
    <w:rsid w:val="00992593"/>
    <w:rsid w:val="00992700"/>
    <w:rsid w:val="00992F8B"/>
    <w:rsid w:val="009930D7"/>
    <w:rsid w:val="009935E5"/>
    <w:rsid w:val="009939FE"/>
    <w:rsid w:val="00993D1E"/>
    <w:rsid w:val="00994299"/>
    <w:rsid w:val="00994784"/>
    <w:rsid w:val="00995E65"/>
    <w:rsid w:val="00996360"/>
    <w:rsid w:val="00996565"/>
    <w:rsid w:val="009965AA"/>
    <w:rsid w:val="00996734"/>
    <w:rsid w:val="00996BEE"/>
    <w:rsid w:val="00996CAD"/>
    <w:rsid w:val="00996CD2"/>
    <w:rsid w:val="00996E3D"/>
    <w:rsid w:val="00997E89"/>
    <w:rsid w:val="009A00A5"/>
    <w:rsid w:val="009A0163"/>
    <w:rsid w:val="009A0480"/>
    <w:rsid w:val="009A07FD"/>
    <w:rsid w:val="009A0EDB"/>
    <w:rsid w:val="009A16FF"/>
    <w:rsid w:val="009A2171"/>
    <w:rsid w:val="009A2E76"/>
    <w:rsid w:val="009A2ED9"/>
    <w:rsid w:val="009A3408"/>
    <w:rsid w:val="009A345E"/>
    <w:rsid w:val="009A3625"/>
    <w:rsid w:val="009A374B"/>
    <w:rsid w:val="009A4464"/>
    <w:rsid w:val="009A447A"/>
    <w:rsid w:val="009A4794"/>
    <w:rsid w:val="009A479E"/>
    <w:rsid w:val="009A4851"/>
    <w:rsid w:val="009A567D"/>
    <w:rsid w:val="009A56DA"/>
    <w:rsid w:val="009A57C9"/>
    <w:rsid w:val="009A587E"/>
    <w:rsid w:val="009A60E0"/>
    <w:rsid w:val="009A6C1A"/>
    <w:rsid w:val="009A6F68"/>
    <w:rsid w:val="009A73B6"/>
    <w:rsid w:val="009A73DE"/>
    <w:rsid w:val="009A776E"/>
    <w:rsid w:val="009A7CD4"/>
    <w:rsid w:val="009A7DAE"/>
    <w:rsid w:val="009B02AE"/>
    <w:rsid w:val="009B02E7"/>
    <w:rsid w:val="009B045C"/>
    <w:rsid w:val="009B059B"/>
    <w:rsid w:val="009B0700"/>
    <w:rsid w:val="009B0845"/>
    <w:rsid w:val="009B0BAE"/>
    <w:rsid w:val="009B0D6F"/>
    <w:rsid w:val="009B0E10"/>
    <w:rsid w:val="009B1794"/>
    <w:rsid w:val="009B1808"/>
    <w:rsid w:val="009B1C1C"/>
    <w:rsid w:val="009B1E18"/>
    <w:rsid w:val="009B1F46"/>
    <w:rsid w:val="009B2192"/>
    <w:rsid w:val="009B21D6"/>
    <w:rsid w:val="009B273F"/>
    <w:rsid w:val="009B2EBA"/>
    <w:rsid w:val="009B32EC"/>
    <w:rsid w:val="009B3A4D"/>
    <w:rsid w:val="009B3F92"/>
    <w:rsid w:val="009B4376"/>
    <w:rsid w:val="009B4CC4"/>
    <w:rsid w:val="009B4D25"/>
    <w:rsid w:val="009B4F67"/>
    <w:rsid w:val="009B54A1"/>
    <w:rsid w:val="009B54DF"/>
    <w:rsid w:val="009B5540"/>
    <w:rsid w:val="009B58E3"/>
    <w:rsid w:val="009B67F7"/>
    <w:rsid w:val="009B683F"/>
    <w:rsid w:val="009B6B0D"/>
    <w:rsid w:val="009B6DB0"/>
    <w:rsid w:val="009B6F77"/>
    <w:rsid w:val="009B712C"/>
    <w:rsid w:val="009B760F"/>
    <w:rsid w:val="009B7B8A"/>
    <w:rsid w:val="009C0203"/>
    <w:rsid w:val="009C0225"/>
    <w:rsid w:val="009C0801"/>
    <w:rsid w:val="009C0B4D"/>
    <w:rsid w:val="009C0D6F"/>
    <w:rsid w:val="009C146F"/>
    <w:rsid w:val="009C1A24"/>
    <w:rsid w:val="009C1AE3"/>
    <w:rsid w:val="009C1CDC"/>
    <w:rsid w:val="009C234A"/>
    <w:rsid w:val="009C26AF"/>
    <w:rsid w:val="009C2709"/>
    <w:rsid w:val="009C2B25"/>
    <w:rsid w:val="009C345A"/>
    <w:rsid w:val="009C3DCB"/>
    <w:rsid w:val="009C3FC1"/>
    <w:rsid w:val="009C4B06"/>
    <w:rsid w:val="009C4DAD"/>
    <w:rsid w:val="009C4DC6"/>
    <w:rsid w:val="009C4EF6"/>
    <w:rsid w:val="009C4FAE"/>
    <w:rsid w:val="009C5035"/>
    <w:rsid w:val="009C53B8"/>
    <w:rsid w:val="009C6566"/>
    <w:rsid w:val="009C6720"/>
    <w:rsid w:val="009C6923"/>
    <w:rsid w:val="009C6AB5"/>
    <w:rsid w:val="009C6E77"/>
    <w:rsid w:val="009C71B0"/>
    <w:rsid w:val="009C72C4"/>
    <w:rsid w:val="009C760A"/>
    <w:rsid w:val="009C7A4B"/>
    <w:rsid w:val="009C7AAE"/>
    <w:rsid w:val="009C7C84"/>
    <w:rsid w:val="009C7CCF"/>
    <w:rsid w:val="009C7E11"/>
    <w:rsid w:val="009D0278"/>
    <w:rsid w:val="009D060F"/>
    <w:rsid w:val="009D071F"/>
    <w:rsid w:val="009D09F4"/>
    <w:rsid w:val="009D0AE9"/>
    <w:rsid w:val="009D1307"/>
    <w:rsid w:val="009D166F"/>
    <w:rsid w:val="009D201C"/>
    <w:rsid w:val="009D216B"/>
    <w:rsid w:val="009D2559"/>
    <w:rsid w:val="009D2A32"/>
    <w:rsid w:val="009D2ED7"/>
    <w:rsid w:val="009D3245"/>
    <w:rsid w:val="009D338E"/>
    <w:rsid w:val="009D3470"/>
    <w:rsid w:val="009D3BD6"/>
    <w:rsid w:val="009D3CB4"/>
    <w:rsid w:val="009D3D5E"/>
    <w:rsid w:val="009D4519"/>
    <w:rsid w:val="009D4643"/>
    <w:rsid w:val="009D58F3"/>
    <w:rsid w:val="009D595E"/>
    <w:rsid w:val="009D5C4D"/>
    <w:rsid w:val="009D5DE6"/>
    <w:rsid w:val="009D64DD"/>
    <w:rsid w:val="009D650A"/>
    <w:rsid w:val="009D6B6C"/>
    <w:rsid w:val="009D6E43"/>
    <w:rsid w:val="009D7540"/>
    <w:rsid w:val="009D75C1"/>
    <w:rsid w:val="009D793D"/>
    <w:rsid w:val="009D7C28"/>
    <w:rsid w:val="009E001F"/>
    <w:rsid w:val="009E0345"/>
    <w:rsid w:val="009E0393"/>
    <w:rsid w:val="009E04C8"/>
    <w:rsid w:val="009E0761"/>
    <w:rsid w:val="009E087B"/>
    <w:rsid w:val="009E089F"/>
    <w:rsid w:val="009E09A6"/>
    <w:rsid w:val="009E0C75"/>
    <w:rsid w:val="009E2233"/>
    <w:rsid w:val="009E24DD"/>
    <w:rsid w:val="009E2EF2"/>
    <w:rsid w:val="009E31B0"/>
    <w:rsid w:val="009E334F"/>
    <w:rsid w:val="009E36BE"/>
    <w:rsid w:val="009E38FD"/>
    <w:rsid w:val="009E3B27"/>
    <w:rsid w:val="009E3DA8"/>
    <w:rsid w:val="009E411F"/>
    <w:rsid w:val="009E41BA"/>
    <w:rsid w:val="009E49C2"/>
    <w:rsid w:val="009E4DAE"/>
    <w:rsid w:val="009E5225"/>
    <w:rsid w:val="009E52E6"/>
    <w:rsid w:val="009E5868"/>
    <w:rsid w:val="009E5A4D"/>
    <w:rsid w:val="009E629D"/>
    <w:rsid w:val="009E691A"/>
    <w:rsid w:val="009E6A94"/>
    <w:rsid w:val="009E6B74"/>
    <w:rsid w:val="009E6C8C"/>
    <w:rsid w:val="009E7840"/>
    <w:rsid w:val="009F0366"/>
    <w:rsid w:val="009F0A92"/>
    <w:rsid w:val="009F15CC"/>
    <w:rsid w:val="009F1657"/>
    <w:rsid w:val="009F1E0B"/>
    <w:rsid w:val="009F20B8"/>
    <w:rsid w:val="009F241E"/>
    <w:rsid w:val="009F250E"/>
    <w:rsid w:val="009F251F"/>
    <w:rsid w:val="009F2ACE"/>
    <w:rsid w:val="009F30E6"/>
    <w:rsid w:val="009F3235"/>
    <w:rsid w:val="009F3490"/>
    <w:rsid w:val="009F377A"/>
    <w:rsid w:val="009F3814"/>
    <w:rsid w:val="009F3823"/>
    <w:rsid w:val="009F3F4D"/>
    <w:rsid w:val="009F4BD8"/>
    <w:rsid w:val="009F4FC4"/>
    <w:rsid w:val="009F54BF"/>
    <w:rsid w:val="009F557B"/>
    <w:rsid w:val="009F5704"/>
    <w:rsid w:val="009F5AF4"/>
    <w:rsid w:val="009F5B05"/>
    <w:rsid w:val="009F5D1C"/>
    <w:rsid w:val="009F60CC"/>
    <w:rsid w:val="009F623A"/>
    <w:rsid w:val="009F62DF"/>
    <w:rsid w:val="009F6496"/>
    <w:rsid w:val="009F66CF"/>
    <w:rsid w:val="009F6C0F"/>
    <w:rsid w:val="009F6C47"/>
    <w:rsid w:val="009F7EBA"/>
    <w:rsid w:val="009F7F4D"/>
    <w:rsid w:val="00A006CC"/>
    <w:rsid w:val="00A00898"/>
    <w:rsid w:val="00A00B49"/>
    <w:rsid w:val="00A02237"/>
    <w:rsid w:val="00A022A7"/>
    <w:rsid w:val="00A0240B"/>
    <w:rsid w:val="00A026FC"/>
    <w:rsid w:val="00A02BC6"/>
    <w:rsid w:val="00A03474"/>
    <w:rsid w:val="00A038C5"/>
    <w:rsid w:val="00A038FA"/>
    <w:rsid w:val="00A03BA2"/>
    <w:rsid w:val="00A03FCF"/>
    <w:rsid w:val="00A044F7"/>
    <w:rsid w:val="00A0452A"/>
    <w:rsid w:val="00A04886"/>
    <w:rsid w:val="00A0550A"/>
    <w:rsid w:val="00A057DD"/>
    <w:rsid w:val="00A05941"/>
    <w:rsid w:val="00A05983"/>
    <w:rsid w:val="00A05B2A"/>
    <w:rsid w:val="00A05C36"/>
    <w:rsid w:val="00A05D76"/>
    <w:rsid w:val="00A0609C"/>
    <w:rsid w:val="00A060FF"/>
    <w:rsid w:val="00A063CE"/>
    <w:rsid w:val="00A06892"/>
    <w:rsid w:val="00A06DF0"/>
    <w:rsid w:val="00A06E2F"/>
    <w:rsid w:val="00A071D0"/>
    <w:rsid w:val="00A07300"/>
    <w:rsid w:val="00A07D7C"/>
    <w:rsid w:val="00A1047D"/>
    <w:rsid w:val="00A10B85"/>
    <w:rsid w:val="00A1101F"/>
    <w:rsid w:val="00A1121D"/>
    <w:rsid w:val="00A1201B"/>
    <w:rsid w:val="00A123AA"/>
    <w:rsid w:val="00A128FE"/>
    <w:rsid w:val="00A12BB8"/>
    <w:rsid w:val="00A13B83"/>
    <w:rsid w:val="00A13C98"/>
    <w:rsid w:val="00A13CEF"/>
    <w:rsid w:val="00A13D4D"/>
    <w:rsid w:val="00A14241"/>
    <w:rsid w:val="00A142E7"/>
    <w:rsid w:val="00A145B0"/>
    <w:rsid w:val="00A149D3"/>
    <w:rsid w:val="00A149DA"/>
    <w:rsid w:val="00A14D50"/>
    <w:rsid w:val="00A14D5A"/>
    <w:rsid w:val="00A14F30"/>
    <w:rsid w:val="00A15149"/>
    <w:rsid w:val="00A15F8D"/>
    <w:rsid w:val="00A167C6"/>
    <w:rsid w:val="00A16AF0"/>
    <w:rsid w:val="00A16C9B"/>
    <w:rsid w:val="00A16F66"/>
    <w:rsid w:val="00A16F94"/>
    <w:rsid w:val="00A1722A"/>
    <w:rsid w:val="00A176D0"/>
    <w:rsid w:val="00A176DB"/>
    <w:rsid w:val="00A17712"/>
    <w:rsid w:val="00A1771E"/>
    <w:rsid w:val="00A17946"/>
    <w:rsid w:val="00A17E5B"/>
    <w:rsid w:val="00A17FC2"/>
    <w:rsid w:val="00A20397"/>
    <w:rsid w:val="00A20434"/>
    <w:rsid w:val="00A20A79"/>
    <w:rsid w:val="00A20AF5"/>
    <w:rsid w:val="00A217F3"/>
    <w:rsid w:val="00A22325"/>
    <w:rsid w:val="00A223D8"/>
    <w:rsid w:val="00A22B9C"/>
    <w:rsid w:val="00A22E34"/>
    <w:rsid w:val="00A232A7"/>
    <w:rsid w:val="00A232B0"/>
    <w:rsid w:val="00A23473"/>
    <w:rsid w:val="00A23CE0"/>
    <w:rsid w:val="00A23F44"/>
    <w:rsid w:val="00A240B1"/>
    <w:rsid w:val="00A244FE"/>
    <w:rsid w:val="00A24B4F"/>
    <w:rsid w:val="00A24BFF"/>
    <w:rsid w:val="00A24CE2"/>
    <w:rsid w:val="00A24D27"/>
    <w:rsid w:val="00A2520B"/>
    <w:rsid w:val="00A2542B"/>
    <w:rsid w:val="00A25431"/>
    <w:rsid w:val="00A25B88"/>
    <w:rsid w:val="00A25DA2"/>
    <w:rsid w:val="00A25EE6"/>
    <w:rsid w:val="00A2606C"/>
    <w:rsid w:val="00A261E8"/>
    <w:rsid w:val="00A2647F"/>
    <w:rsid w:val="00A267E7"/>
    <w:rsid w:val="00A26D57"/>
    <w:rsid w:val="00A27122"/>
    <w:rsid w:val="00A27422"/>
    <w:rsid w:val="00A2765D"/>
    <w:rsid w:val="00A277BE"/>
    <w:rsid w:val="00A279F5"/>
    <w:rsid w:val="00A27E87"/>
    <w:rsid w:val="00A27EA5"/>
    <w:rsid w:val="00A27ED2"/>
    <w:rsid w:val="00A302D1"/>
    <w:rsid w:val="00A30809"/>
    <w:rsid w:val="00A30926"/>
    <w:rsid w:val="00A30B39"/>
    <w:rsid w:val="00A30D0E"/>
    <w:rsid w:val="00A30E3F"/>
    <w:rsid w:val="00A3114A"/>
    <w:rsid w:val="00A31395"/>
    <w:rsid w:val="00A31A66"/>
    <w:rsid w:val="00A31BE5"/>
    <w:rsid w:val="00A32534"/>
    <w:rsid w:val="00A329FD"/>
    <w:rsid w:val="00A32BCF"/>
    <w:rsid w:val="00A32DA6"/>
    <w:rsid w:val="00A33909"/>
    <w:rsid w:val="00A33C85"/>
    <w:rsid w:val="00A33DED"/>
    <w:rsid w:val="00A33E09"/>
    <w:rsid w:val="00A341AB"/>
    <w:rsid w:val="00A345F9"/>
    <w:rsid w:val="00A348BF"/>
    <w:rsid w:val="00A34E6C"/>
    <w:rsid w:val="00A35E79"/>
    <w:rsid w:val="00A365DE"/>
    <w:rsid w:val="00A3669B"/>
    <w:rsid w:val="00A366FC"/>
    <w:rsid w:val="00A3686A"/>
    <w:rsid w:val="00A369EF"/>
    <w:rsid w:val="00A36A26"/>
    <w:rsid w:val="00A36AD8"/>
    <w:rsid w:val="00A36F32"/>
    <w:rsid w:val="00A37A43"/>
    <w:rsid w:val="00A37CA0"/>
    <w:rsid w:val="00A37D4B"/>
    <w:rsid w:val="00A37F07"/>
    <w:rsid w:val="00A4000C"/>
    <w:rsid w:val="00A401A8"/>
    <w:rsid w:val="00A401BD"/>
    <w:rsid w:val="00A403C2"/>
    <w:rsid w:val="00A407C2"/>
    <w:rsid w:val="00A407C9"/>
    <w:rsid w:val="00A40E6A"/>
    <w:rsid w:val="00A40EBF"/>
    <w:rsid w:val="00A40F71"/>
    <w:rsid w:val="00A414A4"/>
    <w:rsid w:val="00A41692"/>
    <w:rsid w:val="00A417FC"/>
    <w:rsid w:val="00A41B20"/>
    <w:rsid w:val="00A41DF8"/>
    <w:rsid w:val="00A42113"/>
    <w:rsid w:val="00A421B2"/>
    <w:rsid w:val="00A421E2"/>
    <w:rsid w:val="00A422EE"/>
    <w:rsid w:val="00A42411"/>
    <w:rsid w:val="00A428BA"/>
    <w:rsid w:val="00A43582"/>
    <w:rsid w:val="00A43915"/>
    <w:rsid w:val="00A4394F"/>
    <w:rsid w:val="00A439C1"/>
    <w:rsid w:val="00A43C0F"/>
    <w:rsid w:val="00A43C1D"/>
    <w:rsid w:val="00A43D1F"/>
    <w:rsid w:val="00A43E03"/>
    <w:rsid w:val="00A43EA8"/>
    <w:rsid w:val="00A43FE1"/>
    <w:rsid w:val="00A4407C"/>
    <w:rsid w:val="00A441AC"/>
    <w:rsid w:val="00A4463A"/>
    <w:rsid w:val="00A44AF0"/>
    <w:rsid w:val="00A44C9D"/>
    <w:rsid w:val="00A44F19"/>
    <w:rsid w:val="00A45225"/>
    <w:rsid w:val="00A45355"/>
    <w:rsid w:val="00A457C6"/>
    <w:rsid w:val="00A45CF8"/>
    <w:rsid w:val="00A46446"/>
    <w:rsid w:val="00A46C18"/>
    <w:rsid w:val="00A46D27"/>
    <w:rsid w:val="00A46E31"/>
    <w:rsid w:val="00A46E8B"/>
    <w:rsid w:val="00A4713D"/>
    <w:rsid w:val="00A47684"/>
    <w:rsid w:val="00A47752"/>
    <w:rsid w:val="00A478AE"/>
    <w:rsid w:val="00A47D37"/>
    <w:rsid w:val="00A47EBC"/>
    <w:rsid w:val="00A502F0"/>
    <w:rsid w:val="00A507AE"/>
    <w:rsid w:val="00A50EB5"/>
    <w:rsid w:val="00A516F4"/>
    <w:rsid w:val="00A51C68"/>
    <w:rsid w:val="00A51DC6"/>
    <w:rsid w:val="00A51F39"/>
    <w:rsid w:val="00A520DE"/>
    <w:rsid w:val="00A52359"/>
    <w:rsid w:val="00A527F7"/>
    <w:rsid w:val="00A52B0F"/>
    <w:rsid w:val="00A535C4"/>
    <w:rsid w:val="00A53671"/>
    <w:rsid w:val="00A53E11"/>
    <w:rsid w:val="00A53E2F"/>
    <w:rsid w:val="00A54175"/>
    <w:rsid w:val="00A542B8"/>
    <w:rsid w:val="00A542F0"/>
    <w:rsid w:val="00A5488C"/>
    <w:rsid w:val="00A54AD5"/>
    <w:rsid w:val="00A553CC"/>
    <w:rsid w:val="00A55473"/>
    <w:rsid w:val="00A555A9"/>
    <w:rsid w:val="00A5581E"/>
    <w:rsid w:val="00A55C7E"/>
    <w:rsid w:val="00A56A72"/>
    <w:rsid w:val="00A56AC7"/>
    <w:rsid w:val="00A573AE"/>
    <w:rsid w:val="00A577E9"/>
    <w:rsid w:val="00A57BBD"/>
    <w:rsid w:val="00A57E5D"/>
    <w:rsid w:val="00A57F7E"/>
    <w:rsid w:val="00A601F8"/>
    <w:rsid w:val="00A602C1"/>
    <w:rsid w:val="00A602EB"/>
    <w:rsid w:val="00A6058A"/>
    <w:rsid w:val="00A60BA1"/>
    <w:rsid w:val="00A60D22"/>
    <w:rsid w:val="00A614D2"/>
    <w:rsid w:val="00A61B0A"/>
    <w:rsid w:val="00A61F7C"/>
    <w:rsid w:val="00A62087"/>
    <w:rsid w:val="00A62645"/>
    <w:rsid w:val="00A6299A"/>
    <w:rsid w:val="00A63546"/>
    <w:rsid w:val="00A63970"/>
    <w:rsid w:val="00A63C9B"/>
    <w:rsid w:val="00A63CE2"/>
    <w:rsid w:val="00A640D5"/>
    <w:rsid w:val="00A6476D"/>
    <w:rsid w:val="00A64F16"/>
    <w:rsid w:val="00A64FD1"/>
    <w:rsid w:val="00A65739"/>
    <w:rsid w:val="00A65E06"/>
    <w:rsid w:val="00A65E0B"/>
    <w:rsid w:val="00A671B9"/>
    <w:rsid w:val="00A67497"/>
    <w:rsid w:val="00A676B9"/>
    <w:rsid w:val="00A67941"/>
    <w:rsid w:val="00A67D71"/>
    <w:rsid w:val="00A67E57"/>
    <w:rsid w:val="00A67F50"/>
    <w:rsid w:val="00A70012"/>
    <w:rsid w:val="00A70E8E"/>
    <w:rsid w:val="00A71027"/>
    <w:rsid w:val="00A716F9"/>
    <w:rsid w:val="00A71D6E"/>
    <w:rsid w:val="00A72604"/>
    <w:rsid w:val="00A729DF"/>
    <w:rsid w:val="00A72A01"/>
    <w:rsid w:val="00A72AE0"/>
    <w:rsid w:val="00A733F9"/>
    <w:rsid w:val="00A73856"/>
    <w:rsid w:val="00A73934"/>
    <w:rsid w:val="00A739D1"/>
    <w:rsid w:val="00A73CB0"/>
    <w:rsid w:val="00A741EF"/>
    <w:rsid w:val="00A746AB"/>
    <w:rsid w:val="00A750B7"/>
    <w:rsid w:val="00A75288"/>
    <w:rsid w:val="00A756BA"/>
    <w:rsid w:val="00A75830"/>
    <w:rsid w:val="00A75888"/>
    <w:rsid w:val="00A75CB1"/>
    <w:rsid w:val="00A76651"/>
    <w:rsid w:val="00A7691A"/>
    <w:rsid w:val="00A76973"/>
    <w:rsid w:val="00A76BD7"/>
    <w:rsid w:val="00A76E5C"/>
    <w:rsid w:val="00A77354"/>
    <w:rsid w:val="00A77A01"/>
    <w:rsid w:val="00A77BA2"/>
    <w:rsid w:val="00A8010A"/>
    <w:rsid w:val="00A8013D"/>
    <w:rsid w:val="00A808BC"/>
    <w:rsid w:val="00A80A94"/>
    <w:rsid w:val="00A80EB1"/>
    <w:rsid w:val="00A81B78"/>
    <w:rsid w:val="00A81CD8"/>
    <w:rsid w:val="00A82758"/>
    <w:rsid w:val="00A827D7"/>
    <w:rsid w:val="00A82B10"/>
    <w:rsid w:val="00A82D0D"/>
    <w:rsid w:val="00A83857"/>
    <w:rsid w:val="00A84473"/>
    <w:rsid w:val="00A84668"/>
    <w:rsid w:val="00A84687"/>
    <w:rsid w:val="00A84E33"/>
    <w:rsid w:val="00A8519F"/>
    <w:rsid w:val="00A854EB"/>
    <w:rsid w:val="00A857ED"/>
    <w:rsid w:val="00A85AAE"/>
    <w:rsid w:val="00A85AC4"/>
    <w:rsid w:val="00A85D54"/>
    <w:rsid w:val="00A8612C"/>
    <w:rsid w:val="00A86720"/>
    <w:rsid w:val="00A867CD"/>
    <w:rsid w:val="00A86AD4"/>
    <w:rsid w:val="00A86B21"/>
    <w:rsid w:val="00A86C82"/>
    <w:rsid w:val="00A86F87"/>
    <w:rsid w:val="00A87048"/>
    <w:rsid w:val="00A87444"/>
    <w:rsid w:val="00A90680"/>
    <w:rsid w:val="00A90DDF"/>
    <w:rsid w:val="00A90E73"/>
    <w:rsid w:val="00A90E91"/>
    <w:rsid w:val="00A90F0A"/>
    <w:rsid w:val="00A91652"/>
    <w:rsid w:val="00A918E4"/>
    <w:rsid w:val="00A91B62"/>
    <w:rsid w:val="00A91B7D"/>
    <w:rsid w:val="00A91B96"/>
    <w:rsid w:val="00A92944"/>
    <w:rsid w:val="00A929EB"/>
    <w:rsid w:val="00A929ED"/>
    <w:rsid w:val="00A92AD9"/>
    <w:rsid w:val="00A937A3"/>
    <w:rsid w:val="00A93D53"/>
    <w:rsid w:val="00A9445F"/>
    <w:rsid w:val="00A94472"/>
    <w:rsid w:val="00A94770"/>
    <w:rsid w:val="00A94818"/>
    <w:rsid w:val="00A949D0"/>
    <w:rsid w:val="00A94A0C"/>
    <w:rsid w:val="00A95E48"/>
    <w:rsid w:val="00A961EC"/>
    <w:rsid w:val="00A96282"/>
    <w:rsid w:val="00A9648E"/>
    <w:rsid w:val="00A964CB"/>
    <w:rsid w:val="00A964D4"/>
    <w:rsid w:val="00A968BD"/>
    <w:rsid w:val="00A96B84"/>
    <w:rsid w:val="00A96E0D"/>
    <w:rsid w:val="00A970A2"/>
    <w:rsid w:val="00A9750B"/>
    <w:rsid w:val="00A978B2"/>
    <w:rsid w:val="00A97CF2"/>
    <w:rsid w:val="00A97E2D"/>
    <w:rsid w:val="00AA07F9"/>
    <w:rsid w:val="00AA0ADE"/>
    <w:rsid w:val="00AA1381"/>
    <w:rsid w:val="00AA1907"/>
    <w:rsid w:val="00AA1C33"/>
    <w:rsid w:val="00AA1E6E"/>
    <w:rsid w:val="00AA24C2"/>
    <w:rsid w:val="00AA257A"/>
    <w:rsid w:val="00AA2772"/>
    <w:rsid w:val="00AA2F69"/>
    <w:rsid w:val="00AA3488"/>
    <w:rsid w:val="00AA3713"/>
    <w:rsid w:val="00AA3771"/>
    <w:rsid w:val="00AA3EE6"/>
    <w:rsid w:val="00AA3FA0"/>
    <w:rsid w:val="00AA41E8"/>
    <w:rsid w:val="00AA443E"/>
    <w:rsid w:val="00AA4652"/>
    <w:rsid w:val="00AA505B"/>
    <w:rsid w:val="00AA5215"/>
    <w:rsid w:val="00AA5337"/>
    <w:rsid w:val="00AA5DCC"/>
    <w:rsid w:val="00AA64C7"/>
    <w:rsid w:val="00AA6699"/>
    <w:rsid w:val="00AA7290"/>
    <w:rsid w:val="00AA7D32"/>
    <w:rsid w:val="00AA7D7B"/>
    <w:rsid w:val="00AB0102"/>
    <w:rsid w:val="00AB03E5"/>
    <w:rsid w:val="00AB0496"/>
    <w:rsid w:val="00AB04F4"/>
    <w:rsid w:val="00AB090A"/>
    <w:rsid w:val="00AB0911"/>
    <w:rsid w:val="00AB0948"/>
    <w:rsid w:val="00AB0A51"/>
    <w:rsid w:val="00AB0B6B"/>
    <w:rsid w:val="00AB0C67"/>
    <w:rsid w:val="00AB0CEC"/>
    <w:rsid w:val="00AB10CF"/>
    <w:rsid w:val="00AB1101"/>
    <w:rsid w:val="00AB1140"/>
    <w:rsid w:val="00AB12C5"/>
    <w:rsid w:val="00AB20A8"/>
    <w:rsid w:val="00AB21D2"/>
    <w:rsid w:val="00AB2915"/>
    <w:rsid w:val="00AB2C75"/>
    <w:rsid w:val="00AB2D00"/>
    <w:rsid w:val="00AB2D0D"/>
    <w:rsid w:val="00AB2D6E"/>
    <w:rsid w:val="00AB2DCE"/>
    <w:rsid w:val="00AB36C4"/>
    <w:rsid w:val="00AB3903"/>
    <w:rsid w:val="00AB3A38"/>
    <w:rsid w:val="00AB3DDB"/>
    <w:rsid w:val="00AB3F39"/>
    <w:rsid w:val="00AB42BC"/>
    <w:rsid w:val="00AB46FF"/>
    <w:rsid w:val="00AB4A5B"/>
    <w:rsid w:val="00AB4D6F"/>
    <w:rsid w:val="00AB4D8B"/>
    <w:rsid w:val="00AB500C"/>
    <w:rsid w:val="00AB535F"/>
    <w:rsid w:val="00AB59C7"/>
    <w:rsid w:val="00AB5B3F"/>
    <w:rsid w:val="00AB5C93"/>
    <w:rsid w:val="00AB6A6B"/>
    <w:rsid w:val="00AB6F47"/>
    <w:rsid w:val="00AB7294"/>
    <w:rsid w:val="00AC0676"/>
    <w:rsid w:val="00AC0783"/>
    <w:rsid w:val="00AC0791"/>
    <w:rsid w:val="00AC080B"/>
    <w:rsid w:val="00AC08AA"/>
    <w:rsid w:val="00AC096C"/>
    <w:rsid w:val="00AC0A9E"/>
    <w:rsid w:val="00AC1031"/>
    <w:rsid w:val="00AC1247"/>
    <w:rsid w:val="00AC1A48"/>
    <w:rsid w:val="00AC1B46"/>
    <w:rsid w:val="00AC1BD4"/>
    <w:rsid w:val="00AC1CE3"/>
    <w:rsid w:val="00AC2235"/>
    <w:rsid w:val="00AC2311"/>
    <w:rsid w:val="00AC23E4"/>
    <w:rsid w:val="00AC265F"/>
    <w:rsid w:val="00AC272F"/>
    <w:rsid w:val="00AC286E"/>
    <w:rsid w:val="00AC2978"/>
    <w:rsid w:val="00AC2A45"/>
    <w:rsid w:val="00AC2F04"/>
    <w:rsid w:val="00AC2FD0"/>
    <w:rsid w:val="00AC3D54"/>
    <w:rsid w:val="00AC4BBE"/>
    <w:rsid w:val="00AC4C4C"/>
    <w:rsid w:val="00AC4D19"/>
    <w:rsid w:val="00AC5656"/>
    <w:rsid w:val="00AC5717"/>
    <w:rsid w:val="00AC57A9"/>
    <w:rsid w:val="00AC5EFC"/>
    <w:rsid w:val="00AC5FC1"/>
    <w:rsid w:val="00AC65C6"/>
    <w:rsid w:val="00AC6A42"/>
    <w:rsid w:val="00AC6ADD"/>
    <w:rsid w:val="00AC6D97"/>
    <w:rsid w:val="00AC755C"/>
    <w:rsid w:val="00AC7633"/>
    <w:rsid w:val="00AC7641"/>
    <w:rsid w:val="00AC78D9"/>
    <w:rsid w:val="00AC7F47"/>
    <w:rsid w:val="00AD02FA"/>
    <w:rsid w:val="00AD07B7"/>
    <w:rsid w:val="00AD0E09"/>
    <w:rsid w:val="00AD1A0D"/>
    <w:rsid w:val="00AD1ACA"/>
    <w:rsid w:val="00AD2A7F"/>
    <w:rsid w:val="00AD2F79"/>
    <w:rsid w:val="00AD3119"/>
    <w:rsid w:val="00AD31D7"/>
    <w:rsid w:val="00AD3823"/>
    <w:rsid w:val="00AD3954"/>
    <w:rsid w:val="00AD3EF0"/>
    <w:rsid w:val="00AD41BE"/>
    <w:rsid w:val="00AD41E6"/>
    <w:rsid w:val="00AD47B6"/>
    <w:rsid w:val="00AD48DE"/>
    <w:rsid w:val="00AD5311"/>
    <w:rsid w:val="00AD57C1"/>
    <w:rsid w:val="00AD5BD7"/>
    <w:rsid w:val="00AD6036"/>
    <w:rsid w:val="00AD6182"/>
    <w:rsid w:val="00AD667E"/>
    <w:rsid w:val="00AD6743"/>
    <w:rsid w:val="00AD6E30"/>
    <w:rsid w:val="00AD6FA8"/>
    <w:rsid w:val="00AD6FC7"/>
    <w:rsid w:val="00AD7154"/>
    <w:rsid w:val="00AD7211"/>
    <w:rsid w:val="00AD7290"/>
    <w:rsid w:val="00AD74A1"/>
    <w:rsid w:val="00AD7BE1"/>
    <w:rsid w:val="00AD7C3E"/>
    <w:rsid w:val="00AD7FD1"/>
    <w:rsid w:val="00AE0577"/>
    <w:rsid w:val="00AE0B26"/>
    <w:rsid w:val="00AE12E2"/>
    <w:rsid w:val="00AE1364"/>
    <w:rsid w:val="00AE159A"/>
    <w:rsid w:val="00AE185E"/>
    <w:rsid w:val="00AE2151"/>
    <w:rsid w:val="00AE2494"/>
    <w:rsid w:val="00AE2687"/>
    <w:rsid w:val="00AE2DC7"/>
    <w:rsid w:val="00AE2DDD"/>
    <w:rsid w:val="00AE2E6C"/>
    <w:rsid w:val="00AE323B"/>
    <w:rsid w:val="00AE32E1"/>
    <w:rsid w:val="00AE341C"/>
    <w:rsid w:val="00AE34E7"/>
    <w:rsid w:val="00AE3989"/>
    <w:rsid w:val="00AE3BB2"/>
    <w:rsid w:val="00AE4544"/>
    <w:rsid w:val="00AE463C"/>
    <w:rsid w:val="00AE46F6"/>
    <w:rsid w:val="00AE470A"/>
    <w:rsid w:val="00AE476E"/>
    <w:rsid w:val="00AE4E50"/>
    <w:rsid w:val="00AE589E"/>
    <w:rsid w:val="00AE59EF"/>
    <w:rsid w:val="00AE5D0D"/>
    <w:rsid w:val="00AE60A3"/>
    <w:rsid w:val="00AE60A6"/>
    <w:rsid w:val="00AE6690"/>
    <w:rsid w:val="00AE711E"/>
    <w:rsid w:val="00AE727A"/>
    <w:rsid w:val="00AE7EE4"/>
    <w:rsid w:val="00AE7F3F"/>
    <w:rsid w:val="00AF0360"/>
    <w:rsid w:val="00AF06FA"/>
    <w:rsid w:val="00AF0B5A"/>
    <w:rsid w:val="00AF0F51"/>
    <w:rsid w:val="00AF1AFC"/>
    <w:rsid w:val="00AF1B7B"/>
    <w:rsid w:val="00AF22C6"/>
    <w:rsid w:val="00AF29AC"/>
    <w:rsid w:val="00AF2AA6"/>
    <w:rsid w:val="00AF2E8C"/>
    <w:rsid w:val="00AF3389"/>
    <w:rsid w:val="00AF36C2"/>
    <w:rsid w:val="00AF390A"/>
    <w:rsid w:val="00AF3DA2"/>
    <w:rsid w:val="00AF3F37"/>
    <w:rsid w:val="00AF4EDE"/>
    <w:rsid w:val="00AF5340"/>
    <w:rsid w:val="00AF5724"/>
    <w:rsid w:val="00AF590A"/>
    <w:rsid w:val="00AF59F7"/>
    <w:rsid w:val="00AF6A2E"/>
    <w:rsid w:val="00AF6B95"/>
    <w:rsid w:val="00AF6C20"/>
    <w:rsid w:val="00AF6E39"/>
    <w:rsid w:val="00AF706D"/>
    <w:rsid w:val="00B00199"/>
    <w:rsid w:val="00B00263"/>
    <w:rsid w:val="00B00384"/>
    <w:rsid w:val="00B00413"/>
    <w:rsid w:val="00B0069B"/>
    <w:rsid w:val="00B006EC"/>
    <w:rsid w:val="00B00AD8"/>
    <w:rsid w:val="00B00EDA"/>
    <w:rsid w:val="00B01074"/>
    <w:rsid w:val="00B0145A"/>
    <w:rsid w:val="00B016B5"/>
    <w:rsid w:val="00B017A4"/>
    <w:rsid w:val="00B01B05"/>
    <w:rsid w:val="00B01B70"/>
    <w:rsid w:val="00B01DBF"/>
    <w:rsid w:val="00B0298B"/>
    <w:rsid w:val="00B02AC2"/>
    <w:rsid w:val="00B02C8E"/>
    <w:rsid w:val="00B02E5E"/>
    <w:rsid w:val="00B031AC"/>
    <w:rsid w:val="00B0369A"/>
    <w:rsid w:val="00B0380F"/>
    <w:rsid w:val="00B0381D"/>
    <w:rsid w:val="00B0410C"/>
    <w:rsid w:val="00B044FE"/>
    <w:rsid w:val="00B049AA"/>
    <w:rsid w:val="00B05562"/>
    <w:rsid w:val="00B0614B"/>
    <w:rsid w:val="00B06479"/>
    <w:rsid w:val="00B06F46"/>
    <w:rsid w:val="00B074B8"/>
    <w:rsid w:val="00B10556"/>
    <w:rsid w:val="00B1074D"/>
    <w:rsid w:val="00B10AD8"/>
    <w:rsid w:val="00B10D9A"/>
    <w:rsid w:val="00B10E69"/>
    <w:rsid w:val="00B10FD2"/>
    <w:rsid w:val="00B11BFA"/>
    <w:rsid w:val="00B11F8C"/>
    <w:rsid w:val="00B12310"/>
    <w:rsid w:val="00B125AD"/>
    <w:rsid w:val="00B12715"/>
    <w:rsid w:val="00B1293A"/>
    <w:rsid w:val="00B13594"/>
    <w:rsid w:val="00B13994"/>
    <w:rsid w:val="00B13CF3"/>
    <w:rsid w:val="00B1421A"/>
    <w:rsid w:val="00B146B4"/>
    <w:rsid w:val="00B146C3"/>
    <w:rsid w:val="00B151E2"/>
    <w:rsid w:val="00B157AE"/>
    <w:rsid w:val="00B15836"/>
    <w:rsid w:val="00B15F37"/>
    <w:rsid w:val="00B16261"/>
    <w:rsid w:val="00B16657"/>
    <w:rsid w:val="00B16F62"/>
    <w:rsid w:val="00B16F6B"/>
    <w:rsid w:val="00B17212"/>
    <w:rsid w:val="00B1745F"/>
    <w:rsid w:val="00B17592"/>
    <w:rsid w:val="00B17686"/>
    <w:rsid w:val="00B177EB"/>
    <w:rsid w:val="00B17B14"/>
    <w:rsid w:val="00B2009B"/>
    <w:rsid w:val="00B200EC"/>
    <w:rsid w:val="00B203FE"/>
    <w:rsid w:val="00B2048F"/>
    <w:rsid w:val="00B207E5"/>
    <w:rsid w:val="00B213D2"/>
    <w:rsid w:val="00B21511"/>
    <w:rsid w:val="00B21697"/>
    <w:rsid w:val="00B21864"/>
    <w:rsid w:val="00B21885"/>
    <w:rsid w:val="00B21A84"/>
    <w:rsid w:val="00B21BAC"/>
    <w:rsid w:val="00B21D33"/>
    <w:rsid w:val="00B22463"/>
    <w:rsid w:val="00B226C2"/>
    <w:rsid w:val="00B227F3"/>
    <w:rsid w:val="00B22816"/>
    <w:rsid w:val="00B22D13"/>
    <w:rsid w:val="00B22D19"/>
    <w:rsid w:val="00B22DEC"/>
    <w:rsid w:val="00B22E8C"/>
    <w:rsid w:val="00B2337D"/>
    <w:rsid w:val="00B23A6D"/>
    <w:rsid w:val="00B23C70"/>
    <w:rsid w:val="00B24201"/>
    <w:rsid w:val="00B243C4"/>
    <w:rsid w:val="00B24FC1"/>
    <w:rsid w:val="00B258C3"/>
    <w:rsid w:val="00B25AEA"/>
    <w:rsid w:val="00B2641A"/>
    <w:rsid w:val="00B27262"/>
    <w:rsid w:val="00B2734A"/>
    <w:rsid w:val="00B277F4"/>
    <w:rsid w:val="00B27855"/>
    <w:rsid w:val="00B30287"/>
    <w:rsid w:val="00B30865"/>
    <w:rsid w:val="00B30971"/>
    <w:rsid w:val="00B30AF4"/>
    <w:rsid w:val="00B312E1"/>
    <w:rsid w:val="00B312EB"/>
    <w:rsid w:val="00B317C1"/>
    <w:rsid w:val="00B31ADB"/>
    <w:rsid w:val="00B31BE9"/>
    <w:rsid w:val="00B31E43"/>
    <w:rsid w:val="00B31F7A"/>
    <w:rsid w:val="00B32C12"/>
    <w:rsid w:val="00B32C8B"/>
    <w:rsid w:val="00B32D3B"/>
    <w:rsid w:val="00B33403"/>
    <w:rsid w:val="00B337FF"/>
    <w:rsid w:val="00B33845"/>
    <w:rsid w:val="00B34103"/>
    <w:rsid w:val="00B342CC"/>
    <w:rsid w:val="00B344EC"/>
    <w:rsid w:val="00B3456F"/>
    <w:rsid w:val="00B346A3"/>
    <w:rsid w:val="00B34915"/>
    <w:rsid w:val="00B349E3"/>
    <w:rsid w:val="00B34CE9"/>
    <w:rsid w:val="00B34E48"/>
    <w:rsid w:val="00B35178"/>
    <w:rsid w:val="00B359F1"/>
    <w:rsid w:val="00B35BDE"/>
    <w:rsid w:val="00B36295"/>
    <w:rsid w:val="00B3632F"/>
    <w:rsid w:val="00B36B09"/>
    <w:rsid w:val="00B36B27"/>
    <w:rsid w:val="00B37665"/>
    <w:rsid w:val="00B40031"/>
    <w:rsid w:val="00B4035A"/>
    <w:rsid w:val="00B40825"/>
    <w:rsid w:val="00B409E4"/>
    <w:rsid w:val="00B40D51"/>
    <w:rsid w:val="00B40DA2"/>
    <w:rsid w:val="00B4120E"/>
    <w:rsid w:val="00B41571"/>
    <w:rsid w:val="00B415C5"/>
    <w:rsid w:val="00B41682"/>
    <w:rsid w:val="00B417F9"/>
    <w:rsid w:val="00B41CEC"/>
    <w:rsid w:val="00B41DDF"/>
    <w:rsid w:val="00B41EC8"/>
    <w:rsid w:val="00B42052"/>
    <w:rsid w:val="00B422F8"/>
    <w:rsid w:val="00B42890"/>
    <w:rsid w:val="00B42CF3"/>
    <w:rsid w:val="00B42D04"/>
    <w:rsid w:val="00B4331F"/>
    <w:rsid w:val="00B43D49"/>
    <w:rsid w:val="00B43D57"/>
    <w:rsid w:val="00B44A38"/>
    <w:rsid w:val="00B44BCA"/>
    <w:rsid w:val="00B4517F"/>
    <w:rsid w:val="00B4538D"/>
    <w:rsid w:val="00B45B93"/>
    <w:rsid w:val="00B461BD"/>
    <w:rsid w:val="00B46676"/>
    <w:rsid w:val="00B46A5C"/>
    <w:rsid w:val="00B46DC0"/>
    <w:rsid w:val="00B46EBF"/>
    <w:rsid w:val="00B47109"/>
    <w:rsid w:val="00B4743A"/>
    <w:rsid w:val="00B4760F"/>
    <w:rsid w:val="00B476AC"/>
    <w:rsid w:val="00B476DF"/>
    <w:rsid w:val="00B47BC6"/>
    <w:rsid w:val="00B47C8A"/>
    <w:rsid w:val="00B47CF2"/>
    <w:rsid w:val="00B47EE7"/>
    <w:rsid w:val="00B500F0"/>
    <w:rsid w:val="00B50352"/>
    <w:rsid w:val="00B51667"/>
    <w:rsid w:val="00B517FB"/>
    <w:rsid w:val="00B519C1"/>
    <w:rsid w:val="00B51E25"/>
    <w:rsid w:val="00B51EAD"/>
    <w:rsid w:val="00B5243E"/>
    <w:rsid w:val="00B52592"/>
    <w:rsid w:val="00B5268A"/>
    <w:rsid w:val="00B52CCF"/>
    <w:rsid w:val="00B52F0E"/>
    <w:rsid w:val="00B536E4"/>
    <w:rsid w:val="00B53907"/>
    <w:rsid w:val="00B53A1B"/>
    <w:rsid w:val="00B53DEF"/>
    <w:rsid w:val="00B54440"/>
    <w:rsid w:val="00B554A4"/>
    <w:rsid w:val="00B55514"/>
    <w:rsid w:val="00B557DE"/>
    <w:rsid w:val="00B55996"/>
    <w:rsid w:val="00B55B0E"/>
    <w:rsid w:val="00B5602F"/>
    <w:rsid w:val="00B5610E"/>
    <w:rsid w:val="00B56A5D"/>
    <w:rsid w:val="00B56D8C"/>
    <w:rsid w:val="00B57CE4"/>
    <w:rsid w:val="00B57F1B"/>
    <w:rsid w:val="00B57FC1"/>
    <w:rsid w:val="00B6003E"/>
    <w:rsid w:val="00B6022F"/>
    <w:rsid w:val="00B604F4"/>
    <w:rsid w:val="00B6051D"/>
    <w:rsid w:val="00B61566"/>
    <w:rsid w:val="00B615EE"/>
    <w:rsid w:val="00B61D62"/>
    <w:rsid w:val="00B62055"/>
    <w:rsid w:val="00B6207A"/>
    <w:rsid w:val="00B620D6"/>
    <w:rsid w:val="00B626AD"/>
    <w:rsid w:val="00B62930"/>
    <w:rsid w:val="00B62E47"/>
    <w:rsid w:val="00B62EF0"/>
    <w:rsid w:val="00B63162"/>
    <w:rsid w:val="00B6349D"/>
    <w:rsid w:val="00B635A6"/>
    <w:rsid w:val="00B636FD"/>
    <w:rsid w:val="00B63814"/>
    <w:rsid w:val="00B63930"/>
    <w:rsid w:val="00B639B3"/>
    <w:rsid w:val="00B63A2A"/>
    <w:rsid w:val="00B63F44"/>
    <w:rsid w:val="00B64243"/>
    <w:rsid w:val="00B64870"/>
    <w:rsid w:val="00B64A9B"/>
    <w:rsid w:val="00B64C4F"/>
    <w:rsid w:val="00B64D6C"/>
    <w:rsid w:val="00B64D85"/>
    <w:rsid w:val="00B652A1"/>
    <w:rsid w:val="00B652A9"/>
    <w:rsid w:val="00B65323"/>
    <w:rsid w:val="00B65864"/>
    <w:rsid w:val="00B65AAF"/>
    <w:rsid w:val="00B65AF3"/>
    <w:rsid w:val="00B65E73"/>
    <w:rsid w:val="00B661DF"/>
    <w:rsid w:val="00B667DD"/>
    <w:rsid w:val="00B672DC"/>
    <w:rsid w:val="00B677D8"/>
    <w:rsid w:val="00B6782A"/>
    <w:rsid w:val="00B67C37"/>
    <w:rsid w:val="00B701A4"/>
    <w:rsid w:val="00B701B8"/>
    <w:rsid w:val="00B70643"/>
    <w:rsid w:val="00B707CC"/>
    <w:rsid w:val="00B70A18"/>
    <w:rsid w:val="00B70F7B"/>
    <w:rsid w:val="00B711A9"/>
    <w:rsid w:val="00B711CA"/>
    <w:rsid w:val="00B71828"/>
    <w:rsid w:val="00B71851"/>
    <w:rsid w:val="00B71932"/>
    <w:rsid w:val="00B71D8B"/>
    <w:rsid w:val="00B72045"/>
    <w:rsid w:val="00B723D3"/>
    <w:rsid w:val="00B7261C"/>
    <w:rsid w:val="00B7270C"/>
    <w:rsid w:val="00B728E5"/>
    <w:rsid w:val="00B72A2A"/>
    <w:rsid w:val="00B72A4C"/>
    <w:rsid w:val="00B73AD6"/>
    <w:rsid w:val="00B74618"/>
    <w:rsid w:val="00B752C0"/>
    <w:rsid w:val="00B75392"/>
    <w:rsid w:val="00B754E7"/>
    <w:rsid w:val="00B756C7"/>
    <w:rsid w:val="00B75750"/>
    <w:rsid w:val="00B7597D"/>
    <w:rsid w:val="00B761AB"/>
    <w:rsid w:val="00B767CF"/>
    <w:rsid w:val="00B76E83"/>
    <w:rsid w:val="00B77412"/>
    <w:rsid w:val="00B778D7"/>
    <w:rsid w:val="00B77DF5"/>
    <w:rsid w:val="00B80526"/>
    <w:rsid w:val="00B807E3"/>
    <w:rsid w:val="00B80C48"/>
    <w:rsid w:val="00B81243"/>
    <w:rsid w:val="00B81796"/>
    <w:rsid w:val="00B8183F"/>
    <w:rsid w:val="00B8224D"/>
    <w:rsid w:val="00B825CA"/>
    <w:rsid w:val="00B82B0A"/>
    <w:rsid w:val="00B82D87"/>
    <w:rsid w:val="00B82E73"/>
    <w:rsid w:val="00B8334B"/>
    <w:rsid w:val="00B83A28"/>
    <w:rsid w:val="00B83D0B"/>
    <w:rsid w:val="00B83E1B"/>
    <w:rsid w:val="00B83F1B"/>
    <w:rsid w:val="00B8459E"/>
    <w:rsid w:val="00B8479E"/>
    <w:rsid w:val="00B84852"/>
    <w:rsid w:val="00B848AF"/>
    <w:rsid w:val="00B848F7"/>
    <w:rsid w:val="00B84D63"/>
    <w:rsid w:val="00B85164"/>
    <w:rsid w:val="00B851B1"/>
    <w:rsid w:val="00B85616"/>
    <w:rsid w:val="00B85D95"/>
    <w:rsid w:val="00B86198"/>
    <w:rsid w:val="00B86440"/>
    <w:rsid w:val="00B86F12"/>
    <w:rsid w:val="00B87433"/>
    <w:rsid w:val="00B877AC"/>
    <w:rsid w:val="00B87814"/>
    <w:rsid w:val="00B90124"/>
    <w:rsid w:val="00B90463"/>
    <w:rsid w:val="00B9050E"/>
    <w:rsid w:val="00B90AA6"/>
    <w:rsid w:val="00B9137E"/>
    <w:rsid w:val="00B916ED"/>
    <w:rsid w:val="00B91819"/>
    <w:rsid w:val="00B91995"/>
    <w:rsid w:val="00B91F49"/>
    <w:rsid w:val="00B92361"/>
    <w:rsid w:val="00B926D0"/>
    <w:rsid w:val="00B928E2"/>
    <w:rsid w:val="00B92A6A"/>
    <w:rsid w:val="00B933C2"/>
    <w:rsid w:val="00B935D2"/>
    <w:rsid w:val="00B9367B"/>
    <w:rsid w:val="00B93DC1"/>
    <w:rsid w:val="00B94058"/>
    <w:rsid w:val="00B94554"/>
    <w:rsid w:val="00B94A78"/>
    <w:rsid w:val="00B95E1D"/>
    <w:rsid w:val="00B95F00"/>
    <w:rsid w:val="00B96008"/>
    <w:rsid w:val="00B961DF"/>
    <w:rsid w:val="00B96339"/>
    <w:rsid w:val="00B964D8"/>
    <w:rsid w:val="00B966A9"/>
    <w:rsid w:val="00B96A08"/>
    <w:rsid w:val="00B96B0D"/>
    <w:rsid w:val="00B96B68"/>
    <w:rsid w:val="00B96E79"/>
    <w:rsid w:val="00B96F1E"/>
    <w:rsid w:val="00B9706D"/>
    <w:rsid w:val="00B97A00"/>
    <w:rsid w:val="00B97DA6"/>
    <w:rsid w:val="00B97F33"/>
    <w:rsid w:val="00BA0137"/>
    <w:rsid w:val="00BA014F"/>
    <w:rsid w:val="00BA01AE"/>
    <w:rsid w:val="00BA02BA"/>
    <w:rsid w:val="00BA08C4"/>
    <w:rsid w:val="00BA0BAD"/>
    <w:rsid w:val="00BA0D28"/>
    <w:rsid w:val="00BA12E0"/>
    <w:rsid w:val="00BA13E8"/>
    <w:rsid w:val="00BA1DC7"/>
    <w:rsid w:val="00BA357C"/>
    <w:rsid w:val="00BA371D"/>
    <w:rsid w:val="00BA3BBA"/>
    <w:rsid w:val="00BA3DD5"/>
    <w:rsid w:val="00BA3E98"/>
    <w:rsid w:val="00BA41EC"/>
    <w:rsid w:val="00BA4444"/>
    <w:rsid w:val="00BA44F5"/>
    <w:rsid w:val="00BA457E"/>
    <w:rsid w:val="00BA45C6"/>
    <w:rsid w:val="00BA45F1"/>
    <w:rsid w:val="00BA481C"/>
    <w:rsid w:val="00BA493E"/>
    <w:rsid w:val="00BA4BF8"/>
    <w:rsid w:val="00BA4E2D"/>
    <w:rsid w:val="00BA559C"/>
    <w:rsid w:val="00BA5622"/>
    <w:rsid w:val="00BA56D5"/>
    <w:rsid w:val="00BA5775"/>
    <w:rsid w:val="00BA58EB"/>
    <w:rsid w:val="00BA59D4"/>
    <w:rsid w:val="00BA5BAB"/>
    <w:rsid w:val="00BA6664"/>
    <w:rsid w:val="00BA67AF"/>
    <w:rsid w:val="00BA74B5"/>
    <w:rsid w:val="00BA7625"/>
    <w:rsid w:val="00BA7EBF"/>
    <w:rsid w:val="00BB05DE"/>
    <w:rsid w:val="00BB0C43"/>
    <w:rsid w:val="00BB0CDB"/>
    <w:rsid w:val="00BB0D24"/>
    <w:rsid w:val="00BB152C"/>
    <w:rsid w:val="00BB168F"/>
    <w:rsid w:val="00BB178F"/>
    <w:rsid w:val="00BB1BC7"/>
    <w:rsid w:val="00BB1CF0"/>
    <w:rsid w:val="00BB1D64"/>
    <w:rsid w:val="00BB1EBF"/>
    <w:rsid w:val="00BB1FC5"/>
    <w:rsid w:val="00BB2250"/>
    <w:rsid w:val="00BB2836"/>
    <w:rsid w:val="00BB2DAF"/>
    <w:rsid w:val="00BB2EAF"/>
    <w:rsid w:val="00BB3501"/>
    <w:rsid w:val="00BB3764"/>
    <w:rsid w:val="00BB3E92"/>
    <w:rsid w:val="00BB4465"/>
    <w:rsid w:val="00BB4ECD"/>
    <w:rsid w:val="00BB4F77"/>
    <w:rsid w:val="00BB4F97"/>
    <w:rsid w:val="00BB51CB"/>
    <w:rsid w:val="00BB5736"/>
    <w:rsid w:val="00BB590A"/>
    <w:rsid w:val="00BB5D78"/>
    <w:rsid w:val="00BB5E42"/>
    <w:rsid w:val="00BB5F17"/>
    <w:rsid w:val="00BB5F4E"/>
    <w:rsid w:val="00BB6106"/>
    <w:rsid w:val="00BB668B"/>
    <w:rsid w:val="00BB692E"/>
    <w:rsid w:val="00BB6989"/>
    <w:rsid w:val="00BB6CCC"/>
    <w:rsid w:val="00BB71BC"/>
    <w:rsid w:val="00BB7714"/>
    <w:rsid w:val="00BB7961"/>
    <w:rsid w:val="00BB7A66"/>
    <w:rsid w:val="00BB7D12"/>
    <w:rsid w:val="00BB7F50"/>
    <w:rsid w:val="00BC0250"/>
    <w:rsid w:val="00BC02B3"/>
    <w:rsid w:val="00BC0550"/>
    <w:rsid w:val="00BC0623"/>
    <w:rsid w:val="00BC0AA4"/>
    <w:rsid w:val="00BC0F66"/>
    <w:rsid w:val="00BC1270"/>
    <w:rsid w:val="00BC12D4"/>
    <w:rsid w:val="00BC183B"/>
    <w:rsid w:val="00BC1B9C"/>
    <w:rsid w:val="00BC1EC5"/>
    <w:rsid w:val="00BC2698"/>
    <w:rsid w:val="00BC2814"/>
    <w:rsid w:val="00BC2931"/>
    <w:rsid w:val="00BC2E0D"/>
    <w:rsid w:val="00BC3159"/>
    <w:rsid w:val="00BC31A0"/>
    <w:rsid w:val="00BC322F"/>
    <w:rsid w:val="00BC3289"/>
    <w:rsid w:val="00BC3886"/>
    <w:rsid w:val="00BC3949"/>
    <w:rsid w:val="00BC4092"/>
    <w:rsid w:val="00BC413A"/>
    <w:rsid w:val="00BC41C5"/>
    <w:rsid w:val="00BC42F0"/>
    <w:rsid w:val="00BC43E5"/>
    <w:rsid w:val="00BC44B2"/>
    <w:rsid w:val="00BC44C7"/>
    <w:rsid w:val="00BC457E"/>
    <w:rsid w:val="00BC489A"/>
    <w:rsid w:val="00BC4C4F"/>
    <w:rsid w:val="00BC4CED"/>
    <w:rsid w:val="00BC4DAD"/>
    <w:rsid w:val="00BC4FCB"/>
    <w:rsid w:val="00BC5602"/>
    <w:rsid w:val="00BC5660"/>
    <w:rsid w:val="00BC5880"/>
    <w:rsid w:val="00BC5982"/>
    <w:rsid w:val="00BC5EB8"/>
    <w:rsid w:val="00BC63D7"/>
    <w:rsid w:val="00BC7136"/>
    <w:rsid w:val="00BC7678"/>
    <w:rsid w:val="00BC7B89"/>
    <w:rsid w:val="00BD0A8C"/>
    <w:rsid w:val="00BD1A8D"/>
    <w:rsid w:val="00BD1C5F"/>
    <w:rsid w:val="00BD1CB3"/>
    <w:rsid w:val="00BD1EDD"/>
    <w:rsid w:val="00BD227A"/>
    <w:rsid w:val="00BD249C"/>
    <w:rsid w:val="00BD273E"/>
    <w:rsid w:val="00BD2850"/>
    <w:rsid w:val="00BD28C9"/>
    <w:rsid w:val="00BD2959"/>
    <w:rsid w:val="00BD2DE5"/>
    <w:rsid w:val="00BD30E6"/>
    <w:rsid w:val="00BD331A"/>
    <w:rsid w:val="00BD3823"/>
    <w:rsid w:val="00BD394A"/>
    <w:rsid w:val="00BD41FE"/>
    <w:rsid w:val="00BD4679"/>
    <w:rsid w:val="00BD4AE0"/>
    <w:rsid w:val="00BD5331"/>
    <w:rsid w:val="00BD5804"/>
    <w:rsid w:val="00BD5C11"/>
    <w:rsid w:val="00BD5E4A"/>
    <w:rsid w:val="00BD61AC"/>
    <w:rsid w:val="00BD661C"/>
    <w:rsid w:val="00BD6C3A"/>
    <w:rsid w:val="00BD6F3B"/>
    <w:rsid w:val="00BD715A"/>
    <w:rsid w:val="00BD7540"/>
    <w:rsid w:val="00BD75E7"/>
    <w:rsid w:val="00BD7B7D"/>
    <w:rsid w:val="00BE0792"/>
    <w:rsid w:val="00BE0871"/>
    <w:rsid w:val="00BE08D9"/>
    <w:rsid w:val="00BE094E"/>
    <w:rsid w:val="00BE0AC4"/>
    <w:rsid w:val="00BE0D0E"/>
    <w:rsid w:val="00BE0F6D"/>
    <w:rsid w:val="00BE17FC"/>
    <w:rsid w:val="00BE1910"/>
    <w:rsid w:val="00BE24EB"/>
    <w:rsid w:val="00BE2656"/>
    <w:rsid w:val="00BE2859"/>
    <w:rsid w:val="00BE2971"/>
    <w:rsid w:val="00BE2D65"/>
    <w:rsid w:val="00BE30C5"/>
    <w:rsid w:val="00BE391A"/>
    <w:rsid w:val="00BE3C91"/>
    <w:rsid w:val="00BE3FAF"/>
    <w:rsid w:val="00BE40B7"/>
    <w:rsid w:val="00BE429F"/>
    <w:rsid w:val="00BE4363"/>
    <w:rsid w:val="00BE4C15"/>
    <w:rsid w:val="00BE4D60"/>
    <w:rsid w:val="00BE4E49"/>
    <w:rsid w:val="00BE5470"/>
    <w:rsid w:val="00BE55D6"/>
    <w:rsid w:val="00BE69A4"/>
    <w:rsid w:val="00BE6AAD"/>
    <w:rsid w:val="00BE6D7E"/>
    <w:rsid w:val="00BE78D2"/>
    <w:rsid w:val="00BE7BEC"/>
    <w:rsid w:val="00BF0C8F"/>
    <w:rsid w:val="00BF0E60"/>
    <w:rsid w:val="00BF0F07"/>
    <w:rsid w:val="00BF10B1"/>
    <w:rsid w:val="00BF16E2"/>
    <w:rsid w:val="00BF1AA8"/>
    <w:rsid w:val="00BF1D03"/>
    <w:rsid w:val="00BF2079"/>
    <w:rsid w:val="00BF261B"/>
    <w:rsid w:val="00BF261D"/>
    <w:rsid w:val="00BF26D0"/>
    <w:rsid w:val="00BF2B69"/>
    <w:rsid w:val="00BF2BC5"/>
    <w:rsid w:val="00BF302C"/>
    <w:rsid w:val="00BF327E"/>
    <w:rsid w:val="00BF340B"/>
    <w:rsid w:val="00BF346D"/>
    <w:rsid w:val="00BF3923"/>
    <w:rsid w:val="00BF3C57"/>
    <w:rsid w:val="00BF3D51"/>
    <w:rsid w:val="00BF3DBB"/>
    <w:rsid w:val="00BF3FC3"/>
    <w:rsid w:val="00BF42A4"/>
    <w:rsid w:val="00BF42C9"/>
    <w:rsid w:val="00BF46DE"/>
    <w:rsid w:val="00BF4C16"/>
    <w:rsid w:val="00BF4C71"/>
    <w:rsid w:val="00BF4C7D"/>
    <w:rsid w:val="00BF4F2E"/>
    <w:rsid w:val="00BF50CE"/>
    <w:rsid w:val="00BF52C7"/>
    <w:rsid w:val="00BF5319"/>
    <w:rsid w:val="00BF56A1"/>
    <w:rsid w:val="00BF56BC"/>
    <w:rsid w:val="00BF5EE4"/>
    <w:rsid w:val="00BF5EF5"/>
    <w:rsid w:val="00BF5F04"/>
    <w:rsid w:val="00BF6D0A"/>
    <w:rsid w:val="00BF6F28"/>
    <w:rsid w:val="00BF7064"/>
    <w:rsid w:val="00BF7724"/>
    <w:rsid w:val="00BF7EF2"/>
    <w:rsid w:val="00C00099"/>
    <w:rsid w:val="00C00444"/>
    <w:rsid w:val="00C004A1"/>
    <w:rsid w:val="00C00624"/>
    <w:rsid w:val="00C00E77"/>
    <w:rsid w:val="00C013F5"/>
    <w:rsid w:val="00C013FA"/>
    <w:rsid w:val="00C022AC"/>
    <w:rsid w:val="00C023C7"/>
    <w:rsid w:val="00C02402"/>
    <w:rsid w:val="00C031BD"/>
    <w:rsid w:val="00C033FA"/>
    <w:rsid w:val="00C0343D"/>
    <w:rsid w:val="00C03D04"/>
    <w:rsid w:val="00C040A2"/>
    <w:rsid w:val="00C040EA"/>
    <w:rsid w:val="00C04412"/>
    <w:rsid w:val="00C046A5"/>
    <w:rsid w:val="00C04E77"/>
    <w:rsid w:val="00C051A0"/>
    <w:rsid w:val="00C0528D"/>
    <w:rsid w:val="00C05445"/>
    <w:rsid w:val="00C0549E"/>
    <w:rsid w:val="00C057A7"/>
    <w:rsid w:val="00C05D6E"/>
    <w:rsid w:val="00C05FD9"/>
    <w:rsid w:val="00C0663F"/>
    <w:rsid w:val="00C066E3"/>
    <w:rsid w:val="00C06905"/>
    <w:rsid w:val="00C06D12"/>
    <w:rsid w:val="00C06D65"/>
    <w:rsid w:val="00C074D3"/>
    <w:rsid w:val="00C07BBA"/>
    <w:rsid w:val="00C07EA9"/>
    <w:rsid w:val="00C101D5"/>
    <w:rsid w:val="00C10EE2"/>
    <w:rsid w:val="00C1125B"/>
    <w:rsid w:val="00C1157B"/>
    <w:rsid w:val="00C1158B"/>
    <w:rsid w:val="00C118D2"/>
    <w:rsid w:val="00C11E6A"/>
    <w:rsid w:val="00C12466"/>
    <w:rsid w:val="00C124F0"/>
    <w:rsid w:val="00C124FA"/>
    <w:rsid w:val="00C13036"/>
    <w:rsid w:val="00C130B3"/>
    <w:rsid w:val="00C13194"/>
    <w:rsid w:val="00C13207"/>
    <w:rsid w:val="00C13637"/>
    <w:rsid w:val="00C13676"/>
    <w:rsid w:val="00C1399E"/>
    <w:rsid w:val="00C14923"/>
    <w:rsid w:val="00C14CEF"/>
    <w:rsid w:val="00C14D04"/>
    <w:rsid w:val="00C15351"/>
    <w:rsid w:val="00C158B3"/>
    <w:rsid w:val="00C159A4"/>
    <w:rsid w:val="00C15D79"/>
    <w:rsid w:val="00C16205"/>
    <w:rsid w:val="00C16360"/>
    <w:rsid w:val="00C16549"/>
    <w:rsid w:val="00C16847"/>
    <w:rsid w:val="00C16BA6"/>
    <w:rsid w:val="00C16E57"/>
    <w:rsid w:val="00C1745C"/>
    <w:rsid w:val="00C174EF"/>
    <w:rsid w:val="00C1790C"/>
    <w:rsid w:val="00C17A45"/>
    <w:rsid w:val="00C17E2D"/>
    <w:rsid w:val="00C2096F"/>
    <w:rsid w:val="00C20A05"/>
    <w:rsid w:val="00C20A76"/>
    <w:rsid w:val="00C215FB"/>
    <w:rsid w:val="00C21A04"/>
    <w:rsid w:val="00C21EF6"/>
    <w:rsid w:val="00C2269E"/>
    <w:rsid w:val="00C22760"/>
    <w:rsid w:val="00C22883"/>
    <w:rsid w:val="00C22996"/>
    <w:rsid w:val="00C22F67"/>
    <w:rsid w:val="00C2363D"/>
    <w:rsid w:val="00C23A60"/>
    <w:rsid w:val="00C23B01"/>
    <w:rsid w:val="00C23B84"/>
    <w:rsid w:val="00C23C37"/>
    <w:rsid w:val="00C240C3"/>
    <w:rsid w:val="00C243B7"/>
    <w:rsid w:val="00C2455E"/>
    <w:rsid w:val="00C24759"/>
    <w:rsid w:val="00C24E31"/>
    <w:rsid w:val="00C251FA"/>
    <w:rsid w:val="00C2537C"/>
    <w:rsid w:val="00C258E2"/>
    <w:rsid w:val="00C25924"/>
    <w:rsid w:val="00C25A58"/>
    <w:rsid w:val="00C26007"/>
    <w:rsid w:val="00C26427"/>
    <w:rsid w:val="00C26826"/>
    <w:rsid w:val="00C278E2"/>
    <w:rsid w:val="00C27A6C"/>
    <w:rsid w:val="00C27A8D"/>
    <w:rsid w:val="00C3004F"/>
    <w:rsid w:val="00C30161"/>
    <w:rsid w:val="00C303FC"/>
    <w:rsid w:val="00C307E0"/>
    <w:rsid w:val="00C30C54"/>
    <w:rsid w:val="00C30D9B"/>
    <w:rsid w:val="00C30E83"/>
    <w:rsid w:val="00C30E9B"/>
    <w:rsid w:val="00C30F39"/>
    <w:rsid w:val="00C314BE"/>
    <w:rsid w:val="00C31ECC"/>
    <w:rsid w:val="00C31F11"/>
    <w:rsid w:val="00C3202C"/>
    <w:rsid w:val="00C3254D"/>
    <w:rsid w:val="00C32972"/>
    <w:rsid w:val="00C32D43"/>
    <w:rsid w:val="00C333B1"/>
    <w:rsid w:val="00C33630"/>
    <w:rsid w:val="00C33757"/>
    <w:rsid w:val="00C3390E"/>
    <w:rsid w:val="00C33C17"/>
    <w:rsid w:val="00C33C23"/>
    <w:rsid w:val="00C343F7"/>
    <w:rsid w:val="00C347BE"/>
    <w:rsid w:val="00C349A7"/>
    <w:rsid w:val="00C34A09"/>
    <w:rsid w:val="00C34B23"/>
    <w:rsid w:val="00C34B43"/>
    <w:rsid w:val="00C34C9C"/>
    <w:rsid w:val="00C35259"/>
    <w:rsid w:val="00C35798"/>
    <w:rsid w:val="00C35A0D"/>
    <w:rsid w:val="00C36F8E"/>
    <w:rsid w:val="00C37041"/>
    <w:rsid w:val="00C370B5"/>
    <w:rsid w:val="00C37304"/>
    <w:rsid w:val="00C379D4"/>
    <w:rsid w:val="00C37C71"/>
    <w:rsid w:val="00C402D9"/>
    <w:rsid w:val="00C40773"/>
    <w:rsid w:val="00C4089A"/>
    <w:rsid w:val="00C40B3B"/>
    <w:rsid w:val="00C40C38"/>
    <w:rsid w:val="00C40E55"/>
    <w:rsid w:val="00C413B8"/>
    <w:rsid w:val="00C41995"/>
    <w:rsid w:val="00C42393"/>
    <w:rsid w:val="00C42CD3"/>
    <w:rsid w:val="00C434C2"/>
    <w:rsid w:val="00C4360B"/>
    <w:rsid w:val="00C436EB"/>
    <w:rsid w:val="00C43935"/>
    <w:rsid w:val="00C455F0"/>
    <w:rsid w:val="00C457BC"/>
    <w:rsid w:val="00C45A81"/>
    <w:rsid w:val="00C45B5C"/>
    <w:rsid w:val="00C45C86"/>
    <w:rsid w:val="00C45D60"/>
    <w:rsid w:val="00C4727D"/>
    <w:rsid w:val="00C477A7"/>
    <w:rsid w:val="00C4784B"/>
    <w:rsid w:val="00C4796A"/>
    <w:rsid w:val="00C47B5D"/>
    <w:rsid w:val="00C50098"/>
    <w:rsid w:val="00C500D4"/>
    <w:rsid w:val="00C50812"/>
    <w:rsid w:val="00C50A09"/>
    <w:rsid w:val="00C50FEA"/>
    <w:rsid w:val="00C51083"/>
    <w:rsid w:val="00C510B7"/>
    <w:rsid w:val="00C5154F"/>
    <w:rsid w:val="00C515E3"/>
    <w:rsid w:val="00C51943"/>
    <w:rsid w:val="00C51ECC"/>
    <w:rsid w:val="00C52046"/>
    <w:rsid w:val="00C52589"/>
    <w:rsid w:val="00C52AAD"/>
    <w:rsid w:val="00C52D6D"/>
    <w:rsid w:val="00C53254"/>
    <w:rsid w:val="00C533CE"/>
    <w:rsid w:val="00C538FC"/>
    <w:rsid w:val="00C53AC7"/>
    <w:rsid w:val="00C53C37"/>
    <w:rsid w:val="00C54089"/>
    <w:rsid w:val="00C542E4"/>
    <w:rsid w:val="00C54554"/>
    <w:rsid w:val="00C5462D"/>
    <w:rsid w:val="00C54754"/>
    <w:rsid w:val="00C5499D"/>
    <w:rsid w:val="00C54C47"/>
    <w:rsid w:val="00C55134"/>
    <w:rsid w:val="00C555B1"/>
    <w:rsid w:val="00C55696"/>
    <w:rsid w:val="00C557B2"/>
    <w:rsid w:val="00C559A8"/>
    <w:rsid w:val="00C559E0"/>
    <w:rsid w:val="00C55D46"/>
    <w:rsid w:val="00C56573"/>
    <w:rsid w:val="00C56786"/>
    <w:rsid w:val="00C567D3"/>
    <w:rsid w:val="00C56A24"/>
    <w:rsid w:val="00C575D6"/>
    <w:rsid w:val="00C57876"/>
    <w:rsid w:val="00C57DB2"/>
    <w:rsid w:val="00C57F43"/>
    <w:rsid w:val="00C57FE7"/>
    <w:rsid w:val="00C600AC"/>
    <w:rsid w:val="00C60169"/>
    <w:rsid w:val="00C606C4"/>
    <w:rsid w:val="00C607CC"/>
    <w:rsid w:val="00C60C64"/>
    <w:rsid w:val="00C60E82"/>
    <w:rsid w:val="00C61956"/>
    <w:rsid w:val="00C62087"/>
    <w:rsid w:val="00C6218F"/>
    <w:rsid w:val="00C6285D"/>
    <w:rsid w:val="00C62889"/>
    <w:rsid w:val="00C62DB9"/>
    <w:rsid w:val="00C62DC9"/>
    <w:rsid w:val="00C63226"/>
    <w:rsid w:val="00C63537"/>
    <w:rsid w:val="00C6364B"/>
    <w:rsid w:val="00C63BA4"/>
    <w:rsid w:val="00C63DE7"/>
    <w:rsid w:val="00C64267"/>
    <w:rsid w:val="00C645F1"/>
    <w:rsid w:val="00C6530E"/>
    <w:rsid w:val="00C6544B"/>
    <w:rsid w:val="00C65C8D"/>
    <w:rsid w:val="00C65CC5"/>
    <w:rsid w:val="00C65D80"/>
    <w:rsid w:val="00C65EB3"/>
    <w:rsid w:val="00C66731"/>
    <w:rsid w:val="00C66A1C"/>
    <w:rsid w:val="00C678BC"/>
    <w:rsid w:val="00C67CBE"/>
    <w:rsid w:val="00C67D83"/>
    <w:rsid w:val="00C67FC0"/>
    <w:rsid w:val="00C7040A"/>
    <w:rsid w:val="00C7061B"/>
    <w:rsid w:val="00C709FA"/>
    <w:rsid w:val="00C70ADB"/>
    <w:rsid w:val="00C70C88"/>
    <w:rsid w:val="00C71567"/>
    <w:rsid w:val="00C71BD6"/>
    <w:rsid w:val="00C71C0D"/>
    <w:rsid w:val="00C72236"/>
    <w:rsid w:val="00C725A0"/>
    <w:rsid w:val="00C72756"/>
    <w:rsid w:val="00C72B13"/>
    <w:rsid w:val="00C72BBA"/>
    <w:rsid w:val="00C72F6D"/>
    <w:rsid w:val="00C730CA"/>
    <w:rsid w:val="00C7318D"/>
    <w:rsid w:val="00C73408"/>
    <w:rsid w:val="00C73572"/>
    <w:rsid w:val="00C73AC6"/>
    <w:rsid w:val="00C73C8E"/>
    <w:rsid w:val="00C742E4"/>
    <w:rsid w:val="00C74435"/>
    <w:rsid w:val="00C748DB"/>
    <w:rsid w:val="00C74CD3"/>
    <w:rsid w:val="00C751BA"/>
    <w:rsid w:val="00C75243"/>
    <w:rsid w:val="00C75252"/>
    <w:rsid w:val="00C75460"/>
    <w:rsid w:val="00C754F7"/>
    <w:rsid w:val="00C7589B"/>
    <w:rsid w:val="00C75920"/>
    <w:rsid w:val="00C75A73"/>
    <w:rsid w:val="00C75A88"/>
    <w:rsid w:val="00C75B48"/>
    <w:rsid w:val="00C75EB0"/>
    <w:rsid w:val="00C76202"/>
    <w:rsid w:val="00C76313"/>
    <w:rsid w:val="00C766E6"/>
    <w:rsid w:val="00C766FD"/>
    <w:rsid w:val="00C76AAE"/>
    <w:rsid w:val="00C76B69"/>
    <w:rsid w:val="00C76D35"/>
    <w:rsid w:val="00C76D4E"/>
    <w:rsid w:val="00C76D86"/>
    <w:rsid w:val="00C77632"/>
    <w:rsid w:val="00C77B06"/>
    <w:rsid w:val="00C80311"/>
    <w:rsid w:val="00C80500"/>
    <w:rsid w:val="00C80797"/>
    <w:rsid w:val="00C80C35"/>
    <w:rsid w:val="00C81257"/>
    <w:rsid w:val="00C816B4"/>
    <w:rsid w:val="00C81C33"/>
    <w:rsid w:val="00C821F7"/>
    <w:rsid w:val="00C8285E"/>
    <w:rsid w:val="00C834CF"/>
    <w:rsid w:val="00C834DE"/>
    <w:rsid w:val="00C83AC9"/>
    <w:rsid w:val="00C83D87"/>
    <w:rsid w:val="00C83E93"/>
    <w:rsid w:val="00C8429B"/>
    <w:rsid w:val="00C84384"/>
    <w:rsid w:val="00C84648"/>
    <w:rsid w:val="00C84BD1"/>
    <w:rsid w:val="00C84D2B"/>
    <w:rsid w:val="00C85232"/>
    <w:rsid w:val="00C853DF"/>
    <w:rsid w:val="00C8574E"/>
    <w:rsid w:val="00C857A5"/>
    <w:rsid w:val="00C85C49"/>
    <w:rsid w:val="00C864FD"/>
    <w:rsid w:val="00C867EB"/>
    <w:rsid w:val="00C870C5"/>
    <w:rsid w:val="00C8728F"/>
    <w:rsid w:val="00C872C3"/>
    <w:rsid w:val="00C872C4"/>
    <w:rsid w:val="00C87847"/>
    <w:rsid w:val="00C87CBD"/>
    <w:rsid w:val="00C87EB0"/>
    <w:rsid w:val="00C9037E"/>
    <w:rsid w:val="00C90591"/>
    <w:rsid w:val="00C90BEF"/>
    <w:rsid w:val="00C90E9A"/>
    <w:rsid w:val="00C91551"/>
    <w:rsid w:val="00C91962"/>
    <w:rsid w:val="00C92736"/>
    <w:rsid w:val="00C92C2E"/>
    <w:rsid w:val="00C92D9E"/>
    <w:rsid w:val="00C92E87"/>
    <w:rsid w:val="00C9314C"/>
    <w:rsid w:val="00C934FD"/>
    <w:rsid w:val="00C93887"/>
    <w:rsid w:val="00C93D66"/>
    <w:rsid w:val="00C93E89"/>
    <w:rsid w:val="00C943F5"/>
    <w:rsid w:val="00C94584"/>
    <w:rsid w:val="00C94A6A"/>
    <w:rsid w:val="00C94CA2"/>
    <w:rsid w:val="00C94DCB"/>
    <w:rsid w:val="00C95530"/>
    <w:rsid w:val="00C958F9"/>
    <w:rsid w:val="00C95969"/>
    <w:rsid w:val="00C95EC8"/>
    <w:rsid w:val="00C97146"/>
    <w:rsid w:val="00C97322"/>
    <w:rsid w:val="00C97AED"/>
    <w:rsid w:val="00CA030F"/>
    <w:rsid w:val="00CA05EE"/>
    <w:rsid w:val="00CA065F"/>
    <w:rsid w:val="00CA0B94"/>
    <w:rsid w:val="00CA1090"/>
    <w:rsid w:val="00CA147D"/>
    <w:rsid w:val="00CA14D3"/>
    <w:rsid w:val="00CA16DC"/>
    <w:rsid w:val="00CA170E"/>
    <w:rsid w:val="00CA19C2"/>
    <w:rsid w:val="00CA1AD6"/>
    <w:rsid w:val="00CA1D32"/>
    <w:rsid w:val="00CA2310"/>
    <w:rsid w:val="00CA2458"/>
    <w:rsid w:val="00CA2AF9"/>
    <w:rsid w:val="00CA2C75"/>
    <w:rsid w:val="00CA37F8"/>
    <w:rsid w:val="00CA3EAF"/>
    <w:rsid w:val="00CA4098"/>
    <w:rsid w:val="00CA41DF"/>
    <w:rsid w:val="00CA4576"/>
    <w:rsid w:val="00CA4626"/>
    <w:rsid w:val="00CA4906"/>
    <w:rsid w:val="00CA4CA6"/>
    <w:rsid w:val="00CA4D53"/>
    <w:rsid w:val="00CA500D"/>
    <w:rsid w:val="00CA50E3"/>
    <w:rsid w:val="00CA57EA"/>
    <w:rsid w:val="00CA58E8"/>
    <w:rsid w:val="00CA5D06"/>
    <w:rsid w:val="00CA636F"/>
    <w:rsid w:val="00CA6570"/>
    <w:rsid w:val="00CA6643"/>
    <w:rsid w:val="00CA6A02"/>
    <w:rsid w:val="00CA7332"/>
    <w:rsid w:val="00CA76F1"/>
    <w:rsid w:val="00CA79E2"/>
    <w:rsid w:val="00CA7C53"/>
    <w:rsid w:val="00CB018D"/>
    <w:rsid w:val="00CB01BC"/>
    <w:rsid w:val="00CB0321"/>
    <w:rsid w:val="00CB0588"/>
    <w:rsid w:val="00CB05AF"/>
    <w:rsid w:val="00CB08A9"/>
    <w:rsid w:val="00CB0E8B"/>
    <w:rsid w:val="00CB103B"/>
    <w:rsid w:val="00CB1148"/>
    <w:rsid w:val="00CB161D"/>
    <w:rsid w:val="00CB17CA"/>
    <w:rsid w:val="00CB1A5E"/>
    <w:rsid w:val="00CB1AF7"/>
    <w:rsid w:val="00CB1E21"/>
    <w:rsid w:val="00CB1FBF"/>
    <w:rsid w:val="00CB1FCC"/>
    <w:rsid w:val="00CB238D"/>
    <w:rsid w:val="00CB2451"/>
    <w:rsid w:val="00CB2834"/>
    <w:rsid w:val="00CB2926"/>
    <w:rsid w:val="00CB2935"/>
    <w:rsid w:val="00CB2994"/>
    <w:rsid w:val="00CB29DC"/>
    <w:rsid w:val="00CB2ED8"/>
    <w:rsid w:val="00CB3055"/>
    <w:rsid w:val="00CB3524"/>
    <w:rsid w:val="00CB38F6"/>
    <w:rsid w:val="00CB3F75"/>
    <w:rsid w:val="00CB441B"/>
    <w:rsid w:val="00CB4599"/>
    <w:rsid w:val="00CB4B00"/>
    <w:rsid w:val="00CB52FE"/>
    <w:rsid w:val="00CB660F"/>
    <w:rsid w:val="00CB69AF"/>
    <w:rsid w:val="00CB7B34"/>
    <w:rsid w:val="00CB7C65"/>
    <w:rsid w:val="00CB7D53"/>
    <w:rsid w:val="00CC00C5"/>
    <w:rsid w:val="00CC010D"/>
    <w:rsid w:val="00CC067F"/>
    <w:rsid w:val="00CC0744"/>
    <w:rsid w:val="00CC0A8F"/>
    <w:rsid w:val="00CC118A"/>
    <w:rsid w:val="00CC11BF"/>
    <w:rsid w:val="00CC11F1"/>
    <w:rsid w:val="00CC13B1"/>
    <w:rsid w:val="00CC17AC"/>
    <w:rsid w:val="00CC192A"/>
    <w:rsid w:val="00CC1B7F"/>
    <w:rsid w:val="00CC293D"/>
    <w:rsid w:val="00CC2A1E"/>
    <w:rsid w:val="00CC3318"/>
    <w:rsid w:val="00CC35C3"/>
    <w:rsid w:val="00CC4645"/>
    <w:rsid w:val="00CC46BA"/>
    <w:rsid w:val="00CC4DAE"/>
    <w:rsid w:val="00CC5619"/>
    <w:rsid w:val="00CC67E7"/>
    <w:rsid w:val="00CC78C6"/>
    <w:rsid w:val="00CC7998"/>
    <w:rsid w:val="00CC7C26"/>
    <w:rsid w:val="00CC7C5B"/>
    <w:rsid w:val="00CD08DD"/>
    <w:rsid w:val="00CD0A52"/>
    <w:rsid w:val="00CD0A91"/>
    <w:rsid w:val="00CD0BCF"/>
    <w:rsid w:val="00CD0D98"/>
    <w:rsid w:val="00CD137B"/>
    <w:rsid w:val="00CD1690"/>
    <w:rsid w:val="00CD1CA9"/>
    <w:rsid w:val="00CD2333"/>
    <w:rsid w:val="00CD264E"/>
    <w:rsid w:val="00CD2682"/>
    <w:rsid w:val="00CD3EB5"/>
    <w:rsid w:val="00CD4719"/>
    <w:rsid w:val="00CD47C6"/>
    <w:rsid w:val="00CD4BE5"/>
    <w:rsid w:val="00CD4F46"/>
    <w:rsid w:val="00CD5194"/>
    <w:rsid w:val="00CD5464"/>
    <w:rsid w:val="00CD577D"/>
    <w:rsid w:val="00CD5822"/>
    <w:rsid w:val="00CD5DA5"/>
    <w:rsid w:val="00CD5F26"/>
    <w:rsid w:val="00CD6547"/>
    <w:rsid w:val="00CD65DB"/>
    <w:rsid w:val="00CD6C55"/>
    <w:rsid w:val="00CD7920"/>
    <w:rsid w:val="00CD7EF6"/>
    <w:rsid w:val="00CE02DC"/>
    <w:rsid w:val="00CE05CB"/>
    <w:rsid w:val="00CE0BB2"/>
    <w:rsid w:val="00CE107B"/>
    <w:rsid w:val="00CE1648"/>
    <w:rsid w:val="00CE1A7F"/>
    <w:rsid w:val="00CE1B97"/>
    <w:rsid w:val="00CE1C39"/>
    <w:rsid w:val="00CE1CB5"/>
    <w:rsid w:val="00CE1E8D"/>
    <w:rsid w:val="00CE1F9C"/>
    <w:rsid w:val="00CE2A7F"/>
    <w:rsid w:val="00CE352E"/>
    <w:rsid w:val="00CE3D15"/>
    <w:rsid w:val="00CE3E99"/>
    <w:rsid w:val="00CE3F8E"/>
    <w:rsid w:val="00CE4D08"/>
    <w:rsid w:val="00CE4F32"/>
    <w:rsid w:val="00CE59DE"/>
    <w:rsid w:val="00CE5AB9"/>
    <w:rsid w:val="00CE625C"/>
    <w:rsid w:val="00CE65EB"/>
    <w:rsid w:val="00CE66E2"/>
    <w:rsid w:val="00CE7D7F"/>
    <w:rsid w:val="00CE7DDF"/>
    <w:rsid w:val="00CF0524"/>
    <w:rsid w:val="00CF0E15"/>
    <w:rsid w:val="00CF0EE5"/>
    <w:rsid w:val="00CF1618"/>
    <w:rsid w:val="00CF16BF"/>
    <w:rsid w:val="00CF196C"/>
    <w:rsid w:val="00CF23E5"/>
    <w:rsid w:val="00CF27BA"/>
    <w:rsid w:val="00CF27C4"/>
    <w:rsid w:val="00CF2F88"/>
    <w:rsid w:val="00CF2F8D"/>
    <w:rsid w:val="00CF3649"/>
    <w:rsid w:val="00CF3DC5"/>
    <w:rsid w:val="00CF4AA5"/>
    <w:rsid w:val="00CF4DC0"/>
    <w:rsid w:val="00CF4DD1"/>
    <w:rsid w:val="00CF4EE9"/>
    <w:rsid w:val="00CF5203"/>
    <w:rsid w:val="00CF5461"/>
    <w:rsid w:val="00CF56DE"/>
    <w:rsid w:val="00CF5750"/>
    <w:rsid w:val="00CF5A47"/>
    <w:rsid w:val="00CF5BE4"/>
    <w:rsid w:val="00CF5F85"/>
    <w:rsid w:val="00CF6CDA"/>
    <w:rsid w:val="00CF6D0A"/>
    <w:rsid w:val="00CF748A"/>
    <w:rsid w:val="00CF7575"/>
    <w:rsid w:val="00D003D2"/>
    <w:rsid w:val="00D00499"/>
    <w:rsid w:val="00D007A6"/>
    <w:rsid w:val="00D00BBD"/>
    <w:rsid w:val="00D00CB6"/>
    <w:rsid w:val="00D00E83"/>
    <w:rsid w:val="00D01511"/>
    <w:rsid w:val="00D019D4"/>
    <w:rsid w:val="00D01B4C"/>
    <w:rsid w:val="00D01E0B"/>
    <w:rsid w:val="00D0228C"/>
    <w:rsid w:val="00D0291D"/>
    <w:rsid w:val="00D02EFC"/>
    <w:rsid w:val="00D032E6"/>
    <w:rsid w:val="00D03523"/>
    <w:rsid w:val="00D03891"/>
    <w:rsid w:val="00D03C9D"/>
    <w:rsid w:val="00D04023"/>
    <w:rsid w:val="00D043D0"/>
    <w:rsid w:val="00D0454F"/>
    <w:rsid w:val="00D04DAF"/>
    <w:rsid w:val="00D0544E"/>
    <w:rsid w:val="00D05651"/>
    <w:rsid w:val="00D05C0B"/>
    <w:rsid w:val="00D06096"/>
    <w:rsid w:val="00D0634B"/>
    <w:rsid w:val="00D06CC6"/>
    <w:rsid w:val="00D07015"/>
    <w:rsid w:val="00D071CA"/>
    <w:rsid w:val="00D078F2"/>
    <w:rsid w:val="00D07DC8"/>
    <w:rsid w:val="00D1009E"/>
    <w:rsid w:val="00D100B2"/>
    <w:rsid w:val="00D1056A"/>
    <w:rsid w:val="00D1065D"/>
    <w:rsid w:val="00D109D3"/>
    <w:rsid w:val="00D10CBD"/>
    <w:rsid w:val="00D1143D"/>
    <w:rsid w:val="00D11447"/>
    <w:rsid w:val="00D117D6"/>
    <w:rsid w:val="00D11802"/>
    <w:rsid w:val="00D118F8"/>
    <w:rsid w:val="00D11926"/>
    <w:rsid w:val="00D11940"/>
    <w:rsid w:val="00D11A72"/>
    <w:rsid w:val="00D11FFE"/>
    <w:rsid w:val="00D12B17"/>
    <w:rsid w:val="00D136F7"/>
    <w:rsid w:val="00D13D88"/>
    <w:rsid w:val="00D13DE6"/>
    <w:rsid w:val="00D14F70"/>
    <w:rsid w:val="00D1508E"/>
    <w:rsid w:val="00D1535E"/>
    <w:rsid w:val="00D157C8"/>
    <w:rsid w:val="00D159B2"/>
    <w:rsid w:val="00D15A4E"/>
    <w:rsid w:val="00D16622"/>
    <w:rsid w:val="00D168C3"/>
    <w:rsid w:val="00D16BCC"/>
    <w:rsid w:val="00D17079"/>
    <w:rsid w:val="00D179AB"/>
    <w:rsid w:val="00D17FB9"/>
    <w:rsid w:val="00D17FDF"/>
    <w:rsid w:val="00D20666"/>
    <w:rsid w:val="00D208E9"/>
    <w:rsid w:val="00D20AC8"/>
    <w:rsid w:val="00D20AFB"/>
    <w:rsid w:val="00D20DB5"/>
    <w:rsid w:val="00D211F7"/>
    <w:rsid w:val="00D21440"/>
    <w:rsid w:val="00D2164E"/>
    <w:rsid w:val="00D2174E"/>
    <w:rsid w:val="00D21942"/>
    <w:rsid w:val="00D21ED7"/>
    <w:rsid w:val="00D2286A"/>
    <w:rsid w:val="00D23696"/>
    <w:rsid w:val="00D23AEA"/>
    <w:rsid w:val="00D23BA4"/>
    <w:rsid w:val="00D23E0C"/>
    <w:rsid w:val="00D2400C"/>
    <w:rsid w:val="00D240C8"/>
    <w:rsid w:val="00D247C3"/>
    <w:rsid w:val="00D24F51"/>
    <w:rsid w:val="00D250A0"/>
    <w:rsid w:val="00D25490"/>
    <w:rsid w:val="00D2552C"/>
    <w:rsid w:val="00D256B7"/>
    <w:rsid w:val="00D25991"/>
    <w:rsid w:val="00D25B32"/>
    <w:rsid w:val="00D26385"/>
    <w:rsid w:val="00D2640B"/>
    <w:rsid w:val="00D2682A"/>
    <w:rsid w:val="00D26B21"/>
    <w:rsid w:val="00D26BAC"/>
    <w:rsid w:val="00D26CC0"/>
    <w:rsid w:val="00D26DA5"/>
    <w:rsid w:val="00D27161"/>
    <w:rsid w:val="00D2717A"/>
    <w:rsid w:val="00D2790A"/>
    <w:rsid w:val="00D27C63"/>
    <w:rsid w:val="00D30538"/>
    <w:rsid w:val="00D3058B"/>
    <w:rsid w:val="00D305C7"/>
    <w:rsid w:val="00D305DF"/>
    <w:rsid w:val="00D309C9"/>
    <w:rsid w:val="00D30C84"/>
    <w:rsid w:val="00D31162"/>
    <w:rsid w:val="00D31B5E"/>
    <w:rsid w:val="00D31EFD"/>
    <w:rsid w:val="00D320BA"/>
    <w:rsid w:val="00D3297A"/>
    <w:rsid w:val="00D32C59"/>
    <w:rsid w:val="00D33163"/>
    <w:rsid w:val="00D33A0B"/>
    <w:rsid w:val="00D33D73"/>
    <w:rsid w:val="00D33E95"/>
    <w:rsid w:val="00D343BD"/>
    <w:rsid w:val="00D34843"/>
    <w:rsid w:val="00D352C9"/>
    <w:rsid w:val="00D35440"/>
    <w:rsid w:val="00D35689"/>
    <w:rsid w:val="00D35820"/>
    <w:rsid w:val="00D358E4"/>
    <w:rsid w:val="00D35A86"/>
    <w:rsid w:val="00D35CA5"/>
    <w:rsid w:val="00D3687F"/>
    <w:rsid w:val="00D368B5"/>
    <w:rsid w:val="00D36B54"/>
    <w:rsid w:val="00D37222"/>
    <w:rsid w:val="00D37531"/>
    <w:rsid w:val="00D3760D"/>
    <w:rsid w:val="00D377C2"/>
    <w:rsid w:val="00D37F5F"/>
    <w:rsid w:val="00D40AC5"/>
    <w:rsid w:val="00D40E1E"/>
    <w:rsid w:val="00D40F98"/>
    <w:rsid w:val="00D4164B"/>
    <w:rsid w:val="00D42B39"/>
    <w:rsid w:val="00D4360D"/>
    <w:rsid w:val="00D43B8D"/>
    <w:rsid w:val="00D43B98"/>
    <w:rsid w:val="00D43FAA"/>
    <w:rsid w:val="00D44830"/>
    <w:rsid w:val="00D44C2B"/>
    <w:rsid w:val="00D44DBC"/>
    <w:rsid w:val="00D44F51"/>
    <w:rsid w:val="00D45177"/>
    <w:rsid w:val="00D4558C"/>
    <w:rsid w:val="00D45797"/>
    <w:rsid w:val="00D45C59"/>
    <w:rsid w:val="00D45EAC"/>
    <w:rsid w:val="00D46290"/>
    <w:rsid w:val="00D462A1"/>
    <w:rsid w:val="00D463C6"/>
    <w:rsid w:val="00D46961"/>
    <w:rsid w:val="00D46A62"/>
    <w:rsid w:val="00D46AA1"/>
    <w:rsid w:val="00D46ECB"/>
    <w:rsid w:val="00D46EF6"/>
    <w:rsid w:val="00D47858"/>
    <w:rsid w:val="00D47A41"/>
    <w:rsid w:val="00D47B54"/>
    <w:rsid w:val="00D47D87"/>
    <w:rsid w:val="00D50044"/>
    <w:rsid w:val="00D503DB"/>
    <w:rsid w:val="00D5049B"/>
    <w:rsid w:val="00D507C5"/>
    <w:rsid w:val="00D50B06"/>
    <w:rsid w:val="00D50ECB"/>
    <w:rsid w:val="00D518A7"/>
    <w:rsid w:val="00D51A80"/>
    <w:rsid w:val="00D52610"/>
    <w:rsid w:val="00D5291F"/>
    <w:rsid w:val="00D52970"/>
    <w:rsid w:val="00D52C36"/>
    <w:rsid w:val="00D52DD8"/>
    <w:rsid w:val="00D52F62"/>
    <w:rsid w:val="00D53996"/>
    <w:rsid w:val="00D53F1A"/>
    <w:rsid w:val="00D53FD9"/>
    <w:rsid w:val="00D54025"/>
    <w:rsid w:val="00D54344"/>
    <w:rsid w:val="00D547A8"/>
    <w:rsid w:val="00D549C6"/>
    <w:rsid w:val="00D54ADD"/>
    <w:rsid w:val="00D5514E"/>
    <w:rsid w:val="00D55A0C"/>
    <w:rsid w:val="00D55B29"/>
    <w:rsid w:val="00D55FE4"/>
    <w:rsid w:val="00D55FF5"/>
    <w:rsid w:val="00D56290"/>
    <w:rsid w:val="00D563D7"/>
    <w:rsid w:val="00D56477"/>
    <w:rsid w:val="00D56804"/>
    <w:rsid w:val="00D56D0B"/>
    <w:rsid w:val="00D57061"/>
    <w:rsid w:val="00D57EA1"/>
    <w:rsid w:val="00D57F46"/>
    <w:rsid w:val="00D6036D"/>
    <w:rsid w:val="00D60A5A"/>
    <w:rsid w:val="00D60AA1"/>
    <w:rsid w:val="00D60B79"/>
    <w:rsid w:val="00D611C1"/>
    <w:rsid w:val="00D61613"/>
    <w:rsid w:val="00D61638"/>
    <w:rsid w:val="00D61710"/>
    <w:rsid w:val="00D61814"/>
    <w:rsid w:val="00D623A1"/>
    <w:rsid w:val="00D626DD"/>
    <w:rsid w:val="00D62AEB"/>
    <w:rsid w:val="00D62C06"/>
    <w:rsid w:val="00D62F02"/>
    <w:rsid w:val="00D6367B"/>
    <w:rsid w:val="00D639D9"/>
    <w:rsid w:val="00D63C1E"/>
    <w:rsid w:val="00D63C2C"/>
    <w:rsid w:val="00D63E76"/>
    <w:rsid w:val="00D64468"/>
    <w:rsid w:val="00D64574"/>
    <w:rsid w:val="00D6480B"/>
    <w:rsid w:val="00D648E3"/>
    <w:rsid w:val="00D64B92"/>
    <w:rsid w:val="00D652BF"/>
    <w:rsid w:val="00D6533F"/>
    <w:rsid w:val="00D6552D"/>
    <w:rsid w:val="00D6554D"/>
    <w:rsid w:val="00D65B6B"/>
    <w:rsid w:val="00D65CF1"/>
    <w:rsid w:val="00D6647B"/>
    <w:rsid w:val="00D6670E"/>
    <w:rsid w:val="00D66779"/>
    <w:rsid w:val="00D669C6"/>
    <w:rsid w:val="00D66D43"/>
    <w:rsid w:val="00D66E44"/>
    <w:rsid w:val="00D674E1"/>
    <w:rsid w:val="00D675E2"/>
    <w:rsid w:val="00D67F81"/>
    <w:rsid w:val="00D70829"/>
    <w:rsid w:val="00D70916"/>
    <w:rsid w:val="00D710D9"/>
    <w:rsid w:val="00D71258"/>
    <w:rsid w:val="00D71708"/>
    <w:rsid w:val="00D72282"/>
    <w:rsid w:val="00D72510"/>
    <w:rsid w:val="00D72582"/>
    <w:rsid w:val="00D72980"/>
    <w:rsid w:val="00D733FD"/>
    <w:rsid w:val="00D734A4"/>
    <w:rsid w:val="00D7361C"/>
    <w:rsid w:val="00D741DF"/>
    <w:rsid w:val="00D74292"/>
    <w:rsid w:val="00D747E9"/>
    <w:rsid w:val="00D74B70"/>
    <w:rsid w:val="00D75188"/>
    <w:rsid w:val="00D75330"/>
    <w:rsid w:val="00D75485"/>
    <w:rsid w:val="00D75B12"/>
    <w:rsid w:val="00D76053"/>
    <w:rsid w:val="00D76605"/>
    <w:rsid w:val="00D76712"/>
    <w:rsid w:val="00D76B1E"/>
    <w:rsid w:val="00D76D8D"/>
    <w:rsid w:val="00D7702F"/>
    <w:rsid w:val="00D77507"/>
    <w:rsid w:val="00D7773D"/>
    <w:rsid w:val="00D77CD6"/>
    <w:rsid w:val="00D800A9"/>
    <w:rsid w:val="00D800F5"/>
    <w:rsid w:val="00D80505"/>
    <w:rsid w:val="00D80582"/>
    <w:rsid w:val="00D8079A"/>
    <w:rsid w:val="00D807D1"/>
    <w:rsid w:val="00D8081F"/>
    <w:rsid w:val="00D8088B"/>
    <w:rsid w:val="00D80E3D"/>
    <w:rsid w:val="00D81E1A"/>
    <w:rsid w:val="00D82157"/>
    <w:rsid w:val="00D8222E"/>
    <w:rsid w:val="00D8251E"/>
    <w:rsid w:val="00D82626"/>
    <w:rsid w:val="00D82899"/>
    <w:rsid w:val="00D830CC"/>
    <w:rsid w:val="00D833C9"/>
    <w:rsid w:val="00D834E5"/>
    <w:rsid w:val="00D83779"/>
    <w:rsid w:val="00D83893"/>
    <w:rsid w:val="00D838CE"/>
    <w:rsid w:val="00D83F70"/>
    <w:rsid w:val="00D84021"/>
    <w:rsid w:val="00D84856"/>
    <w:rsid w:val="00D848FA"/>
    <w:rsid w:val="00D84989"/>
    <w:rsid w:val="00D84CBB"/>
    <w:rsid w:val="00D84DD0"/>
    <w:rsid w:val="00D84F6E"/>
    <w:rsid w:val="00D8500E"/>
    <w:rsid w:val="00D85B65"/>
    <w:rsid w:val="00D85C53"/>
    <w:rsid w:val="00D8619F"/>
    <w:rsid w:val="00D861A2"/>
    <w:rsid w:val="00D86812"/>
    <w:rsid w:val="00D86B16"/>
    <w:rsid w:val="00D86C03"/>
    <w:rsid w:val="00D86C5D"/>
    <w:rsid w:val="00D879EC"/>
    <w:rsid w:val="00D87B47"/>
    <w:rsid w:val="00D908A9"/>
    <w:rsid w:val="00D908BF"/>
    <w:rsid w:val="00D90A56"/>
    <w:rsid w:val="00D90ABA"/>
    <w:rsid w:val="00D910BB"/>
    <w:rsid w:val="00D91834"/>
    <w:rsid w:val="00D91BFA"/>
    <w:rsid w:val="00D91DE6"/>
    <w:rsid w:val="00D926B1"/>
    <w:rsid w:val="00D92C33"/>
    <w:rsid w:val="00D92EE0"/>
    <w:rsid w:val="00D92F32"/>
    <w:rsid w:val="00D93036"/>
    <w:rsid w:val="00D930EA"/>
    <w:rsid w:val="00D935E5"/>
    <w:rsid w:val="00D939DB"/>
    <w:rsid w:val="00D94993"/>
    <w:rsid w:val="00D94B7C"/>
    <w:rsid w:val="00D951EC"/>
    <w:rsid w:val="00D959F5"/>
    <w:rsid w:val="00D95A8F"/>
    <w:rsid w:val="00D96289"/>
    <w:rsid w:val="00D962D6"/>
    <w:rsid w:val="00D967B4"/>
    <w:rsid w:val="00D97178"/>
    <w:rsid w:val="00D9730D"/>
    <w:rsid w:val="00D973E9"/>
    <w:rsid w:val="00D9749D"/>
    <w:rsid w:val="00D976DC"/>
    <w:rsid w:val="00DA047D"/>
    <w:rsid w:val="00DA0757"/>
    <w:rsid w:val="00DA0770"/>
    <w:rsid w:val="00DA14C9"/>
    <w:rsid w:val="00DA16A7"/>
    <w:rsid w:val="00DA1C55"/>
    <w:rsid w:val="00DA2885"/>
    <w:rsid w:val="00DA28C1"/>
    <w:rsid w:val="00DA2D69"/>
    <w:rsid w:val="00DA2F18"/>
    <w:rsid w:val="00DA33BB"/>
    <w:rsid w:val="00DA348B"/>
    <w:rsid w:val="00DA408F"/>
    <w:rsid w:val="00DA443B"/>
    <w:rsid w:val="00DA4710"/>
    <w:rsid w:val="00DA498F"/>
    <w:rsid w:val="00DA50A2"/>
    <w:rsid w:val="00DA52AC"/>
    <w:rsid w:val="00DA54B0"/>
    <w:rsid w:val="00DA55BA"/>
    <w:rsid w:val="00DA62E4"/>
    <w:rsid w:val="00DA66AE"/>
    <w:rsid w:val="00DA7AA2"/>
    <w:rsid w:val="00DA7CBA"/>
    <w:rsid w:val="00DA7FEB"/>
    <w:rsid w:val="00DB045A"/>
    <w:rsid w:val="00DB07F6"/>
    <w:rsid w:val="00DB0933"/>
    <w:rsid w:val="00DB1A78"/>
    <w:rsid w:val="00DB1CD0"/>
    <w:rsid w:val="00DB2335"/>
    <w:rsid w:val="00DB2A18"/>
    <w:rsid w:val="00DB2A95"/>
    <w:rsid w:val="00DB2EF8"/>
    <w:rsid w:val="00DB327B"/>
    <w:rsid w:val="00DB3436"/>
    <w:rsid w:val="00DB3CC0"/>
    <w:rsid w:val="00DB4730"/>
    <w:rsid w:val="00DB4874"/>
    <w:rsid w:val="00DB4C8D"/>
    <w:rsid w:val="00DB4EC4"/>
    <w:rsid w:val="00DB5595"/>
    <w:rsid w:val="00DB55CD"/>
    <w:rsid w:val="00DB6450"/>
    <w:rsid w:val="00DB78D3"/>
    <w:rsid w:val="00DB7994"/>
    <w:rsid w:val="00DB79AF"/>
    <w:rsid w:val="00DB7A21"/>
    <w:rsid w:val="00DB7C19"/>
    <w:rsid w:val="00DB7DBA"/>
    <w:rsid w:val="00DB7E28"/>
    <w:rsid w:val="00DC073C"/>
    <w:rsid w:val="00DC0C4C"/>
    <w:rsid w:val="00DC0D72"/>
    <w:rsid w:val="00DC16D0"/>
    <w:rsid w:val="00DC1C92"/>
    <w:rsid w:val="00DC1D33"/>
    <w:rsid w:val="00DC2955"/>
    <w:rsid w:val="00DC2CB8"/>
    <w:rsid w:val="00DC3109"/>
    <w:rsid w:val="00DC3273"/>
    <w:rsid w:val="00DC35E4"/>
    <w:rsid w:val="00DC366B"/>
    <w:rsid w:val="00DC3AFE"/>
    <w:rsid w:val="00DC3CC1"/>
    <w:rsid w:val="00DC3FFF"/>
    <w:rsid w:val="00DC4C3C"/>
    <w:rsid w:val="00DC502D"/>
    <w:rsid w:val="00DC6025"/>
    <w:rsid w:val="00DC638A"/>
    <w:rsid w:val="00DC6776"/>
    <w:rsid w:val="00DC6889"/>
    <w:rsid w:val="00DC6927"/>
    <w:rsid w:val="00DC6AF1"/>
    <w:rsid w:val="00DC6DDE"/>
    <w:rsid w:val="00DC6F6D"/>
    <w:rsid w:val="00DC6FD3"/>
    <w:rsid w:val="00DC707C"/>
    <w:rsid w:val="00DC7107"/>
    <w:rsid w:val="00DC7128"/>
    <w:rsid w:val="00DC787E"/>
    <w:rsid w:val="00DD0311"/>
    <w:rsid w:val="00DD06B7"/>
    <w:rsid w:val="00DD0BDA"/>
    <w:rsid w:val="00DD0E63"/>
    <w:rsid w:val="00DD14A7"/>
    <w:rsid w:val="00DD14E4"/>
    <w:rsid w:val="00DD152B"/>
    <w:rsid w:val="00DD19B0"/>
    <w:rsid w:val="00DD1A49"/>
    <w:rsid w:val="00DD1CAD"/>
    <w:rsid w:val="00DD1D6B"/>
    <w:rsid w:val="00DD260B"/>
    <w:rsid w:val="00DD265E"/>
    <w:rsid w:val="00DD2885"/>
    <w:rsid w:val="00DD2FD0"/>
    <w:rsid w:val="00DD3332"/>
    <w:rsid w:val="00DD33A5"/>
    <w:rsid w:val="00DD3445"/>
    <w:rsid w:val="00DD347C"/>
    <w:rsid w:val="00DD36A4"/>
    <w:rsid w:val="00DD37CC"/>
    <w:rsid w:val="00DD3E4A"/>
    <w:rsid w:val="00DD4595"/>
    <w:rsid w:val="00DD45C4"/>
    <w:rsid w:val="00DD4B41"/>
    <w:rsid w:val="00DD4E11"/>
    <w:rsid w:val="00DD5174"/>
    <w:rsid w:val="00DD5A14"/>
    <w:rsid w:val="00DD653E"/>
    <w:rsid w:val="00DD66C2"/>
    <w:rsid w:val="00DD67C1"/>
    <w:rsid w:val="00DD6C75"/>
    <w:rsid w:val="00DD732C"/>
    <w:rsid w:val="00DD773C"/>
    <w:rsid w:val="00DD7940"/>
    <w:rsid w:val="00DD7C93"/>
    <w:rsid w:val="00DD7D70"/>
    <w:rsid w:val="00DD7FB6"/>
    <w:rsid w:val="00DE02EA"/>
    <w:rsid w:val="00DE050D"/>
    <w:rsid w:val="00DE0599"/>
    <w:rsid w:val="00DE0C27"/>
    <w:rsid w:val="00DE11CE"/>
    <w:rsid w:val="00DE1A3E"/>
    <w:rsid w:val="00DE24CA"/>
    <w:rsid w:val="00DE269E"/>
    <w:rsid w:val="00DE29BB"/>
    <w:rsid w:val="00DE2BD4"/>
    <w:rsid w:val="00DE2DEB"/>
    <w:rsid w:val="00DE2F2B"/>
    <w:rsid w:val="00DE2F92"/>
    <w:rsid w:val="00DE318C"/>
    <w:rsid w:val="00DE32E3"/>
    <w:rsid w:val="00DE3427"/>
    <w:rsid w:val="00DE3B57"/>
    <w:rsid w:val="00DE3F6F"/>
    <w:rsid w:val="00DE43B9"/>
    <w:rsid w:val="00DE46EB"/>
    <w:rsid w:val="00DE4A83"/>
    <w:rsid w:val="00DE4BC4"/>
    <w:rsid w:val="00DE4C2F"/>
    <w:rsid w:val="00DE4DA0"/>
    <w:rsid w:val="00DE4DC8"/>
    <w:rsid w:val="00DE4FAA"/>
    <w:rsid w:val="00DE5130"/>
    <w:rsid w:val="00DE53FB"/>
    <w:rsid w:val="00DE6303"/>
    <w:rsid w:val="00DE6A71"/>
    <w:rsid w:val="00DE6C6A"/>
    <w:rsid w:val="00DE6D34"/>
    <w:rsid w:val="00DE6E77"/>
    <w:rsid w:val="00DE76D8"/>
    <w:rsid w:val="00DE783F"/>
    <w:rsid w:val="00DE788B"/>
    <w:rsid w:val="00DE7C20"/>
    <w:rsid w:val="00DE7D74"/>
    <w:rsid w:val="00DF0CE2"/>
    <w:rsid w:val="00DF1484"/>
    <w:rsid w:val="00DF17C1"/>
    <w:rsid w:val="00DF1821"/>
    <w:rsid w:val="00DF1901"/>
    <w:rsid w:val="00DF201D"/>
    <w:rsid w:val="00DF2046"/>
    <w:rsid w:val="00DF228F"/>
    <w:rsid w:val="00DF22E6"/>
    <w:rsid w:val="00DF24B6"/>
    <w:rsid w:val="00DF27A6"/>
    <w:rsid w:val="00DF2CEF"/>
    <w:rsid w:val="00DF2D52"/>
    <w:rsid w:val="00DF3825"/>
    <w:rsid w:val="00DF38F7"/>
    <w:rsid w:val="00DF3BE7"/>
    <w:rsid w:val="00DF3DF1"/>
    <w:rsid w:val="00DF3EE9"/>
    <w:rsid w:val="00DF436D"/>
    <w:rsid w:val="00DF4775"/>
    <w:rsid w:val="00DF4A82"/>
    <w:rsid w:val="00DF5024"/>
    <w:rsid w:val="00DF5450"/>
    <w:rsid w:val="00DF5A16"/>
    <w:rsid w:val="00DF6417"/>
    <w:rsid w:val="00DF6C1E"/>
    <w:rsid w:val="00DF7A98"/>
    <w:rsid w:val="00E00975"/>
    <w:rsid w:val="00E00E7D"/>
    <w:rsid w:val="00E00E83"/>
    <w:rsid w:val="00E01812"/>
    <w:rsid w:val="00E0199A"/>
    <w:rsid w:val="00E01B73"/>
    <w:rsid w:val="00E01D62"/>
    <w:rsid w:val="00E01E58"/>
    <w:rsid w:val="00E023FE"/>
    <w:rsid w:val="00E0243D"/>
    <w:rsid w:val="00E02ABB"/>
    <w:rsid w:val="00E02BC9"/>
    <w:rsid w:val="00E03D5E"/>
    <w:rsid w:val="00E04203"/>
    <w:rsid w:val="00E043DB"/>
    <w:rsid w:val="00E0444F"/>
    <w:rsid w:val="00E045F5"/>
    <w:rsid w:val="00E04E96"/>
    <w:rsid w:val="00E05046"/>
    <w:rsid w:val="00E0571A"/>
    <w:rsid w:val="00E05792"/>
    <w:rsid w:val="00E05FF5"/>
    <w:rsid w:val="00E06307"/>
    <w:rsid w:val="00E06526"/>
    <w:rsid w:val="00E06A13"/>
    <w:rsid w:val="00E06AAB"/>
    <w:rsid w:val="00E06EB6"/>
    <w:rsid w:val="00E07384"/>
    <w:rsid w:val="00E07C37"/>
    <w:rsid w:val="00E1054A"/>
    <w:rsid w:val="00E1080F"/>
    <w:rsid w:val="00E10823"/>
    <w:rsid w:val="00E108BC"/>
    <w:rsid w:val="00E10D42"/>
    <w:rsid w:val="00E10F65"/>
    <w:rsid w:val="00E11250"/>
    <w:rsid w:val="00E12078"/>
    <w:rsid w:val="00E12722"/>
    <w:rsid w:val="00E12A14"/>
    <w:rsid w:val="00E12DEB"/>
    <w:rsid w:val="00E13548"/>
    <w:rsid w:val="00E13653"/>
    <w:rsid w:val="00E13660"/>
    <w:rsid w:val="00E13B4F"/>
    <w:rsid w:val="00E13FE1"/>
    <w:rsid w:val="00E14287"/>
    <w:rsid w:val="00E14338"/>
    <w:rsid w:val="00E14A01"/>
    <w:rsid w:val="00E14A35"/>
    <w:rsid w:val="00E14B65"/>
    <w:rsid w:val="00E14CAC"/>
    <w:rsid w:val="00E15AF1"/>
    <w:rsid w:val="00E15B2E"/>
    <w:rsid w:val="00E15C1A"/>
    <w:rsid w:val="00E15E10"/>
    <w:rsid w:val="00E15E2F"/>
    <w:rsid w:val="00E16D7D"/>
    <w:rsid w:val="00E16F52"/>
    <w:rsid w:val="00E170DA"/>
    <w:rsid w:val="00E17243"/>
    <w:rsid w:val="00E17F3C"/>
    <w:rsid w:val="00E20EB7"/>
    <w:rsid w:val="00E210FA"/>
    <w:rsid w:val="00E210FD"/>
    <w:rsid w:val="00E2136B"/>
    <w:rsid w:val="00E217F1"/>
    <w:rsid w:val="00E21B65"/>
    <w:rsid w:val="00E22424"/>
    <w:rsid w:val="00E230EE"/>
    <w:rsid w:val="00E23591"/>
    <w:rsid w:val="00E2367C"/>
    <w:rsid w:val="00E236BE"/>
    <w:rsid w:val="00E23CF7"/>
    <w:rsid w:val="00E23EC6"/>
    <w:rsid w:val="00E23EC8"/>
    <w:rsid w:val="00E247ED"/>
    <w:rsid w:val="00E2480C"/>
    <w:rsid w:val="00E24D08"/>
    <w:rsid w:val="00E24E43"/>
    <w:rsid w:val="00E24E47"/>
    <w:rsid w:val="00E24E5E"/>
    <w:rsid w:val="00E252A9"/>
    <w:rsid w:val="00E25495"/>
    <w:rsid w:val="00E25C93"/>
    <w:rsid w:val="00E25D59"/>
    <w:rsid w:val="00E25DEC"/>
    <w:rsid w:val="00E25FCF"/>
    <w:rsid w:val="00E26A8A"/>
    <w:rsid w:val="00E27014"/>
    <w:rsid w:val="00E2717C"/>
    <w:rsid w:val="00E2735A"/>
    <w:rsid w:val="00E277DC"/>
    <w:rsid w:val="00E27C73"/>
    <w:rsid w:val="00E303BE"/>
    <w:rsid w:val="00E31016"/>
    <w:rsid w:val="00E31298"/>
    <w:rsid w:val="00E31437"/>
    <w:rsid w:val="00E31B3E"/>
    <w:rsid w:val="00E32392"/>
    <w:rsid w:val="00E3242F"/>
    <w:rsid w:val="00E329A4"/>
    <w:rsid w:val="00E3314E"/>
    <w:rsid w:val="00E332B3"/>
    <w:rsid w:val="00E3375D"/>
    <w:rsid w:val="00E33824"/>
    <w:rsid w:val="00E33B1C"/>
    <w:rsid w:val="00E33B7E"/>
    <w:rsid w:val="00E33F2C"/>
    <w:rsid w:val="00E34316"/>
    <w:rsid w:val="00E34428"/>
    <w:rsid w:val="00E3487E"/>
    <w:rsid w:val="00E34C23"/>
    <w:rsid w:val="00E34F0E"/>
    <w:rsid w:val="00E355DE"/>
    <w:rsid w:val="00E3582D"/>
    <w:rsid w:val="00E359F7"/>
    <w:rsid w:val="00E35B8C"/>
    <w:rsid w:val="00E35D98"/>
    <w:rsid w:val="00E36195"/>
    <w:rsid w:val="00E3633C"/>
    <w:rsid w:val="00E36639"/>
    <w:rsid w:val="00E36DDD"/>
    <w:rsid w:val="00E36F87"/>
    <w:rsid w:val="00E370E8"/>
    <w:rsid w:val="00E37158"/>
    <w:rsid w:val="00E37984"/>
    <w:rsid w:val="00E379BE"/>
    <w:rsid w:val="00E37CEE"/>
    <w:rsid w:val="00E404CD"/>
    <w:rsid w:val="00E40823"/>
    <w:rsid w:val="00E409AB"/>
    <w:rsid w:val="00E40A19"/>
    <w:rsid w:val="00E41017"/>
    <w:rsid w:val="00E411EB"/>
    <w:rsid w:val="00E4120A"/>
    <w:rsid w:val="00E412EA"/>
    <w:rsid w:val="00E41365"/>
    <w:rsid w:val="00E41449"/>
    <w:rsid w:val="00E418A4"/>
    <w:rsid w:val="00E41E87"/>
    <w:rsid w:val="00E41ED5"/>
    <w:rsid w:val="00E41F1C"/>
    <w:rsid w:val="00E41FB6"/>
    <w:rsid w:val="00E42280"/>
    <w:rsid w:val="00E4229F"/>
    <w:rsid w:val="00E42F85"/>
    <w:rsid w:val="00E4317F"/>
    <w:rsid w:val="00E434EF"/>
    <w:rsid w:val="00E437BE"/>
    <w:rsid w:val="00E4487E"/>
    <w:rsid w:val="00E44ECF"/>
    <w:rsid w:val="00E452F1"/>
    <w:rsid w:val="00E45996"/>
    <w:rsid w:val="00E4682D"/>
    <w:rsid w:val="00E46CA0"/>
    <w:rsid w:val="00E4711D"/>
    <w:rsid w:val="00E471DB"/>
    <w:rsid w:val="00E4725C"/>
    <w:rsid w:val="00E47BF3"/>
    <w:rsid w:val="00E47DFF"/>
    <w:rsid w:val="00E5047A"/>
    <w:rsid w:val="00E505D9"/>
    <w:rsid w:val="00E506F5"/>
    <w:rsid w:val="00E50733"/>
    <w:rsid w:val="00E50BBD"/>
    <w:rsid w:val="00E50C53"/>
    <w:rsid w:val="00E5120A"/>
    <w:rsid w:val="00E51397"/>
    <w:rsid w:val="00E51870"/>
    <w:rsid w:val="00E51DE6"/>
    <w:rsid w:val="00E520B6"/>
    <w:rsid w:val="00E52530"/>
    <w:rsid w:val="00E526DD"/>
    <w:rsid w:val="00E529F4"/>
    <w:rsid w:val="00E532B4"/>
    <w:rsid w:val="00E53CA1"/>
    <w:rsid w:val="00E53EAB"/>
    <w:rsid w:val="00E5448A"/>
    <w:rsid w:val="00E545E9"/>
    <w:rsid w:val="00E54A0B"/>
    <w:rsid w:val="00E54DB1"/>
    <w:rsid w:val="00E54DEC"/>
    <w:rsid w:val="00E54FB6"/>
    <w:rsid w:val="00E55E9D"/>
    <w:rsid w:val="00E561D4"/>
    <w:rsid w:val="00E56453"/>
    <w:rsid w:val="00E5665A"/>
    <w:rsid w:val="00E56786"/>
    <w:rsid w:val="00E57105"/>
    <w:rsid w:val="00E57703"/>
    <w:rsid w:val="00E57783"/>
    <w:rsid w:val="00E57AE0"/>
    <w:rsid w:val="00E57B56"/>
    <w:rsid w:val="00E57E29"/>
    <w:rsid w:val="00E57F65"/>
    <w:rsid w:val="00E6000B"/>
    <w:rsid w:val="00E601DE"/>
    <w:rsid w:val="00E60265"/>
    <w:rsid w:val="00E605EA"/>
    <w:rsid w:val="00E606AF"/>
    <w:rsid w:val="00E60B34"/>
    <w:rsid w:val="00E61215"/>
    <w:rsid w:val="00E6140B"/>
    <w:rsid w:val="00E6178B"/>
    <w:rsid w:val="00E61CDA"/>
    <w:rsid w:val="00E61F4C"/>
    <w:rsid w:val="00E621DE"/>
    <w:rsid w:val="00E6241C"/>
    <w:rsid w:val="00E629A3"/>
    <w:rsid w:val="00E62C43"/>
    <w:rsid w:val="00E6338D"/>
    <w:rsid w:val="00E63509"/>
    <w:rsid w:val="00E63D99"/>
    <w:rsid w:val="00E648B4"/>
    <w:rsid w:val="00E64AF3"/>
    <w:rsid w:val="00E64C0E"/>
    <w:rsid w:val="00E64E95"/>
    <w:rsid w:val="00E64EAD"/>
    <w:rsid w:val="00E6556D"/>
    <w:rsid w:val="00E6562B"/>
    <w:rsid w:val="00E658CF"/>
    <w:rsid w:val="00E65BB2"/>
    <w:rsid w:val="00E65C12"/>
    <w:rsid w:val="00E65D08"/>
    <w:rsid w:val="00E65E45"/>
    <w:rsid w:val="00E65FF8"/>
    <w:rsid w:val="00E6610F"/>
    <w:rsid w:val="00E665B1"/>
    <w:rsid w:val="00E66604"/>
    <w:rsid w:val="00E668A8"/>
    <w:rsid w:val="00E66B57"/>
    <w:rsid w:val="00E66D70"/>
    <w:rsid w:val="00E66E37"/>
    <w:rsid w:val="00E66F30"/>
    <w:rsid w:val="00E67230"/>
    <w:rsid w:val="00E676DD"/>
    <w:rsid w:val="00E6781E"/>
    <w:rsid w:val="00E67934"/>
    <w:rsid w:val="00E67D4E"/>
    <w:rsid w:val="00E67E6F"/>
    <w:rsid w:val="00E67EB0"/>
    <w:rsid w:val="00E706BA"/>
    <w:rsid w:val="00E70775"/>
    <w:rsid w:val="00E70A94"/>
    <w:rsid w:val="00E712CD"/>
    <w:rsid w:val="00E7182E"/>
    <w:rsid w:val="00E71A71"/>
    <w:rsid w:val="00E71EA7"/>
    <w:rsid w:val="00E72313"/>
    <w:rsid w:val="00E723CB"/>
    <w:rsid w:val="00E724E9"/>
    <w:rsid w:val="00E727FC"/>
    <w:rsid w:val="00E727FE"/>
    <w:rsid w:val="00E72889"/>
    <w:rsid w:val="00E73334"/>
    <w:rsid w:val="00E73491"/>
    <w:rsid w:val="00E739AD"/>
    <w:rsid w:val="00E73B55"/>
    <w:rsid w:val="00E7462D"/>
    <w:rsid w:val="00E7491E"/>
    <w:rsid w:val="00E75667"/>
    <w:rsid w:val="00E75670"/>
    <w:rsid w:val="00E75A0C"/>
    <w:rsid w:val="00E75B88"/>
    <w:rsid w:val="00E75BEC"/>
    <w:rsid w:val="00E75DF5"/>
    <w:rsid w:val="00E76661"/>
    <w:rsid w:val="00E769B6"/>
    <w:rsid w:val="00E77703"/>
    <w:rsid w:val="00E77FDB"/>
    <w:rsid w:val="00E804C1"/>
    <w:rsid w:val="00E80D89"/>
    <w:rsid w:val="00E8104D"/>
    <w:rsid w:val="00E81117"/>
    <w:rsid w:val="00E811DE"/>
    <w:rsid w:val="00E81905"/>
    <w:rsid w:val="00E81985"/>
    <w:rsid w:val="00E8252A"/>
    <w:rsid w:val="00E82D19"/>
    <w:rsid w:val="00E82F52"/>
    <w:rsid w:val="00E833CF"/>
    <w:rsid w:val="00E83686"/>
    <w:rsid w:val="00E83808"/>
    <w:rsid w:val="00E839FB"/>
    <w:rsid w:val="00E83AB3"/>
    <w:rsid w:val="00E8455B"/>
    <w:rsid w:val="00E84592"/>
    <w:rsid w:val="00E8462E"/>
    <w:rsid w:val="00E84E8A"/>
    <w:rsid w:val="00E84E98"/>
    <w:rsid w:val="00E85155"/>
    <w:rsid w:val="00E85246"/>
    <w:rsid w:val="00E8529E"/>
    <w:rsid w:val="00E856F3"/>
    <w:rsid w:val="00E85849"/>
    <w:rsid w:val="00E85917"/>
    <w:rsid w:val="00E859C3"/>
    <w:rsid w:val="00E86726"/>
    <w:rsid w:val="00E867C0"/>
    <w:rsid w:val="00E868A3"/>
    <w:rsid w:val="00E86B49"/>
    <w:rsid w:val="00E86D69"/>
    <w:rsid w:val="00E86FA4"/>
    <w:rsid w:val="00E87750"/>
    <w:rsid w:val="00E9052A"/>
    <w:rsid w:val="00E90809"/>
    <w:rsid w:val="00E9083C"/>
    <w:rsid w:val="00E90B7F"/>
    <w:rsid w:val="00E90ECD"/>
    <w:rsid w:val="00E90EDE"/>
    <w:rsid w:val="00E90FBA"/>
    <w:rsid w:val="00E91457"/>
    <w:rsid w:val="00E915B6"/>
    <w:rsid w:val="00E92350"/>
    <w:rsid w:val="00E92DE2"/>
    <w:rsid w:val="00E92EC3"/>
    <w:rsid w:val="00E92F91"/>
    <w:rsid w:val="00E9333D"/>
    <w:rsid w:val="00E93BC8"/>
    <w:rsid w:val="00E93C61"/>
    <w:rsid w:val="00E93C72"/>
    <w:rsid w:val="00E94276"/>
    <w:rsid w:val="00E94489"/>
    <w:rsid w:val="00E94B96"/>
    <w:rsid w:val="00E94E43"/>
    <w:rsid w:val="00E94EC8"/>
    <w:rsid w:val="00E955DE"/>
    <w:rsid w:val="00E95B8C"/>
    <w:rsid w:val="00E95BF6"/>
    <w:rsid w:val="00E95CF2"/>
    <w:rsid w:val="00E95E6C"/>
    <w:rsid w:val="00E95FF9"/>
    <w:rsid w:val="00E9606D"/>
    <w:rsid w:val="00E968B6"/>
    <w:rsid w:val="00E96F7E"/>
    <w:rsid w:val="00E96FFC"/>
    <w:rsid w:val="00E973C3"/>
    <w:rsid w:val="00E9740A"/>
    <w:rsid w:val="00E97590"/>
    <w:rsid w:val="00E97E8B"/>
    <w:rsid w:val="00EA05C1"/>
    <w:rsid w:val="00EA06C4"/>
    <w:rsid w:val="00EA09B0"/>
    <w:rsid w:val="00EA0A44"/>
    <w:rsid w:val="00EA0AC7"/>
    <w:rsid w:val="00EA0B11"/>
    <w:rsid w:val="00EA0BB3"/>
    <w:rsid w:val="00EA0DBB"/>
    <w:rsid w:val="00EA128D"/>
    <w:rsid w:val="00EA14A2"/>
    <w:rsid w:val="00EA1912"/>
    <w:rsid w:val="00EA19F7"/>
    <w:rsid w:val="00EA1D2E"/>
    <w:rsid w:val="00EA21BA"/>
    <w:rsid w:val="00EA2254"/>
    <w:rsid w:val="00EA249C"/>
    <w:rsid w:val="00EA275D"/>
    <w:rsid w:val="00EA27E2"/>
    <w:rsid w:val="00EA37E0"/>
    <w:rsid w:val="00EA3E17"/>
    <w:rsid w:val="00EA4540"/>
    <w:rsid w:val="00EA47B2"/>
    <w:rsid w:val="00EA493E"/>
    <w:rsid w:val="00EA57A4"/>
    <w:rsid w:val="00EA58CF"/>
    <w:rsid w:val="00EA5AF7"/>
    <w:rsid w:val="00EA5B84"/>
    <w:rsid w:val="00EA6579"/>
    <w:rsid w:val="00EA6768"/>
    <w:rsid w:val="00EA6CEC"/>
    <w:rsid w:val="00EA7054"/>
    <w:rsid w:val="00EA706B"/>
    <w:rsid w:val="00EA7669"/>
    <w:rsid w:val="00EA7E2B"/>
    <w:rsid w:val="00EB0127"/>
    <w:rsid w:val="00EB023F"/>
    <w:rsid w:val="00EB086E"/>
    <w:rsid w:val="00EB0C5D"/>
    <w:rsid w:val="00EB0F52"/>
    <w:rsid w:val="00EB156F"/>
    <w:rsid w:val="00EB163A"/>
    <w:rsid w:val="00EB1A9C"/>
    <w:rsid w:val="00EB20B8"/>
    <w:rsid w:val="00EB2184"/>
    <w:rsid w:val="00EB2AE8"/>
    <w:rsid w:val="00EB353D"/>
    <w:rsid w:val="00EB3617"/>
    <w:rsid w:val="00EB3624"/>
    <w:rsid w:val="00EB367E"/>
    <w:rsid w:val="00EB374B"/>
    <w:rsid w:val="00EB38E8"/>
    <w:rsid w:val="00EB3A02"/>
    <w:rsid w:val="00EB3F1D"/>
    <w:rsid w:val="00EB4443"/>
    <w:rsid w:val="00EB4B6A"/>
    <w:rsid w:val="00EB4E75"/>
    <w:rsid w:val="00EB51D0"/>
    <w:rsid w:val="00EB55FC"/>
    <w:rsid w:val="00EB581C"/>
    <w:rsid w:val="00EB5856"/>
    <w:rsid w:val="00EB5EAC"/>
    <w:rsid w:val="00EB5F4B"/>
    <w:rsid w:val="00EB619E"/>
    <w:rsid w:val="00EB61BC"/>
    <w:rsid w:val="00EB61FA"/>
    <w:rsid w:val="00EB6369"/>
    <w:rsid w:val="00EB648B"/>
    <w:rsid w:val="00EB66B5"/>
    <w:rsid w:val="00EB672F"/>
    <w:rsid w:val="00EB6F0C"/>
    <w:rsid w:val="00EB719C"/>
    <w:rsid w:val="00EB71BC"/>
    <w:rsid w:val="00EB7C9E"/>
    <w:rsid w:val="00EC0408"/>
    <w:rsid w:val="00EC046F"/>
    <w:rsid w:val="00EC09BB"/>
    <w:rsid w:val="00EC1034"/>
    <w:rsid w:val="00EC1346"/>
    <w:rsid w:val="00EC1367"/>
    <w:rsid w:val="00EC13DD"/>
    <w:rsid w:val="00EC14F8"/>
    <w:rsid w:val="00EC1C2F"/>
    <w:rsid w:val="00EC1D88"/>
    <w:rsid w:val="00EC1E22"/>
    <w:rsid w:val="00EC2246"/>
    <w:rsid w:val="00EC2303"/>
    <w:rsid w:val="00EC24AF"/>
    <w:rsid w:val="00EC28CA"/>
    <w:rsid w:val="00EC2973"/>
    <w:rsid w:val="00EC2B83"/>
    <w:rsid w:val="00EC2DD5"/>
    <w:rsid w:val="00EC2E83"/>
    <w:rsid w:val="00EC30C2"/>
    <w:rsid w:val="00EC33D7"/>
    <w:rsid w:val="00EC3620"/>
    <w:rsid w:val="00EC37E6"/>
    <w:rsid w:val="00EC39F7"/>
    <w:rsid w:val="00EC464A"/>
    <w:rsid w:val="00EC485D"/>
    <w:rsid w:val="00EC4956"/>
    <w:rsid w:val="00EC4C8B"/>
    <w:rsid w:val="00EC5355"/>
    <w:rsid w:val="00EC53BA"/>
    <w:rsid w:val="00EC5748"/>
    <w:rsid w:val="00EC59AF"/>
    <w:rsid w:val="00EC5BFA"/>
    <w:rsid w:val="00EC5CA4"/>
    <w:rsid w:val="00EC5F0B"/>
    <w:rsid w:val="00EC629B"/>
    <w:rsid w:val="00EC6778"/>
    <w:rsid w:val="00EC685A"/>
    <w:rsid w:val="00EC70D1"/>
    <w:rsid w:val="00EC726B"/>
    <w:rsid w:val="00EC72AB"/>
    <w:rsid w:val="00EC78DC"/>
    <w:rsid w:val="00EC7965"/>
    <w:rsid w:val="00EC7DDB"/>
    <w:rsid w:val="00EC7FA4"/>
    <w:rsid w:val="00ED0497"/>
    <w:rsid w:val="00ED08B7"/>
    <w:rsid w:val="00ED0C6A"/>
    <w:rsid w:val="00ED0F9E"/>
    <w:rsid w:val="00ED196C"/>
    <w:rsid w:val="00ED1979"/>
    <w:rsid w:val="00ED1C54"/>
    <w:rsid w:val="00ED1DF7"/>
    <w:rsid w:val="00ED1E85"/>
    <w:rsid w:val="00ED227E"/>
    <w:rsid w:val="00ED2325"/>
    <w:rsid w:val="00ED27B4"/>
    <w:rsid w:val="00ED3169"/>
    <w:rsid w:val="00ED385E"/>
    <w:rsid w:val="00ED3E0A"/>
    <w:rsid w:val="00ED3FB3"/>
    <w:rsid w:val="00ED3FC8"/>
    <w:rsid w:val="00ED4A06"/>
    <w:rsid w:val="00ED4C3F"/>
    <w:rsid w:val="00ED4EB1"/>
    <w:rsid w:val="00ED5066"/>
    <w:rsid w:val="00ED517C"/>
    <w:rsid w:val="00ED569B"/>
    <w:rsid w:val="00ED5B34"/>
    <w:rsid w:val="00ED652E"/>
    <w:rsid w:val="00ED6B29"/>
    <w:rsid w:val="00ED6BD9"/>
    <w:rsid w:val="00ED6C12"/>
    <w:rsid w:val="00ED6E60"/>
    <w:rsid w:val="00ED6F8D"/>
    <w:rsid w:val="00ED7625"/>
    <w:rsid w:val="00ED765F"/>
    <w:rsid w:val="00ED79E6"/>
    <w:rsid w:val="00ED7A33"/>
    <w:rsid w:val="00ED7A7A"/>
    <w:rsid w:val="00ED7CC8"/>
    <w:rsid w:val="00ED7EA7"/>
    <w:rsid w:val="00EE0078"/>
    <w:rsid w:val="00EE009A"/>
    <w:rsid w:val="00EE07BE"/>
    <w:rsid w:val="00EE0844"/>
    <w:rsid w:val="00EE0AA6"/>
    <w:rsid w:val="00EE0C50"/>
    <w:rsid w:val="00EE0C93"/>
    <w:rsid w:val="00EE0D40"/>
    <w:rsid w:val="00EE1470"/>
    <w:rsid w:val="00EE1C88"/>
    <w:rsid w:val="00EE1CDE"/>
    <w:rsid w:val="00EE1D07"/>
    <w:rsid w:val="00EE1E67"/>
    <w:rsid w:val="00EE1EC2"/>
    <w:rsid w:val="00EE2937"/>
    <w:rsid w:val="00EE2952"/>
    <w:rsid w:val="00EE2DF7"/>
    <w:rsid w:val="00EE3331"/>
    <w:rsid w:val="00EE36CC"/>
    <w:rsid w:val="00EE3ABE"/>
    <w:rsid w:val="00EE3BBF"/>
    <w:rsid w:val="00EE3CB2"/>
    <w:rsid w:val="00EE3DBC"/>
    <w:rsid w:val="00EE3DE7"/>
    <w:rsid w:val="00EE44D6"/>
    <w:rsid w:val="00EE485D"/>
    <w:rsid w:val="00EE4E50"/>
    <w:rsid w:val="00EE5017"/>
    <w:rsid w:val="00EE51DF"/>
    <w:rsid w:val="00EE556A"/>
    <w:rsid w:val="00EE5AD8"/>
    <w:rsid w:val="00EE5C1D"/>
    <w:rsid w:val="00EE5F22"/>
    <w:rsid w:val="00EE6281"/>
    <w:rsid w:val="00EE65AA"/>
    <w:rsid w:val="00EE6620"/>
    <w:rsid w:val="00EE6670"/>
    <w:rsid w:val="00EE68AC"/>
    <w:rsid w:val="00EE68C3"/>
    <w:rsid w:val="00EE6EB8"/>
    <w:rsid w:val="00EE70D4"/>
    <w:rsid w:val="00EE75B6"/>
    <w:rsid w:val="00EE7644"/>
    <w:rsid w:val="00EE781C"/>
    <w:rsid w:val="00EE7AF2"/>
    <w:rsid w:val="00EF034A"/>
    <w:rsid w:val="00EF0367"/>
    <w:rsid w:val="00EF06AD"/>
    <w:rsid w:val="00EF07D0"/>
    <w:rsid w:val="00EF0A43"/>
    <w:rsid w:val="00EF10A6"/>
    <w:rsid w:val="00EF1460"/>
    <w:rsid w:val="00EF1F7D"/>
    <w:rsid w:val="00EF1F97"/>
    <w:rsid w:val="00EF2663"/>
    <w:rsid w:val="00EF2949"/>
    <w:rsid w:val="00EF2955"/>
    <w:rsid w:val="00EF2CD4"/>
    <w:rsid w:val="00EF327F"/>
    <w:rsid w:val="00EF36DD"/>
    <w:rsid w:val="00EF3BDE"/>
    <w:rsid w:val="00EF3EB1"/>
    <w:rsid w:val="00EF5799"/>
    <w:rsid w:val="00EF61E8"/>
    <w:rsid w:val="00EF6621"/>
    <w:rsid w:val="00EF672D"/>
    <w:rsid w:val="00EF69CF"/>
    <w:rsid w:val="00EF6CEA"/>
    <w:rsid w:val="00EF7A6D"/>
    <w:rsid w:val="00EF7BE5"/>
    <w:rsid w:val="00EF7D9A"/>
    <w:rsid w:val="00EF7DAF"/>
    <w:rsid w:val="00F002D7"/>
    <w:rsid w:val="00F00350"/>
    <w:rsid w:val="00F00575"/>
    <w:rsid w:val="00F00E61"/>
    <w:rsid w:val="00F0244A"/>
    <w:rsid w:val="00F02D54"/>
    <w:rsid w:val="00F02DC9"/>
    <w:rsid w:val="00F02E3B"/>
    <w:rsid w:val="00F02EAB"/>
    <w:rsid w:val="00F03003"/>
    <w:rsid w:val="00F03136"/>
    <w:rsid w:val="00F03200"/>
    <w:rsid w:val="00F035E7"/>
    <w:rsid w:val="00F03604"/>
    <w:rsid w:val="00F039E7"/>
    <w:rsid w:val="00F03CC0"/>
    <w:rsid w:val="00F03D59"/>
    <w:rsid w:val="00F04794"/>
    <w:rsid w:val="00F047F1"/>
    <w:rsid w:val="00F0487D"/>
    <w:rsid w:val="00F04A9E"/>
    <w:rsid w:val="00F04F88"/>
    <w:rsid w:val="00F052C2"/>
    <w:rsid w:val="00F0603F"/>
    <w:rsid w:val="00F061F8"/>
    <w:rsid w:val="00F064BD"/>
    <w:rsid w:val="00F06553"/>
    <w:rsid w:val="00F06578"/>
    <w:rsid w:val="00F06B21"/>
    <w:rsid w:val="00F072F2"/>
    <w:rsid w:val="00F07484"/>
    <w:rsid w:val="00F075C6"/>
    <w:rsid w:val="00F07A53"/>
    <w:rsid w:val="00F07C1C"/>
    <w:rsid w:val="00F07C38"/>
    <w:rsid w:val="00F07F02"/>
    <w:rsid w:val="00F1034A"/>
    <w:rsid w:val="00F105A2"/>
    <w:rsid w:val="00F10911"/>
    <w:rsid w:val="00F10E0C"/>
    <w:rsid w:val="00F10E43"/>
    <w:rsid w:val="00F111E2"/>
    <w:rsid w:val="00F11DD1"/>
    <w:rsid w:val="00F127FA"/>
    <w:rsid w:val="00F13294"/>
    <w:rsid w:val="00F1369B"/>
    <w:rsid w:val="00F139D5"/>
    <w:rsid w:val="00F13BDF"/>
    <w:rsid w:val="00F13D15"/>
    <w:rsid w:val="00F1445D"/>
    <w:rsid w:val="00F14AC0"/>
    <w:rsid w:val="00F14FE7"/>
    <w:rsid w:val="00F1504C"/>
    <w:rsid w:val="00F151BA"/>
    <w:rsid w:val="00F1554B"/>
    <w:rsid w:val="00F158E1"/>
    <w:rsid w:val="00F15956"/>
    <w:rsid w:val="00F163E8"/>
    <w:rsid w:val="00F16569"/>
    <w:rsid w:val="00F16D24"/>
    <w:rsid w:val="00F16ECF"/>
    <w:rsid w:val="00F17332"/>
    <w:rsid w:val="00F2005A"/>
    <w:rsid w:val="00F20414"/>
    <w:rsid w:val="00F2113B"/>
    <w:rsid w:val="00F21191"/>
    <w:rsid w:val="00F21362"/>
    <w:rsid w:val="00F21370"/>
    <w:rsid w:val="00F216A6"/>
    <w:rsid w:val="00F2183F"/>
    <w:rsid w:val="00F21BB7"/>
    <w:rsid w:val="00F21D69"/>
    <w:rsid w:val="00F22834"/>
    <w:rsid w:val="00F22942"/>
    <w:rsid w:val="00F23720"/>
    <w:rsid w:val="00F23792"/>
    <w:rsid w:val="00F23804"/>
    <w:rsid w:val="00F23D71"/>
    <w:rsid w:val="00F245B7"/>
    <w:rsid w:val="00F24733"/>
    <w:rsid w:val="00F24F9B"/>
    <w:rsid w:val="00F254A1"/>
    <w:rsid w:val="00F2573B"/>
    <w:rsid w:val="00F257B0"/>
    <w:rsid w:val="00F26416"/>
    <w:rsid w:val="00F266EB"/>
    <w:rsid w:val="00F26911"/>
    <w:rsid w:val="00F26F7E"/>
    <w:rsid w:val="00F27346"/>
    <w:rsid w:val="00F274E3"/>
    <w:rsid w:val="00F27642"/>
    <w:rsid w:val="00F27686"/>
    <w:rsid w:val="00F27AB9"/>
    <w:rsid w:val="00F27D48"/>
    <w:rsid w:val="00F302CA"/>
    <w:rsid w:val="00F3035A"/>
    <w:rsid w:val="00F308E4"/>
    <w:rsid w:val="00F30B60"/>
    <w:rsid w:val="00F30E12"/>
    <w:rsid w:val="00F31197"/>
    <w:rsid w:val="00F31629"/>
    <w:rsid w:val="00F326FA"/>
    <w:rsid w:val="00F328D9"/>
    <w:rsid w:val="00F32C1F"/>
    <w:rsid w:val="00F32E31"/>
    <w:rsid w:val="00F32F3A"/>
    <w:rsid w:val="00F33236"/>
    <w:rsid w:val="00F335B1"/>
    <w:rsid w:val="00F33EFF"/>
    <w:rsid w:val="00F34396"/>
    <w:rsid w:val="00F344A4"/>
    <w:rsid w:val="00F34C87"/>
    <w:rsid w:val="00F358AE"/>
    <w:rsid w:val="00F35A4E"/>
    <w:rsid w:val="00F35C8C"/>
    <w:rsid w:val="00F35D28"/>
    <w:rsid w:val="00F36021"/>
    <w:rsid w:val="00F361B0"/>
    <w:rsid w:val="00F362B8"/>
    <w:rsid w:val="00F3642A"/>
    <w:rsid w:val="00F36E07"/>
    <w:rsid w:val="00F36F0C"/>
    <w:rsid w:val="00F37256"/>
    <w:rsid w:val="00F372FB"/>
    <w:rsid w:val="00F37656"/>
    <w:rsid w:val="00F378AC"/>
    <w:rsid w:val="00F3796D"/>
    <w:rsid w:val="00F37D4C"/>
    <w:rsid w:val="00F403C1"/>
    <w:rsid w:val="00F40728"/>
    <w:rsid w:val="00F408DA"/>
    <w:rsid w:val="00F40935"/>
    <w:rsid w:val="00F4099B"/>
    <w:rsid w:val="00F412B3"/>
    <w:rsid w:val="00F41355"/>
    <w:rsid w:val="00F41431"/>
    <w:rsid w:val="00F417BA"/>
    <w:rsid w:val="00F417DA"/>
    <w:rsid w:val="00F417E2"/>
    <w:rsid w:val="00F42C4F"/>
    <w:rsid w:val="00F43047"/>
    <w:rsid w:val="00F436AC"/>
    <w:rsid w:val="00F43AFB"/>
    <w:rsid w:val="00F43C82"/>
    <w:rsid w:val="00F440D4"/>
    <w:rsid w:val="00F440E5"/>
    <w:rsid w:val="00F44106"/>
    <w:rsid w:val="00F44649"/>
    <w:rsid w:val="00F44A70"/>
    <w:rsid w:val="00F44D8E"/>
    <w:rsid w:val="00F44EB5"/>
    <w:rsid w:val="00F45165"/>
    <w:rsid w:val="00F452E0"/>
    <w:rsid w:val="00F45693"/>
    <w:rsid w:val="00F45AAB"/>
    <w:rsid w:val="00F460AE"/>
    <w:rsid w:val="00F461FD"/>
    <w:rsid w:val="00F463EE"/>
    <w:rsid w:val="00F46595"/>
    <w:rsid w:val="00F466A1"/>
    <w:rsid w:val="00F46A9F"/>
    <w:rsid w:val="00F473C2"/>
    <w:rsid w:val="00F47B14"/>
    <w:rsid w:val="00F5001D"/>
    <w:rsid w:val="00F5062E"/>
    <w:rsid w:val="00F508F1"/>
    <w:rsid w:val="00F50BBD"/>
    <w:rsid w:val="00F5101E"/>
    <w:rsid w:val="00F51153"/>
    <w:rsid w:val="00F5144C"/>
    <w:rsid w:val="00F517F2"/>
    <w:rsid w:val="00F51929"/>
    <w:rsid w:val="00F51BDC"/>
    <w:rsid w:val="00F5203C"/>
    <w:rsid w:val="00F52228"/>
    <w:rsid w:val="00F5270F"/>
    <w:rsid w:val="00F52971"/>
    <w:rsid w:val="00F52D11"/>
    <w:rsid w:val="00F52FA6"/>
    <w:rsid w:val="00F536FF"/>
    <w:rsid w:val="00F540F9"/>
    <w:rsid w:val="00F5496C"/>
    <w:rsid w:val="00F54DB6"/>
    <w:rsid w:val="00F550FD"/>
    <w:rsid w:val="00F552C6"/>
    <w:rsid w:val="00F55711"/>
    <w:rsid w:val="00F559F6"/>
    <w:rsid w:val="00F55E4D"/>
    <w:rsid w:val="00F55F6F"/>
    <w:rsid w:val="00F56395"/>
    <w:rsid w:val="00F56AC4"/>
    <w:rsid w:val="00F56B40"/>
    <w:rsid w:val="00F56C34"/>
    <w:rsid w:val="00F57606"/>
    <w:rsid w:val="00F57A20"/>
    <w:rsid w:val="00F57AD8"/>
    <w:rsid w:val="00F57FEA"/>
    <w:rsid w:val="00F60129"/>
    <w:rsid w:val="00F60173"/>
    <w:rsid w:val="00F6067A"/>
    <w:rsid w:val="00F606E1"/>
    <w:rsid w:val="00F60C1E"/>
    <w:rsid w:val="00F60CD4"/>
    <w:rsid w:val="00F60F59"/>
    <w:rsid w:val="00F6150F"/>
    <w:rsid w:val="00F624A0"/>
    <w:rsid w:val="00F62539"/>
    <w:rsid w:val="00F626CB"/>
    <w:rsid w:val="00F62A91"/>
    <w:rsid w:val="00F62AE4"/>
    <w:rsid w:val="00F63048"/>
    <w:rsid w:val="00F6306C"/>
    <w:rsid w:val="00F630CD"/>
    <w:rsid w:val="00F6321C"/>
    <w:rsid w:val="00F63638"/>
    <w:rsid w:val="00F6394E"/>
    <w:rsid w:val="00F63A91"/>
    <w:rsid w:val="00F63AE0"/>
    <w:rsid w:val="00F63B10"/>
    <w:rsid w:val="00F63B85"/>
    <w:rsid w:val="00F63C19"/>
    <w:rsid w:val="00F642ED"/>
    <w:rsid w:val="00F643CA"/>
    <w:rsid w:val="00F6446E"/>
    <w:rsid w:val="00F645AA"/>
    <w:rsid w:val="00F645D1"/>
    <w:rsid w:val="00F6464A"/>
    <w:rsid w:val="00F64CF9"/>
    <w:rsid w:val="00F64D2F"/>
    <w:rsid w:val="00F64EC2"/>
    <w:rsid w:val="00F64F58"/>
    <w:rsid w:val="00F650D7"/>
    <w:rsid w:val="00F65A1F"/>
    <w:rsid w:val="00F65AC7"/>
    <w:rsid w:val="00F65B2A"/>
    <w:rsid w:val="00F66034"/>
    <w:rsid w:val="00F66B44"/>
    <w:rsid w:val="00F66C6E"/>
    <w:rsid w:val="00F670CB"/>
    <w:rsid w:val="00F675BA"/>
    <w:rsid w:val="00F67747"/>
    <w:rsid w:val="00F67972"/>
    <w:rsid w:val="00F706D5"/>
    <w:rsid w:val="00F70706"/>
    <w:rsid w:val="00F708DA"/>
    <w:rsid w:val="00F70AF1"/>
    <w:rsid w:val="00F70BCA"/>
    <w:rsid w:val="00F70D51"/>
    <w:rsid w:val="00F714DF"/>
    <w:rsid w:val="00F7167B"/>
    <w:rsid w:val="00F71D23"/>
    <w:rsid w:val="00F71FA2"/>
    <w:rsid w:val="00F72EA6"/>
    <w:rsid w:val="00F72EF0"/>
    <w:rsid w:val="00F73178"/>
    <w:rsid w:val="00F7326F"/>
    <w:rsid w:val="00F734FC"/>
    <w:rsid w:val="00F73D0C"/>
    <w:rsid w:val="00F741F4"/>
    <w:rsid w:val="00F74437"/>
    <w:rsid w:val="00F74935"/>
    <w:rsid w:val="00F749C6"/>
    <w:rsid w:val="00F74B11"/>
    <w:rsid w:val="00F74EEF"/>
    <w:rsid w:val="00F75271"/>
    <w:rsid w:val="00F7536F"/>
    <w:rsid w:val="00F75CC5"/>
    <w:rsid w:val="00F761E4"/>
    <w:rsid w:val="00F768B4"/>
    <w:rsid w:val="00F7694B"/>
    <w:rsid w:val="00F7696D"/>
    <w:rsid w:val="00F76ABC"/>
    <w:rsid w:val="00F76F03"/>
    <w:rsid w:val="00F76FD1"/>
    <w:rsid w:val="00F770EB"/>
    <w:rsid w:val="00F777A5"/>
    <w:rsid w:val="00F77953"/>
    <w:rsid w:val="00F80485"/>
    <w:rsid w:val="00F805AD"/>
    <w:rsid w:val="00F80940"/>
    <w:rsid w:val="00F80CF5"/>
    <w:rsid w:val="00F80FA5"/>
    <w:rsid w:val="00F81814"/>
    <w:rsid w:val="00F81A28"/>
    <w:rsid w:val="00F81B01"/>
    <w:rsid w:val="00F82DA4"/>
    <w:rsid w:val="00F82F60"/>
    <w:rsid w:val="00F83152"/>
    <w:rsid w:val="00F838BD"/>
    <w:rsid w:val="00F83BD4"/>
    <w:rsid w:val="00F83C16"/>
    <w:rsid w:val="00F83F56"/>
    <w:rsid w:val="00F847C5"/>
    <w:rsid w:val="00F84B0B"/>
    <w:rsid w:val="00F85089"/>
    <w:rsid w:val="00F850BE"/>
    <w:rsid w:val="00F8549F"/>
    <w:rsid w:val="00F855F2"/>
    <w:rsid w:val="00F85782"/>
    <w:rsid w:val="00F85E32"/>
    <w:rsid w:val="00F8601D"/>
    <w:rsid w:val="00F86899"/>
    <w:rsid w:val="00F8723B"/>
    <w:rsid w:val="00F873E0"/>
    <w:rsid w:val="00F87B2B"/>
    <w:rsid w:val="00F87C0D"/>
    <w:rsid w:val="00F87F42"/>
    <w:rsid w:val="00F87FD2"/>
    <w:rsid w:val="00F90046"/>
    <w:rsid w:val="00F90638"/>
    <w:rsid w:val="00F90A25"/>
    <w:rsid w:val="00F91093"/>
    <w:rsid w:val="00F91925"/>
    <w:rsid w:val="00F919C9"/>
    <w:rsid w:val="00F91A58"/>
    <w:rsid w:val="00F91BD3"/>
    <w:rsid w:val="00F923DC"/>
    <w:rsid w:val="00F92420"/>
    <w:rsid w:val="00F9255A"/>
    <w:rsid w:val="00F92B66"/>
    <w:rsid w:val="00F93305"/>
    <w:rsid w:val="00F93596"/>
    <w:rsid w:val="00F938BA"/>
    <w:rsid w:val="00F93A64"/>
    <w:rsid w:val="00F93CAB"/>
    <w:rsid w:val="00F93D8E"/>
    <w:rsid w:val="00F950EF"/>
    <w:rsid w:val="00F95945"/>
    <w:rsid w:val="00F95ACA"/>
    <w:rsid w:val="00F9662E"/>
    <w:rsid w:val="00F969A4"/>
    <w:rsid w:val="00F97815"/>
    <w:rsid w:val="00F9786F"/>
    <w:rsid w:val="00F97A63"/>
    <w:rsid w:val="00F97C63"/>
    <w:rsid w:val="00FA0AA1"/>
    <w:rsid w:val="00FA0B61"/>
    <w:rsid w:val="00FA158E"/>
    <w:rsid w:val="00FA19B3"/>
    <w:rsid w:val="00FA1B6F"/>
    <w:rsid w:val="00FA1CD0"/>
    <w:rsid w:val="00FA1F81"/>
    <w:rsid w:val="00FA2654"/>
    <w:rsid w:val="00FA26BE"/>
    <w:rsid w:val="00FA294D"/>
    <w:rsid w:val="00FA2B2C"/>
    <w:rsid w:val="00FA2F84"/>
    <w:rsid w:val="00FA2FCD"/>
    <w:rsid w:val="00FA3382"/>
    <w:rsid w:val="00FA3A6E"/>
    <w:rsid w:val="00FA3B39"/>
    <w:rsid w:val="00FA3B5A"/>
    <w:rsid w:val="00FA4A26"/>
    <w:rsid w:val="00FA4AF7"/>
    <w:rsid w:val="00FA56F9"/>
    <w:rsid w:val="00FA58BC"/>
    <w:rsid w:val="00FA5E75"/>
    <w:rsid w:val="00FA5EB0"/>
    <w:rsid w:val="00FA6061"/>
    <w:rsid w:val="00FA60D5"/>
    <w:rsid w:val="00FA6292"/>
    <w:rsid w:val="00FA6300"/>
    <w:rsid w:val="00FA65AA"/>
    <w:rsid w:val="00FA67A3"/>
    <w:rsid w:val="00FA6AC2"/>
    <w:rsid w:val="00FA6AE2"/>
    <w:rsid w:val="00FA6B03"/>
    <w:rsid w:val="00FA71C5"/>
    <w:rsid w:val="00FA7448"/>
    <w:rsid w:val="00FA7E0A"/>
    <w:rsid w:val="00FB023A"/>
    <w:rsid w:val="00FB0626"/>
    <w:rsid w:val="00FB119D"/>
    <w:rsid w:val="00FB130F"/>
    <w:rsid w:val="00FB1DDB"/>
    <w:rsid w:val="00FB1E04"/>
    <w:rsid w:val="00FB1F17"/>
    <w:rsid w:val="00FB22B0"/>
    <w:rsid w:val="00FB22C9"/>
    <w:rsid w:val="00FB2610"/>
    <w:rsid w:val="00FB2A43"/>
    <w:rsid w:val="00FB2DAA"/>
    <w:rsid w:val="00FB2DB3"/>
    <w:rsid w:val="00FB2F60"/>
    <w:rsid w:val="00FB36CD"/>
    <w:rsid w:val="00FB3A22"/>
    <w:rsid w:val="00FB3C3E"/>
    <w:rsid w:val="00FB3D12"/>
    <w:rsid w:val="00FB3D6F"/>
    <w:rsid w:val="00FB3E88"/>
    <w:rsid w:val="00FB48B3"/>
    <w:rsid w:val="00FB4914"/>
    <w:rsid w:val="00FB4DF7"/>
    <w:rsid w:val="00FB4E28"/>
    <w:rsid w:val="00FB4F83"/>
    <w:rsid w:val="00FB50DB"/>
    <w:rsid w:val="00FB529F"/>
    <w:rsid w:val="00FB56D3"/>
    <w:rsid w:val="00FB591B"/>
    <w:rsid w:val="00FB598F"/>
    <w:rsid w:val="00FB65E3"/>
    <w:rsid w:val="00FB6E3E"/>
    <w:rsid w:val="00FC0354"/>
    <w:rsid w:val="00FC090D"/>
    <w:rsid w:val="00FC0A88"/>
    <w:rsid w:val="00FC0C6A"/>
    <w:rsid w:val="00FC286E"/>
    <w:rsid w:val="00FC28A7"/>
    <w:rsid w:val="00FC28D8"/>
    <w:rsid w:val="00FC295A"/>
    <w:rsid w:val="00FC2B8B"/>
    <w:rsid w:val="00FC2CE0"/>
    <w:rsid w:val="00FC32F8"/>
    <w:rsid w:val="00FC3336"/>
    <w:rsid w:val="00FC36EE"/>
    <w:rsid w:val="00FC37AF"/>
    <w:rsid w:val="00FC39D5"/>
    <w:rsid w:val="00FC3CAE"/>
    <w:rsid w:val="00FC42EF"/>
    <w:rsid w:val="00FC4616"/>
    <w:rsid w:val="00FC470E"/>
    <w:rsid w:val="00FC4F0A"/>
    <w:rsid w:val="00FC50F2"/>
    <w:rsid w:val="00FC5323"/>
    <w:rsid w:val="00FC58D6"/>
    <w:rsid w:val="00FC5E2B"/>
    <w:rsid w:val="00FC6803"/>
    <w:rsid w:val="00FC6816"/>
    <w:rsid w:val="00FC6893"/>
    <w:rsid w:val="00FC6A84"/>
    <w:rsid w:val="00FC6B23"/>
    <w:rsid w:val="00FC6D10"/>
    <w:rsid w:val="00FC6E35"/>
    <w:rsid w:val="00FC7A5E"/>
    <w:rsid w:val="00FC7AB6"/>
    <w:rsid w:val="00FC7E1E"/>
    <w:rsid w:val="00FD008B"/>
    <w:rsid w:val="00FD0114"/>
    <w:rsid w:val="00FD0149"/>
    <w:rsid w:val="00FD0AF0"/>
    <w:rsid w:val="00FD0E53"/>
    <w:rsid w:val="00FD0F01"/>
    <w:rsid w:val="00FD11AC"/>
    <w:rsid w:val="00FD14D7"/>
    <w:rsid w:val="00FD1901"/>
    <w:rsid w:val="00FD1F54"/>
    <w:rsid w:val="00FD2082"/>
    <w:rsid w:val="00FD302E"/>
    <w:rsid w:val="00FD3359"/>
    <w:rsid w:val="00FD3511"/>
    <w:rsid w:val="00FD35F3"/>
    <w:rsid w:val="00FD39E5"/>
    <w:rsid w:val="00FD40DC"/>
    <w:rsid w:val="00FD4667"/>
    <w:rsid w:val="00FD49D5"/>
    <w:rsid w:val="00FD4D76"/>
    <w:rsid w:val="00FD4F65"/>
    <w:rsid w:val="00FD4FC4"/>
    <w:rsid w:val="00FD52DE"/>
    <w:rsid w:val="00FD54CA"/>
    <w:rsid w:val="00FD58FB"/>
    <w:rsid w:val="00FD5B38"/>
    <w:rsid w:val="00FD5BD7"/>
    <w:rsid w:val="00FD61CA"/>
    <w:rsid w:val="00FD65C5"/>
    <w:rsid w:val="00FD6847"/>
    <w:rsid w:val="00FD6BF7"/>
    <w:rsid w:val="00FD6DD8"/>
    <w:rsid w:val="00FD6E55"/>
    <w:rsid w:val="00FD7159"/>
    <w:rsid w:val="00FD7649"/>
    <w:rsid w:val="00FD7728"/>
    <w:rsid w:val="00FE00DF"/>
    <w:rsid w:val="00FE0518"/>
    <w:rsid w:val="00FE078C"/>
    <w:rsid w:val="00FE0BE9"/>
    <w:rsid w:val="00FE144E"/>
    <w:rsid w:val="00FE171A"/>
    <w:rsid w:val="00FE17F5"/>
    <w:rsid w:val="00FE1ACB"/>
    <w:rsid w:val="00FE1EB9"/>
    <w:rsid w:val="00FE22BF"/>
    <w:rsid w:val="00FE2805"/>
    <w:rsid w:val="00FE2EEB"/>
    <w:rsid w:val="00FE33C7"/>
    <w:rsid w:val="00FE3909"/>
    <w:rsid w:val="00FE3939"/>
    <w:rsid w:val="00FE3D07"/>
    <w:rsid w:val="00FE3D4D"/>
    <w:rsid w:val="00FE49C3"/>
    <w:rsid w:val="00FE4AF9"/>
    <w:rsid w:val="00FE50B1"/>
    <w:rsid w:val="00FE53EA"/>
    <w:rsid w:val="00FE56E5"/>
    <w:rsid w:val="00FE5FE8"/>
    <w:rsid w:val="00FE62D7"/>
    <w:rsid w:val="00FE634C"/>
    <w:rsid w:val="00FE63E1"/>
    <w:rsid w:val="00FE66A0"/>
    <w:rsid w:val="00FE6BBA"/>
    <w:rsid w:val="00FE6D10"/>
    <w:rsid w:val="00FE7BC4"/>
    <w:rsid w:val="00FF01BD"/>
    <w:rsid w:val="00FF0389"/>
    <w:rsid w:val="00FF03E2"/>
    <w:rsid w:val="00FF0600"/>
    <w:rsid w:val="00FF0745"/>
    <w:rsid w:val="00FF07AF"/>
    <w:rsid w:val="00FF08A5"/>
    <w:rsid w:val="00FF0B01"/>
    <w:rsid w:val="00FF0F67"/>
    <w:rsid w:val="00FF1308"/>
    <w:rsid w:val="00FF142D"/>
    <w:rsid w:val="00FF14AF"/>
    <w:rsid w:val="00FF17E1"/>
    <w:rsid w:val="00FF1B52"/>
    <w:rsid w:val="00FF1B56"/>
    <w:rsid w:val="00FF1C97"/>
    <w:rsid w:val="00FF1F4E"/>
    <w:rsid w:val="00FF2123"/>
    <w:rsid w:val="00FF2189"/>
    <w:rsid w:val="00FF26F6"/>
    <w:rsid w:val="00FF27FE"/>
    <w:rsid w:val="00FF2EF1"/>
    <w:rsid w:val="00FF3305"/>
    <w:rsid w:val="00FF370D"/>
    <w:rsid w:val="00FF3854"/>
    <w:rsid w:val="00FF3926"/>
    <w:rsid w:val="00FF3F42"/>
    <w:rsid w:val="00FF413A"/>
    <w:rsid w:val="00FF41E5"/>
    <w:rsid w:val="00FF4487"/>
    <w:rsid w:val="00FF4ECB"/>
    <w:rsid w:val="00FF54D8"/>
    <w:rsid w:val="00FF563C"/>
    <w:rsid w:val="00FF5A91"/>
    <w:rsid w:val="00FF61C4"/>
    <w:rsid w:val="00FF6AC7"/>
    <w:rsid w:val="00FF6B37"/>
    <w:rsid w:val="00FF6D44"/>
    <w:rsid w:val="00FF7200"/>
    <w:rsid w:val="00FF75BF"/>
    <w:rsid w:val="00FF7660"/>
    <w:rsid w:val="00FF769B"/>
    <w:rsid w:val="00FF79C9"/>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5:docId w15:val="{12A0DDF3-8756-4685-B3FC-24BF74666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bg-BG" w:eastAsia="bg-BG"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9170E"/>
    <w:rPr>
      <w:rFonts w:eastAsia="SimSun"/>
      <w:sz w:val="24"/>
      <w:szCs w:val="24"/>
      <w:lang w:eastAsia="zh-CN"/>
    </w:rPr>
  </w:style>
  <w:style w:type="paragraph" w:styleId="Heading1">
    <w:name w:val="heading 1"/>
    <w:basedOn w:val="Normal"/>
    <w:next w:val="Normal"/>
    <w:link w:val="Heading1Char"/>
    <w:qFormat/>
    <w:rsid w:val="0099170E"/>
    <w:pPr>
      <w:keepNext/>
      <w:outlineLvl w:val="0"/>
    </w:pPr>
    <w:rPr>
      <w:rFonts w:ascii="Arial Narrow" w:hAnsi="Arial Narrow" w:cs="Arial"/>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8064FD"/>
    <w:rPr>
      <w:rFonts w:ascii="Arial Narrow" w:eastAsia="SimSun" w:hAnsi="Arial Narrow" w:cs="Arial"/>
      <w:b/>
      <w:bCs/>
      <w:lang w:eastAsia="zh-CN"/>
    </w:rPr>
  </w:style>
  <w:style w:type="character" w:styleId="Hyperlink">
    <w:name w:val="Hyperlink"/>
    <w:basedOn w:val="DefaultParagraphFont"/>
    <w:rsid w:val="00191A53"/>
    <w:rPr>
      <w:color w:val="0000FF"/>
      <w:u w:val="single"/>
    </w:rPr>
  </w:style>
  <w:style w:type="paragraph" w:styleId="ListParagraph">
    <w:name w:val="List Paragraph"/>
    <w:basedOn w:val="Normal"/>
    <w:qFormat/>
    <w:rsid w:val="008064FD"/>
    <w:pPr>
      <w:spacing w:after="200" w:line="276" w:lineRule="auto"/>
      <w:ind w:left="720"/>
      <w:contextualSpacing/>
    </w:pPr>
    <w:rPr>
      <w:rFonts w:ascii="Calibri" w:eastAsia="Times New Roman" w:hAnsi="Calibri"/>
      <w:sz w:val="22"/>
      <w:szCs w:val="22"/>
      <w:lang w:eastAsia="bg-BG"/>
    </w:rPr>
  </w:style>
  <w:style w:type="paragraph" w:styleId="BodyText">
    <w:name w:val="Body Text"/>
    <w:basedOn w:val="Normal"/>
    <w:link w:val="BodyTextChar1"/>
    <w:rsid w:val="008064FD"/>
    <w:rPr>
      <w:sz w:val="28"/>
    </w:rPr>
  </w:style>
  <w:style w:type="character" w:customStyle="1" w:styleId="BodyTextChar1">
    <w:name w:val="Body Text Char1"/>
    <w:basedOn w:val="DefaultParagraphFont"/>
    <w:link w:val="BodyText"/>
    <w:rsid w:val="008064FD"/>
    <w:rPr>
      <w:rFonts w:eastAsia="SimSun"/>
      <w:sz w:val="28"/>
      <w:szCs w:val="24"/>
      <w:lang w:eastAsia="zh-CN"/>
    </w:rPr>
  </w:style>
  <w:style w:type="paragraph" w:styleId="Header">
    <w:name w:val="header"/>
    <w:basedOn w:val="Normal"/>
    <w:link w:val="HeaderChar"/>
    <w:rsid w:val="008064FD"/>
    <w:pPr>
      <w:tabs>
        <w:tab w:val="center" w:pos="4536"/>
        <w:tab w:val="right" w:pos="9072"/>
      </w:tabs>
    </w:pPr>
  </w:style>
  <w:style w:type="character" w:customStyle="1" w:styleId="HeaderChar">
    <w:name w:val="Header Char"/>
    <w:basedOn w:val="DefaultParagraphFont"/>
    <w:link w:val="Header"/>
    <w:rsid w:val="008064FD"/>
    <w:rPr>
      <w:rFonts w:eastAsia="SimSun"/>
      <w:sz w:val="24"/>
      <w:szCs w:val="24"/>
      <w:lang w:eastAsia="zh-CN"/>
    </w:rPr>
  </w:style>
  <w:style w:type="paragraph" w:styleId="Footer">
    <w:name w:val="footer"/>
    <w:basedOn w:val="Normal"/>
    <w:link w:val="FooterChar"/>
    <w:uiPriority w:val="99"/>
    <w:rsid w:val="008064FD"/>
    <w:pPr>
      <w:tabs>
        <w:tab w:val="center" w:pos="4536"/>
        <w:tab w:val="right" w:pos="9072"/>
      </w:tabs>
    </w:pPr>
  </w:style>
  <w:style w:type="character" w:customStyle="1" w:styleId="FooterChar">
    <w:name w:val="Footer Char"/>
    <w:basedOn w:val="DefaultParagraphFont"/>
    <w:link w:val="Footer"/>
    <w:uiPriority w:val="99"/>
    <w:rsid w:val="008064FD"/>
    <w:rPr>
      <w:rFonts w:eastAsia="SimSun"/>
      <w:sz w:val="24"/>
      <w:szCs w:val="24"/>
      <w:lang w:eastAsia="zh-CN"/>
    </w:rPr>
  </w:style>
  <w:style w:type="paragraph" w:styleId="BalloonText">
    <w:name w:val="Balloon Text"/>
    <w:basedOn w:val="Normal"/>
    <w:semiHidden/>
    <w:rsid w:val="00014E01"/>
    <w:rPr>
      <w:rFonts w:ascii="Tahoma" w:hAnsi="Tahoma" w:cs="Tahoma"/>
      <w:sz w:val="16"/>
      <w:szCs w:val="16"/>
    </w:rPr>
  </w:style>
  <w:style w:type="paragraph" w:styleId="FootnoteText">
    <w:name w:val="footnote text"/>
    <w:basedOn w:val="Normal"/>
    <w:semiHidden/>
    <w:rsid w:val="0013742A"/>
    <w:rPr>
      <w:sz w:val="20"/>
      <w:szCs w:val="20"/>
    </w:rPr>
  </w:style>
  <w:style w:type="paragraph" w:styleId="BodyTextIndent3">
    <w:name w:val="Body Text Indent 3"/>
    <w:basedOn w:val="Normal"/>
    <w:rsid w:val="00C004A1"/>
    <w:pPr>
      <w:spacing w:after="120"/>
      <w:ind w:left="283"/>
    </w:pPr>
    <w:rPr>
      <w:sz w:val="16"/>
      <w:szCs w:val="16"/>
    </w:rPr>
  </w:style>
  <w:style w:type="character" w:styleId="Emphasis">
    <w:name w:val="Emphasis"/>
    <w:basedOn w:val="DefaultParagraphFont"/>
    <w:qFormat/>
    <w:rsid w:val="005F031F"/>
    <w:rPr>
      <w:i/>
      <w:iCs/>
    </w:rPr>
  </w:style>
  <w:style w:type="character" w:customStyle="1" w:styleId="2">
    <w:name w:val="Основен текст (2)_"/>
    <w:basedOn w:val="DefaultParagraphFont"/>
    <w:link w:val="20"/>
    <w:rsid w:val="005F350A"/>
    <w:rPr>
      <w:b/>
      <w:bCs/>
      <w:shd w:val="clear" w:color="auto" w:fill="FFFFFF"/>
      <w:lang w:bidi="ar-SA"/>
    </w:rPr>
  </w:style>
  <w:style w:type="paragraph" w:customStyle="1" w:styleId="20">
    <w:name w:val="Основен текст (2)"/>
    <w:basedOn w:val="Normal"/>
    <w:link w:val="2"/>
    <w:rsid w:val="005F350A"/>
    <w:pPr>
      <w:shd w:val="clear" w:color="auto" w:fill="FFFFFF"/>
      <w:spacing w:after="120" w:line="240" w:lineRule="atLeast"/>
      <w:jc w:val="both"/>
    </w:pPr>
    <w:rPr>
      <w:rFonts w:eastAsia="Times New Roman"/>
      <w:b/>
      <w:bCs/>
      <w:sz w:val="20"/>
      <w:szCs w:val="20"/>
      <w:shd w:val="clear" w:color="auto" w:fill="FFFFFF"/>
      <w:lang w:eastAsia="bg-BG"/>
    </w:rPr>
  </w:style>
  <w:style w:type="character" w:customStyle="1" w:styleId="a">
    <w:name w:val="Основен текст_"/>
    <w:basedOn w:val="DefaultParagraphFont"/>
    <w:link w:val="1"/>
    <w:rsid w:val="005F350A"/>
    <w:rPr>
      <w:shd w:val="clear" w:color="auto" w:fill="FFFFFF"/>
      <w:lang w:bidi="ar-SA"/>
    </w:rPr>
  </w:style>
  <w:style w:type="paragraph" w:customStyle="1" w:styleId="1">
    <w:name w:val="Основен текст1"/>
    <w:basedOn w:val="Normal"/>
    <w:link w:val="a"/>
    <w:rsid w:val="005F350A"/>
    <w:pPr>
      <w:shd w:val="clear" w:color="auto" w:fill="FFFFFF"/>
      <w:spacing w:before="120" w:after="120" w:line="245" w:lineRule="exact"/>
      <w:ind w:hanging="340"/>
      <w:jc w:val="both"/>
    </w:pPr>
    <w:rPr>
      <w:rFonts w:eastAsia="Times New Roman"/>
      <w:sz w:val="20"/>
      <w:szCs w:val="20"/>
      <w:shd w:val="clear" w:color="auto" w:fill="FFFFFF"/>
      <w:lang w:eastAsia="bg-BG"/>
    </w:rPr>
  </w:style>
  <w:style w:type="character" w:customStyle="1" w:styleId="a0">
    <w:name w:val="Основен текст + Удебелен"/>
    <w:basedOn w:val="a"/>
    <w:rsid w:val="005F350A"/>
    <w:rPr>
      <w:b/>
      <w:bCs/>
      <w:shd w:val="clear" w:color="auto" w:fill="FFFFFF"/>
      <w:lang w:bidi="ar-SA"/>
    </w:rPr>
  </w:style>
  <w:style w:type="paragraph" w:styleId="NoSpacing">
    <w:name w:val="No Spacing"/>
    <w:uiPriority w:val="1"/>
    <w:qFormat/>
    <w:rsid w:val="005F350A"/>
    <w:rPr>
      <w:rFonts w:ascii="Calibri" w:hAnsi="Calibri"/>
      <w:sz w:val="22"/>
      <w:szCs w:val="22"/>
    </w:rPr>
  </w:style>
  <w:style w:type="paragraph" w:styleId="Title">
    <w:name w:val="Title"/>
    <w:basedOn w:val="Normal"/>
    <w:qFormat/>
    <w:rsid w:val="00CB38F6"/>
    <w:pPr>
      <w:tabs>
        <w:tab w:val="left" w:pos="6840"/>
      </w:tabs>
      <w:ind w:left="180"/>
      <w:jc w:val="center"/>
    </w:pPr>
    <w:rPr>
      <w:b/>
    </w:rPr>
  </w:style>
  <w:style w:type="character" w:styleId="CommentReference">
    <w:name w:val="annotation reference"/>
    <w:basedOn w:val="DefaultParagraphFont"/>
    <w:rsid w:val="0073319B"/>
    <w:rPr>
      <w:sz w:val="16"/>
      <w:szCs w:val="16"/>
    </w:rPr>
  </w:style>
  <w:style w:type="paragraph" w:styleId="CommentText">
    <w:name w:val="annotation text"/>
    <w:basedOn w:val="Normal"/>
    <w:link w:val="CommentTextChar"/>
    <w:rsid w:val="0073319B"/>
    <w:rPr>
      <w:sz w:val="20"/>
      <w:szCs w:val="20"/>
    </w:rPr>
  </w:style>
  <w:style w:type="character" w:customStyle="1" w:styleId="CommentTextChar">
    <w:name w:val="Comment Text Char"/>
    <w:basedOn w:val="DefaultParagraphFont"/>
    <w:link w:val="CommentText"/>
    <w:rsid w:val="0073319B"/>
    <w:rPr>
      <w:rFonts w:eastAsia="SimSun"/>
      <w:lang w:eastAsia="zh-CN"/>
    </w:rPr>
  </w:style>
  <w:style w:type="paragraph" w:styleId="CommentSubject">
    <w:name w:val="annotation subject"/>
    <w:basedOn w:val="CommentText"/>
    <w:next w:val="CommentText"/>
    <w:link w:val="CommentSubjectChar"/>
    <w:rsid w:val="0073319B"/>
    <w:rPr>
      <w:b/>
      <w:bCs/>
    </w:rPr>
  </w:style>
  <w:style w:type="character" w:customStyle="1" w:styleId="CommentSubjectChar">
    <w:name w:val="Comment Subject Char"/>
    <w:basedOn w:val="CommentTextChar"/>
    <w:link w:val="CommentSubject"/>
    <w:rsid w:val="0073319B"/>
    <w:rPr>
      <w:rFonts w:eastAsia="SimSun"/>
      <w:b/>
      <w:bCs/>
      <w:lang w:eastAsia="zh-CN"/>
    </w:rPr>
  </w:style>
  <w:style w:type="character" w:customStyle="1" w:styleId="BodyTextChar">
    <w:name w:val="Body Text Char"/>
    <w:basedOn w:val="DefaultParagraphFont"/>
    <w:locked/>
    <w:rsid w:val="004A7065"/>
    <w:rPr>
      <w:rFonts w:ascii="Times New Roman" w:eastAsia="SimSun" w:hAnsi="Times New Roman" w:cs="Times New Roman"/>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24604">
      <w:bodyDiv w:val="1"/>
      <w:marLeft w:val="0"/>
      <w:marRight w:val="0"/>
      <w:marTop w:val="0"/>
      <w:marBottom w:val="0"/>
      <w:divBdr>
        <w:top w:val="none" w:sz="0" w:space="0" w:color="auto"/>
        <w:left w:val="none" w:sz="0" w:space="0" w:color="auto"/>
        <w:bottom w:val="none" w:sz="0" w:space="0" w:color="auto"/>
        <w:right w:val="none" w:sz="0" w:space="0" w:color="auto"/>
      </w:divBdr>
    </w:div>
    <w:div w:id="6711271">
      <w:bodyDiv w:val="1"/>
      <w:marLeft w:val="0"/>
      <w:marRight w:val="0"/>
      <w:marTop w:val="0"/>
      <w:marBottom w:val="0"/>
      <w:divBdr>
        <w:top w:val="none" w:sz="0" w:space="0" w:color="auto"/>
        <w:left w:val="none" w:sz="0" w:space="0" w:color="auto"/>
        <w:bottom w:val="none" w:sz="0" w:space="0" w:color="auto"/>
        <w:right w:val="none" w:sz="0" w:space="0" w:color="auto"/>
      </w:divBdr>
    </w:div>
    <w:div w:id="8072219">
      <w:bodyDiv w:val="1"/>
      <w:marLeft w:val="0"/>
      <w:marRight w:val="0"/>
      <w:marTop w:val="0"/>
      <w:marBottom w:val="0"/>
      <w:divBdr>
        <w:top w:val="none" w:sz="0" w:space="0" w:color="auto"/>
        <w:left w:val="none" w:sz="0" w:space="0" w:color="auto"/>
        <w:bottom w:val="none" w:sz="0" w:space="0" w:color="auto"/>
        <w:right w:val="none" w:sz="0" w:space="0" w:color="auto"/>
      </w:divBdr>
    </w:div>
    <w:div w:id="20202499">
      <w:bodyDiv w:val="1"/>
      <w:marLeft w:val="0"/>
      <w:marRight w:val="0"/>
      <w:marTop w:val="0"/>
      <w:marBottom w:val="0"/>
      <w:divBdr>
        <w:top w:val="none" w:sz="0" w:space="0" w:color="auto"/>
        <w:left w:val="none" w:sz="0" w:space="0" w:color="auto"/>
        <w:bottom w:val="none" w:sz="0" w:space="0" w:color="auto"/>
        <w:right w:val="none" w:sz="0" w:space="0" w:color="auto"/>
      </w:divBdr>
    </w:div>
    <w:div w:id="28800019">
      <w:bodyDiv w:val="1"/>
      <w:marLeft w:val="0"/>
      <w:marRight w:val="0"/>
      <w:marTop w:val="0"/>
      <w:marBottom w:val="0"/>
      <w:divBdr>
        <w:top w:val="none" w:sz="0" w:space="0" w:color="auto"/>
        <w:left w:val="none" w:sz="0" w:space="0" w:color="auto"/>
        <w:bottom w:val="none" w:sz="0" w:space="0" w:color="auto"/>
        <w:right w:val="none" w:sz="0" w:space="0" w:color="auto"/>
      </w:divBdr>
    </w:div>
    <w:div w:id="29453356">
      <w:bodyDiv w:val="1"/>
      <w:marLeft w:val="0"/>
      <w:marRight w:val="0"/>
      <w:marTop w:val="0"/>
      <w:marBottom w:val="0"/>
      <w:divBdr>
        <w:top w:val="none" w:sz="0" w:space="0" w:color="auto"/>
        <w:left w:val="none" w:sz="0" w:space="0" w:color="auto"/>
        <w:bottom w:val="none" w:sz="0" w:space="0" w:color="auto"/>
        <w:right w:val="none" w:sz="0" w:space="0" w:color="auto"/>
      </w:divBdr>
    </w:div>
    <w:div w:id="30501804">
      <w:bodyDiv w:val="1"/>
      <w:marLeft w:val="0"/>
      <w:marRight w:val="0"/>
      <w:marTop w:val="0"/>
      <w:marBottom w:val="0"/>
      <w:divBdr>
        <w:top w:val="none" w:sz="0" w:space="0" w:color="auto"/>
        <w:left w:val="none" w:sz="0" w:space="0" w:color="auto"/>
        <w:bottom w:val="none" w:sz="0" w:space="0" w:color="auto"/>
        <w:right w:val="none" w:sz="0" w:space="0" w:color="auto"/>
      </w:divBdr>
    </w:div>
    <w:div w:id="38670563">
      <w:bodyDiv w:val="1"/>
      <w:marLeft w:val="0"/>
      <w:marRight w:val="0"/>
      <w:marTop w:val="0"/>
      <w:marBottom w:val="0"/>
      <w:divBdr>
        <w:top w:val="none" w:sz="0" w:space="0" w:color="auto"/>
        <w:left w:val="none" w:sz="0" w:space="0" w:color="auto"/>
        <w:bottom w:val="none" w:sz="0" w:space="0" w:color="auto"/>
        <w:right w:val="none" w:sz="0" w:space="0" w:color="auto"/>
      </w:divBdr>
    </w:div>
    <w:div w:id="44451257">
      <w:bodyDiv w:val="1"/>
      <w:marLeft w:val="0"/>
      <w:marRight w:val="0"/>
      <w:marTop w:val="0"/>
      <w:marBottom w:val="0"/>
      <w:divBdr>
        <w:top w:val="none" w:sz="0" w:space="0" w:color="auto"/>
        <w:left w:val="none" w:sz="0" w:space="0" w:color="auto"/>
        <w:bottom w:val="none" w:sz="0" w:space="0" w:color="auto"/>
        <w:right w:val="none" w:sz="0" w:space="0" w:color="auto"/>
      </w:divBdr>
    </w:div>
    <w:div w:id="52392201">
      <w:bodyDiv w:val="1"/>
      <w:marLeft w:val="0"/>
      <w:marRight w:val="0"/>
      <w:marTop w:val="0"/>
      <w:marBottom w:val="0"/>
      <w:divBdr>
        <w:top w:val="none" w:sz="0" w:space="0" w:color="auto"/>
        <w:left w:val="none" w:sz="0" w:space="0" w:color="auto"/>
        <w:bottom w:val="none" w:sz="0" w:space="0" w:color="auto"/>
        <w:right w:val="none" w:sz="0" w:space="0" w:color="auto"/>
      </w:divBdr>
    </w:div>
    <w:div w:id="59717204">
      <w:bodyDiv w:val="1"/>
      <w:marLeft w:val="0"/>
      <w:marRight w:val="0"/>
      <w:marTop w:val="0"/>
      <w:marBottom w:val="0"/>
      <w:divBdr>
        <w:top w:val="none" w:sz="0" w:space="0" w:color="auto"/>
        <w:left w:val="none" w:sz="0" w:space="0" w:color="auto"/>
        <w:bottom w:val="none" w:sz="0" w:space="0" w:color="auto"/>
        <w:right w:val="none" w:sz="0" w:space="0" w:color="auto"/>
      </w:divBdr>
    </w:div>
    <w:div w:id="70546852">
      <w:bodyDiv w:val="1"/>
      <w:marLeft w:val="0"/>
      <w:marRight w:val="0"/>
      <w:marTop w:val="0"/>
      <w:marBottom w:val="0"/>
      <w:divBdr>
        <w:top w:val="none" w:sz="0" w:space="0" w:color="auto"/>
        <w:left w:val="none" w:sz="0" w:space="0" w:color="auto"/>
        <w:bottom w:val="none" w:sz="0" w:space="0" w:color="auto"/>
        <w:right w:val="none" w:sz="0" w:space="0" w:color="auto"/>
      </w:divBdr>
    </w:div>
    <w:div w:id="72508088">
      <w:bodyDiv w:val="1"/>
      <w:marLeft w:val="0"/>
      <w:marRight w:val="0"/>
      <w:marTop w:val="0"/>
      <w:marBottom w:val="0"/>
      <w:divBdr>
        <w:top w:val="none" w:sz="0" w:space="0" w:color="auto"/>
        <w:left w:val="none" w:sz="0" w:space="0" w:color="auto"/>
        <w:bottom w:val="none" w:sz="0" w:space="0" w:color="auto"/>
        <w:right w:val="none" w:sz="0" w:space="0" w:color="auto"/>
      </w:divBdr>
    </w:div>
    <w:div w:id="76902006">
      <w:bodyDiv w:val="1"/>
      <w:marLeft w:val="0"/>
      <w:marRight w:val="0"/>
      <w:marTop w:val="0"/>
      <w:marBottom w:val="0"/>
      <w:divBdr>
        <w:top w:val="none" w:sz="0" w:space="0" w:color="auto"/>
        <w:left w:val="none" w:sz="0" w:space="0" w:color="auto"/>
        <w:bottom w:val="none" w:sz="0" w:space="0" w:color="auto"/>
        <w:right w:val="none" w:sz="0" w:space="0" w:color="auto"/>
      </w:divBdr>
    </w:div>
    <w:div w:id="82184800">
      <w:bodyDiv w:val="1"/>
      <w:marLeft w:val="0"/>
      <w:marRight w:val="0"/>
      <w:marTop w:val="0"/>
      <w:marBottom w:val="0"/>
      <w:divBdr>
        <w:top w:val="none" w:sz="0" w:space="0" w:color="auto"/>
        <w:left w:val="none" w:sz="0" w:space="0" w:color="auto"/>
        <w:bottom w:val="none" w:sz="0" w:space="0" w:color="auto"/>
        <w:right w:val="none" w:sz="0" w:space="0" w:color="auto"/>
      </w:divBdr>
    </w:div>
    <w:div w:id="83459243">
      <w:bodyDiv w:val="1"/>
      <w:marLeft w:val="0"/>
      <w:marRight w:val="0"/>
      <w:marTop w:val="0"/>
      <w:marBottom w:val="0"/>
      <w:divBdr>
        <w:top w:val="none" w:sz="0" w:space="0" w:color="auto"/>
        <w:left w:val="none" w:sz="0" w:space="0" w:color="auto"/>
        <w:bottom w:val="none" w:sz="0" w:space="0" w:color="auto"/>
        <w:right w:val="none" w:sz="0" w:space="0" w:color="auto"/>
      </w:divBdr>
    </w:div>
    <w:div w:id="100415582">
      <w:bodyDiv w:val="1"/>
      <w:marLeft w:val="0"/>
      <w:marRight w:val="0"/>
      <w:marTop w:val="0"/>
      <w:marBottom w:val="0"/>
      <w:divBdr>
        <w:top w:val="none" w:sz="0" w:space="0" w:color="auto"/>
        <w:left w:val="none" w:sz="0" w:space="0" w:color="auto"/>
        <w:bottom w:val="none" w:sz="0" w:space="0" w:color="auto"/>
        <w:right w:val="none" w:sz="0" w:space="0" w:color="auto"/>
      </w:divBdr>
    </w:div>
    <w:div w:id="101654394">
      <w:bodyDiv w:val="1"/>
      <w:marLeft w:val="0"/>
      <w:marRight w:val="0"/>
      <w:marTop w:val="0"/>
      <w:marBottom w:val="0"/>
      <w:divBdr>
        <w:top w:val="none" w:sz="0" w:space="0" w:color="auto"/>
        <w:left w:val="none" w:sz="0" w:space="0" w:color="auto"/>
        <w:bottom w:val="none" w:sz="0" w:space="0" w:color="auto"/>
        <w:right w:val="none" w:sz="0" w:space="0" w:color="auto"/>
      </w:divBdr>
    </w:div>
    <w:div w:id="109279332">
      <w:bodyDiv w:val="1"/>
      <w:marLeft w:val="0"/>
      <w:marRight w:val="0"/>
      <w:marTop w:val="0"/>
      <w:marBottom w:val="0"/>
      <w:divBdr>
        <w:top w:val="none" w:sz="0" w:space="0" w:color="auto"/>
        <w:left w:val="none" w:sz="0" w:space="0" w:color="auto"/>
        <w:bottom w:val="none" w:sz="0" w:space="0" w:color="auto"/>
        <w:right w:val="none" w:sz="0" w:space="0" w:color="auto"/>
      </w:divBdr>
    </w:div>
    <w:div w:id="124007536">
      <w:bodyDiv w:val="1"/>
      <w:marLeft w:val="0"/>
      <w:marRight w:val="0"/>
      <w:marTop w:val="0"/>
      <w:marBottom w:val="0"/>
      <w:divBdr>
        <w:top w:val="none" w:sz="0" w:space="0" w:color="auto"/>
        <w:left w:val="none" w:sz="0" w:space="0" w:color="auto"/>
        <w:bottom w:val="none" w:sz="0" w:space="0" w:color="auto"/>
        <w:right w:val="none" w:sz="0" w:space="0" w:color="auto"/>
      </w:divBdr>
    </w:div>
    <w:div w:id="124931860">
      <w:bodyDiv w:val="1"/>
      <w:marLeft w:val="0"/>
      <w:marRight w:val="0"/>
      <w:marTop w:val="0"/>
      <w:marBottom w:val="0"/>
      <w:divBdr>
        <w:top w:val="none" w:sz="0" w:space="0" w:color="auto"/>
        <w:left w:val="none" w:sz="0" w:space="0" w:color="auto"/>
        <w:bottom w:val="none" w:sz="0" w:space="0" w:color="auto"/>
        <w:right w:val="none" w:sz="0" w:space="0" w:color="auto"/>
      </w:divBdr>
    </w:div>
    <w:div w:id="125591765">
      <w:bodyDiv w:val="1"/>
      <w:marLeft w:val="0"/>
      <w:marRight w:val="0"/>
      <w:marTop w:val="0"/>
      <w:marBottom w:val="0"/>
      <w:divBdr>
        <w:top w:val="none" w:sz="0" w:space="0" w:color="auto"/>
        <w:left w:val="none" w:sz="0" w:space="0" w:color="auto"/>
        <w:bottom w:val="none" w:sz="0" w:space="0" w:color="auto"/>
        <w:right w:val="none" w:sz="0" w:space="0" w:color="auto"/>
      </w:divBdr>
    </w:div>
    <w:div w:id="128590746">
      <w:bodyDiv w:val="1"/>
      <w:marLeft w:val="0"/>
      <w:marRight w:val="0"/>
      <w:marTop w:val="0"/>
      <w:marBottom w:val="0"/>
      <w:divBdr>
        <w:top w:val="none" w:sz="0" w:space="0" w:color="auto"/>
        <w:left w:val="none" w:sz="0" w:space="0" w:color="auto"/>
        <w:bottom w:val="none" w:sz="0" w:space="0" w:color="auto"/>
        <w:right w:val="none" w:sz="0" w:space="0" w:color="auto"/>
      </w:divBdr>
    </w:div>
    <w:div w:id="137263479">
      <w:bodyDiv w:val="1"/>
      <w:marLeft w:val="0"/>
      <w:marRight w:val="0"/>
      <w:marTop w:val="0"/>
      <w:marBottom w:val="0"/>
      <w:divBdr>
        <w:top w:val="none" w:sz="0" w:space="0" w:color="auto"/>
        <w:left w:val="none" w:sz="0" w:space="0" w:color="auto"/>
        <w:bottom w:val="none" w:sz="0" w:space="0" w:color="auto"/>
        <w:right w:val="none" w:sz="0" w:space="0" w:color="auto"/>
      </w:divBdr>
    </w:div>
    <w:div w:id="139418846">
      <w:bodyDiv w:val="1"/>
      <w:marLeft w:val="0"/>
      <w:marRight w:val="0"/>
      <w:marTop w:val="0"/>
      <w:marBottom w:val="0"/>
      <w:divBdr>
        <w:top w:val="none" w:sz="0" w:space="0" w:color="auto"/>
        <w:left w:val="none" w:sz="0" w:space="0" w:color="auto"/>
        <w:bottom w:val="none" w:sz="0" w:space="0" w:color="auto"/>
        <w:right w:val="none" w:sz="0" w:space="0" w:color="auto"/>
      </w:divBdr>
    </w:div>
    <w:div w:id="146287469">
      <w:bodyDiv w:val="1"/>
      <w:marLeft w:val="0"/>
      <w:marRight w:val="0"/>
      <w:marTop w:val="0"/>
      <w:marBottom w:val="0"/>
      <w:divBdr>
        <w:top w:val="none" w:sz="0" w:space="0" w:color="auto"/>
        <w:left w:val="none" w:sz="0" w:space="0" w:color="auto"/>
        <w:bottom w:val="none" w:sz="0" w:space="0" w:color="auto"/>
        <w:right w:val="none" w:sz="0" w:space="0" w:color="auto"/>
      </w:divBdr>
    </w:div>
    <w:div w:id="151799840">
      <w:bodyDiv w:val="1"/>
      <w:marLeft w:val="0"/>
      <w:marRight w:val="0"/>
      <w:marTop w:val="0"/>
      <w:marBottom w:val="0"/>
      <w:divBdr>
        <w:top w:val="none" w:sz="0" w:space="0" w:color="auto"/>
        <w:left w:val="none" w:sz="0" w:space="0" w:color="auto"/>
        <w:bottom w:val="none" w:sz="0" w:space="0" w:color="auto"/>
        <w:right w:val="none" w:sz="0" w:space="0" w:color="auto"/>
      </w:divBdr>
    </w:div>
    <w:div w:id="153187087">
      <w:bodyDiv w:val="1"/>
      <w:marLeft w:val="0"/>
      <w:marRight w:val="0"/>
      <w:marTop w:val="0"/>
      <w:marBottom w:val="0"/>
      <w:divBdr>
        <w:top w:val="none" w:sz="0" w:space="0" w:color="auto"/>
        <w:left w:val="none" w:sz="0" w:space="0" w:color="auto"/>
        <w:bottom w:val="none" w:sz="0" w:space="0" w:color="auto"/>
        <w:right w:val="none" w:sz="0" w:space="0" w:color="auto"/>
      </w:divBdr>
    </w:div>
    <w:div w:id="160051562">
      <w:bodyDiv w:val="1"/>
      <w:marLeft w:val="0"/>
      <w:marRight w:val="0"/>
      <w:marTop w:val="0"/>
      <w:marBottom w:val="0"/>
      <w:divBdr>
        <w:top w:val="none" w:sz="0" w:space="0" w:color="auto"/>
        <w:left w:val="none" w:sz="0" w:space="0" w:color="auto"/>
        <w:bottom w:val="none" w:sz="0" w:space="0" w:color="auto"/>
        <w:right w:val="none" w:sz="0" w:space="0" w:color="auto"/>
      </w:divBdr>
    </w:div>
    <w:div w:id="162016275">
      <w:bodyDiv w:val="1"/>
      <w:marLeft w:val="0"/>
      <w:marRight w:val="0"/>
      <w:marTop w:val="0"/>
      <w:marBottom w:val="0"/>
      <w:divBdr>
        <w:top w:val="none" w:sz="0" w:space="0" w:color="auto"/>
        <w:left w:val="none" w:sz="0" w:space="0" w:color="auto"/>
        <w:bottom w:val="none" w:sz="0" w:space="0" w:color="auto"/>
        <w:right w:val="none" w:sz="0" w:space="0" w:color="auto"/>
      </w:divBdr>
    </w:div>
    <w:div w:id="166099922">
      <w:bodyDiv w:val="1"/>
      <w:marLeft w:val="0"/>
      <w:marRight w:val="0"/>
      <w:marTop w:val="0"/>
      <w:marBottom w:val="0"/>
      <w:divBdr>
        <w:top w:val="none" w:sz="0" w:space="0" w:color="auto"/>
        <w:left w:val="none" w:sz="0" w:space="0" w:color="auto"/>
        <w:bottom w:val="none" w:sz="0" w:space="0" w:color="auto"/>
        <w:right w:val="none" w:sz="0" w:space="0" w:color="auto"/>
      </w:divBdr>
    </w:div>
    <w:div w:id="172038535">
      <w:bodyDiv w:val="1"/>
      <w:marLeft w:val="0"/>
      <w:marRight w:val="0"/>
      <w:marTop w:val="0"/>
      <w:marBottom w:val="0"/>
      <w:divBdr>
        <w:top w:val="none" w:sz="0" w:space="0" w:color="auto"/>
        <w:left w:val="none" w:sz="0" w:space="0" w:color="auto"/>
        <w:bottom w:val="none" w:sz="0" w:space="0" w:color="auto"/>
        <w:right w:val="none" w:sz="0" w:space="0" w:color="auto"/>
      </w:divBdr>
    </w:div>
    <w:div w:id="178273518">
      <w:bodyDiv w:val="1"/>
      <w:marLeft w:val="0"/>
      <w:marRight w:val="0"/>
      <w:marTop w:val="0"/>
      <w:marBottom w:val="0"/>
      <w:divBdr>
        <w:top w:val="none" w:sz="0" w:space="0" w:color="auto"/>
        <w:left w:val="none" w:sz="0" w:space="0" w:color="auto"/>
        <w:bottom w:val="none" w:sz="0" w:space="0" w:color="auto"/>
        <w:right w:val="none" w:sz="0" w:space="0" w:color="auto"/>
      </w:divBdr>
    </w:div>
    <w:div w:id="189227204">
      <w:bodyDiv w:val="1"/>
      <w:marLeft w:val="0"/>
      <w:marRight w:val="0"/>
      <w:marTop w:val="0"/>
      <w:marBottom w:val="0"/>
      <w:divBdr>
        <w:top w:val="none" w:sz="0" w:space="0" w:color="auto"/>
        <w:left w:val="none" w:sz="0" w:space="0" w:color="auto"/>
        <w:bottom w:val="none" w:sz="0" w:space="0" w:color="auto"/>
        <w:right w:val="none" w:sz="0" w:space="0" w:color="auto"/>
      </w:divBdr>
    </w:div>
    <w:div w:id="190413922">
      <w:bodyDiv w:val="1"/>
      <w:marLeft w:val="0"/>
      <w:marRight w:val="0"/>
      <w:marTop w:val="0"/>
      <w:marBottom w:val="0"/>
      <w:divBdr>
        <w:top w:val="none" w:sz="0" w:space="0" w:color="auto"/>
        <w:left w:val="none" w:sz="0" w:space="0" w:color="auto"/>
        <w:bottom w:val="none" w:sz="0" w:space="0" w:color="auto"/>
        <w:right w:val="none" w:sz="0" w:space="0" w:color="auto"/>
      </w:divBdr>
    </w:div>
    <w:div w:id="200439965">
      <w:bodyDiv w:val="1"/>
      <w:marLeft w:val="0"/>
      <w:marRight w:val="0"/>
      <w:marTop w:val="0"/>
      <w:marBottom w:val="0"/>
      <w:divBdr>
        <w:top w:val="none" w:sz="0" w:space="0" w:color="auto"/>
        <w:left w:val="none" w:sz="0" w:space="0" w:color="auto"/>
        <w:bottom w:val="none" w:sz="0" w:space="0" w:color="auto"/>
        <w:right w:val="none" w:sz="0" w:space="0" w:color="auto"/>
      </w:divBdr>
    </w:div>
    <w:div w:id="204634703">
      <w:bodyDiv w:val="1"/>
      <w:marLeft w:val="0"/>
      <w:marRight w:val="0"/>
      <w:marTop w:val="0"/>
      <w:marBottom w:val="0"/>
      <w:divBdr>
        <w:top w:val="none" w:sz="0" w:space="0" w:color="auto"/>
        <w:left w:val="none" w:sz="0" w:space="0" w:color="auto"/>
        <w:bottom w:val="none" w:sz="0" w:space="0" w:color="auto"/>
        <w:right w:val="none" w:sz="0" w:space="0" w:color="auto"/>
      </w:divBdr>
    </w:div>
    <w:div w:id="205531889">
      <w:bodyDiv w:val="1"/>
      <w:marLeft w:val="0"/>
      <w:marRight w:val="0"/>
      <w:marTop w:val="0"/>
      <w:marBottom w:val="0"/>
      <w:divBdr>
        <w:top w:val="none" w:sz="0" w:space="0" w:color="auto"/>
        <w:left w:val="none" w:sz="0" w:space="0" w:color="auto"/>
        <w:bottom w:val="none" w:sz="0" w:space="0" w:color="auto"/>
        <w:right w:val="none" w:sz="0" w:space="0" w:color="auto"/>
      </w:divBdr>
    </w:div>
    <w:div w:id="206837678">
      <w:bodyDiv w:val="1"/>
      <w:marLeft w:val="0"/>
      <w:marRight w:val="0"/>
      <w:marTop w:val="0"/>
      <w:marBottom w:val="0"/>
      <w:divBdr>
        <w:top w:val="none" w:sz="0" w:space="0" w:color="auto"/>
        <w:left w:val="none" w:sz="0" w:space="0" w:color="auto"/>
        <w:bottom w:val="none" w:sz="0" w:space="0" w:color="auto"/>
        <w:right w:val="none" w:sz="0" w:space="0" w:color="auto"/>
      </w:divBdr>
    </w:div>
    <w:div w:id="214662479">
      <w:bodyDiv w:val="1"/>
      <w:marLeft w:val="0"/>
      <w:marRight w:val="0"/>
      <w:marTop w:val="0"/>
      <w:marBottom w:val="0"/>
      <w:divBdr>
        <w:top w:val="none" w:sz="0" w:space="0" w:color="auto"/>
        <w:left w:val="none" w:sz="0" w:space="0" w:color="auto"/>
        <w:bottom w:val="none" w:sz="0" w:space="0" w:color="auto"/>
        <w:right w:val="none" w:sz="0" w:space="0" w:color="auto"/>
      </w:divBdr>
    </w:div>
    <w:div w:id="215434649">
      <w:bodyDiv w:val="1"/>
      <w:marLeft w:val="0"/>
      <w:marRight w:val="0"/>
      <w:marTop w:val="0"/>
      <w:marBottom w:val="0"/>
      <w:divBdr>
        <w:top w:val="none" w:sz="0" w:space="0" w:color="auto"/>
        <w:left w:val="none" w:sz="0" w:space="0" w:color="auto"/>
        <w:bottom w:val="none" w:sz="0" w:space="0" w:color="auto"/>
        <w:right w:val="none" w:sz="0" w:space="0" w:color="auto"/>
      </w:divBdr>
    </w:div>
    <w:div w:id="219247148">
      <w:bodyDiv w:val="1"/>
      <w:marLeft w:val="0"/>
      <w:marRight w:val="0"/>
      <w:marTop w:val="0"/>
      <w:marBottom w:val="0"/>
      <w:divBdr>
        <w:top w:val="none" w:sz="0" w:space="0" w:color="auto"/>
        <w:left w:val="none" w:sz="0" w:space="0" w:color="auto"/>
        <w:bottom w:val="none" w:sz="0" w:space="0" w:color="auto"/>
        <w:right w:val="none" w:sz="0" w:space="0" w:color="auto"/>
      </w:divBdr>
    </w:div>
    <w:div w:id="226454752">
      <w:bodyDiv w:val="1"/>
      <w:marLeft w:val="0"/>
      <w:marRight w:val="0"/>
      <w:marTop w:val="0"/>
      <w:marBottom w:val="0"/>
      <w:divBdr>
        <w:top w:val="none" w:sz="0" w:space="0" w:color="auto"/>
        <w:left w:val="none" w:sz="0" w:space="0" w:color="auto"/>
        <w:bottom w:val="none" w:sz="0" w:space="0" w:color="auto"/>
        <w:right w:val="none" w:sz="0" w:space="0" w:color="auto"/>
      </w:divBdr>
    </w:div>
    <w:div w:id="226767024">
      <w:bodyDiv w:val="1"/>
      <w:marLeft w:val="0"/>
      <w:marRight w:val="0"/>
      <w:marTop w:val="0"/>
      <w:marBottom w:val="0"/>
      <w:divBdr>
        <w:top w:val="none" w:sz="0" w:space="0" w:color="auto"/>
        <w:left w:val="none" w:sz="0" w:space="0" w:color="auto"/>
        <w:bottom w:val="none" w:sz="0" w:space="0" w:color="auto"/>
        <w:right w:val="none" w:sz="0" w:space="0" w:color="auto"/>
      </w:divBdr>
    </w:div>
    <w:div w:id="238752686">
      <w:bodyDiv w:val="1"/>
      <w:marLeft w:val="0"/>
      <w:marRight w:val="0"/>
      <w:marTop w:val="0"/>
      <w:marBottom w:val="0"/>
      <w:divBdr>
        <w:top w:val="none" w:sz="0" w:space="0" w:color="auto"/>
        <w:left w:val="none" w:sz="0" w:space="0" w:color="auto"/>
        <w:bottom w:val="none" w:sz="0" w:space="0" w:color="auto"/>
        <w:right w:val="none" w:sz="0" w:space="0" w:color="auto"/>
      </w:divBdr>
    </w:div>
    <w:div w:id="239219908">
      <w:bodyDiv w:val="1"/>
      <w:marLeft w:val="0"/>
      <w:marRight w:val="0"/>
      <w:marTop w:val="0"/>
      <w:marBottom w:val="0"/>
      <w:divBdr>
        <w:top w:val="none" w:sz="0" w:space="0" w:color="auto"/>
        <w:left w:val="none" w:sz="0" w:space="0" w:color="auto"/>
        <w:bottom w:val="none" w:sz="0" w:space="0" w:color="auto"/>
        <w:right w:val="none" w:sz="0" w:space="0" w:color="auto"/>
      </w:divBdr>
    </w:div>
    <w:div w:id="241062299">
      <w:bodyDiv w:val="1"/>
      <w:marLeft w:val="0"/>
      <w:marRight w:val="0"/>
      <w:marTop w:val="0"/>
      <w:marBottom w:val="0"/>
      <w:divBdr>
        <w:top w:val="none" w:sz="0" w:space="0" w:color="auto"/>
        <w:left w:val="none" w:sz="0" w:space="0" w:color="auto"/>
        <w:bottom w:val="none" w:sz="0" w:space="0" w:color="auto"/>
        <w:right w:val="none" w:sz="0" w:space="0" w:color="auto"/>
      </w:divBdr>
    </w:div>
    <w:div w:id="243808511">
      <w:bodyDiv w:val="1"/>
      <w:marLeft w:val="0"/>
      <w:marRight w:val="0"/>
      <w:marTop w:val="0"/>
      <w:marBottom w:val="0"/>
      <w:divBdr>
        <w:top w:val="none" w:sz="0" w:space="0" w:color="auto"/>
        <w:left w:val="none" w:sz="0" w:space="0" w:color="auto"/>
        <w:bottom w:val="none" w:sz="0" w:space="0" w:color="auto"/>
        <w:right w:val="none" w:sz="0" w:space="0" w:color="auto"/>
      </w:divBdr>
    </w:div>
    <w:div w:id="251359603">
      <w:bodyDiv w:val="1"/>
      <w:marLeft w:val="0"/>
      <w:marRight w:val="0"/>
      <w:marTop w:val="0"/>
      <w:marBottom w:val="0"/>
      <w:divBdr>
        <w:top w:val="none" w:sz="0" w:space="0" w:color="auto"/>
        <w:left w:val="none" w:sz="0" w:space="0" w:color="auto"/>
        <w:bottom w:val="none" w:sz="0" w:space="0" w:color="auto"/>
        <w:right w:val="none" w:sz="0" w:space="0" w:color="auto"/>
      </w:divBdr>
    </w:div>
    <w:div w:id="256595137">
      <w:bodyDiv w:val="1"/>
      <w:marLeft w:val="0"/>
      <w:marRight w:val="0"/>
      <w:marTop w:val="0"/>
      <w:marBottom w:val="0"/>
      <w:divBdr>
        <w:top w:val="none" w:sz="0" w:space="0" w:color="auto"/>
        <w:left w:val="none" w:sz="0" w:space="0" w:color="auto"/>
        <w:bottom w:val="none" w:sz="0" w:space="0" w:color="auto"/>
        <w:right w:val="none" w:sz="0" w:space="0" w:color="auto"/>
      </w:divBdr>
    </w:div>
    <w:div w:id="256788401">
      <w:bodyDiv w:val="1"/>
      <w:marLeft w:val="0"/>
      <w:marRight w:val="0"/>
      <w:marTop w:val="0"/>
      <w:marBottom w:val="0"/>
      <w:divBdr>
        <w:top w:val="none" w:sz="0" w:space="0" w:color="auto"/>
        <w:left w:val="none" w:sz="0" w:space="0" w:color="auto"/>
        <w:bottom w:val="none" w:sz="0" w:space="0" w:color="auto"/>
        <w:right w:val="none" w:sz="0" w:space="0" w:color="auto"/>
      </w:divBdr>
    </w:div>
    <w:div w:id="266430112">
      <w:bodyDiv w:val="1"/>
      <w:marLeft w:val="0"/>
      <w:marRight w:val="0"/>
      <w:marTop w:val="0"/>
      <w:marBottom w:val="0"/>
      <w:divBdr>
        <w:top w:val="none" w:sz="0" w:space="0" w:color="auto"/>
        <w:left w:val="none" w:sz="0" w:space="0" w:color="auto"/>
        <w:bottom w:val="none" w:sz="0" w:space="0" w:color="auto"/>
        <w:right w:val="none" w:sz="0" w:space="0" w:color="auto"/>
      </w:divBdr>
    </w:div>
    <w:div w:id="275068930">
      <w:bodyDiv w:val="1"/>
      <w:marLeft w:val="0"/>
      <w:marRight w:val="0"/>
      <w:marTop w:val="0"/>
      <w:marBottom w:val="0"/>
      <w:divBdr>
        <w:top w:val="none" w:sz="0" w:space="0" w:color="auto"/>
        <w:left w:val="none" w:sz="0" w:space="0" w:color="auto"/>
        <w:bottom w:val="none" w:sz="0" w:space="0" w:color="auto"/>
        <w:right w:val="none" w:sz="0" w:space="0" w:color="auto"/>
      </w:divBdr>
    </w:div>
    <w:div w:id="275792852">
      <w:bodyDiv w:val="1"/>
      <w:marLeft w:val="0"/>
      <w:marRight w:val="0"/>
      <w:marTop w:val="0"/>
      <w:marBottom w:val="0"/>
      <w:divBdr>
        <w:top w:val="none" w:sz="0" w:space="0" w:color="auto"/>
        <w:left w:val="none" w:sz="0" w:space="0" w:color="auto"/>
        <w:bottom w:val="none" w:sz="0" w:space="0" w:color="auto"/>
        <w:right w:val="none" w:sz="0" w:space="0" w:color="auto"/>
      </w:divBdr>
    </w:div>
    <w:div w:id="278101890">
      <w:bodyDiv w:val="1"/>
      <w:marLeft w:val="0"/>
      <w:marRight w:val="0"/>
      <w:marTop w:val="0"/>
      <w:marBottom w:val="0"/>
      <w:divBdr>
        <w:top w:val="none" w:sz="0" w:space="0" w:color="auto"/>
        <w:left w:val="none" w:sz="0" w:space="0" w:color="auto"/>
        <w:bottom w:val="none" w:sz="0" w:space="0" w:color="auto"/>
        <w:right w:val="none" w:sz="0" w:space="0" w:color="auto"/>
      </w:divBdr>
    </w:div>
    <w:div w:id="283466011">
      <w:bodyDiv w:val="1"/>
      <w:marLeft w:val="0"/>
      <w:marRight w:val="0"/>
      <w:marTop w:val="0"/>
      <w:marBottom w:val="0"/>
      <w:divBdr>
        <w:top w:val="none" w:sz="0" w:space="0" w:color="auto"/>
        <w:left w:val="none" w:sz="0" w:space="0" w:color="auto"/>
        <w:bottom w:val="none" w:sz="0" w:space="0" w:color="auto"/>
        <w:right w:val="none" w:sz="0" w:space="0" w:color="auto"/>
      </w:divBdr>
    </w:div>
    <w:div w:id="287206286">
      <w:bodyDiv w:val="1"/>
      <w:marLeft w:val="0"/>
      <w:marRight w:val="0"/>
      <w:marTop w:val="0"/>
      <w:marBottom w:val="0"/>
      <w:divBdr>
        <w:top w:val="none" w:sz="0" w:space="0" w:color="auto"/>
        <w:left w:val="none" w:sz="0" w:space="0" w:color="auto"/>
        <w:bottom w:val="none" w:sz="0" w:space="0" w:color="auto"/>
        <w:right w:val="none" w:sz="0" w:space="0" w:color="auto"/>
      </w:divBdr>
    </w:div>
    <w:div w:id="290982994">
      <w:bodyDiv w:val="1"/>
      <w:marLeft w:val="0"/>
      <w:marRight w:val="0"/>
      <w:marTop w:val="0"/>
      <w:marBottom w:val="0"/>
      <w:divBdr>
        <w:top w:val="none" w:sz="0" w:space="0" w:color="auto"/>
        <w:left w:val="none" w:sz="0" w:space="0" w:color="auto"/>
        <w:bottom w:val="none" w:sz="0" w:space="0" w:color="auto"/>
        <w:right w:val="none" w:sz="0" w:space="0" w:color="auto"/>
      </w:divBdr>
    </w:div>
    <w:div w:id="291445381">
      <w:bodyDiv w:val="1"/>
      <w:marLeft w:val="0"/>
      <w:marRight w:val="0"/>
      <w:marTop w:val="0"/>
      <w:marBottom w:val="0"/>
      <w:divBdr>
        <w:top w:val="none" w:sz="0" w:space="0" w:color="auto"/>
        <w:left w:val="none" w:sz="0" w:space="0" w:color="auto"/>
        <w:bottom w:val="none" w:sz="0" w:space="0" w:color="auto"/>
        <w:right w:val="none" w:sz="0" w:space="0" w:color="auto"/>
      </w:divBdr>
    </w:div>
    <w:div w:id="298416868">
      <w:bodyDiv w:val="1"/>
      <w:marLeft w:val="0"/>
      <w:marRight w:val="0"/>
      <w:marTop w:val="0"/>
      <w:marBottom w:val="0"/>
      <w:divBdr>
        <w:top w:val="none" w:sz="0" w:space="0" w:color="auto"/>
        <w:left w:val="none" w:sz="0" w:space="0" w:color="auto"/>
        <w:bottom w:val="none" w:sz="0" w:space="0" w:color="auto"/>
        <w:right w:val="none" w:sz="0" w:space="0" w:color="auto"/>
      </w:divBdr>
    </w:div>
    <w:div w:id="303587268">
      <w:bodyDiv w:val="1"/>
      <w:marLeft w:val="0"/>
      <w:marRight w:val="0"/>
      <w:marTop w:val="0"/>
      <w:marBottom w:val="0"/>
      <w:divBdr>
        <w:top w:val="none" w:sz="0" w:space="0" w:color="auto"/>
        <w:left w:val="none" w:sz="0" w:space="0" w:color="auto"/>
        <w:bottom w:val="none" w:sz="0" w:space="0" w:color="auto"/>
        <w:right w:val="none" w:sz="0" w:space="0" w:color="auto"/>
      </w:divBdr>
    </w:div>
    <w:div w:id="303825090">
      <w:bodyDiv w:val="1"/>
      <w:marLeft w:val="0"/>
      <w:marRight w:val="0"/>
      <w:marTop w:val="0"/>
      <w:marBottom w:val="0"/>
      <w:divBdr>
        <w:top w:val="none" w:sz="0" w:space="0" w:color="auto"/>
        <w:left w:val="none" w:sz="0" w:space="0" w:color="auto"/>
        <w:bottom w:val="none" w:sz="0" w:space="0" w:color="auto"/>
        <w:right w:val="none" w:sz="0" w:space="0" w:color="auto"/>
      </w:divBdr>
    </w:div>
    <w:div w:id="303894370">
      <w:bodyDiv w:val="1"/>
      <w:marLeft w:val="0"/>
      <w:marRight w:val="0"/>
      <w:marTop w:val="0"/>
      <w:marBottom w:val="0"/>
      <w:divBdr>
        <w:top w:val="none" w:sz="0" w:space="0" w:color="auto"/>
        <w:left w:val="none" w:sz="0" w:space="0" w:color="auto"/>
        <w:bottom w:val="none" w:sz="0" w:space="0" w:color="auto"/>
        <w:right w:val="none" w:sz="0" w:space="0" w:color="auto"/>
      </w:divBdr>
    </w:div>
    <w:div w:id="319389445">
      <w:bodyDiv w:val="1"/>
      <w:marLeft w:val="0"/>
      <w:marRight w:val="0"/>
      <w:marTop w:val="0"/>
      <w:marBottom w:val="0"/>
      <w:divBdr>
        <w:top w:val="none" w:sz="0" w:space="0" w:color="auto"/>
        <w:left w:val="none" w:sz="0" w:space="0" w:color="auto"/>
        <w:bottom w:val="none" w:sz="0" w:space="0" w:color="auto"/>
        <w:right w:val="none" w:sz="0" w:space="0" w:color="auto"/>
      </w:divBdr>
    </w:div>
    <w:div w:id="323122048">
      <w:bodyDiv w:val="1"/>
      <w:marLeft w:val="0"/>
      <w:marRight w:val="0"/>
      <w:marTop w:val="0"/>
      <w:marBottom w:val="0"/>
      <w:divBdr>
        <w:top w:val="none" w:sz="0" w:space="0" w:color="auto"/>
        <w:left w:val="none" w:sz="0" w:space="0" w:color="auto"/>
        <w:bottom w:val="none" w:sz="0" w:space="0" w:color="auto"/>
        <w:right w:val="none" w:sz="0" w:space="0" w:color="auto"/>
      </w:divBdr>
    </w:div>
    <w:div w:id="330646753">
      <w:bodyDiv w:val="1"/>
      <w:marLeft w:val="0"/>
      <w:marRight w:val="0"/>
      <w:marTop w:val="0"/>
      <w:marBottom w:val="0"/>
      <w:divBdr>
        <w:top w:val="none" w:sz="0" w:space="0" w:color="auto"/>
        <w:left w:val="none" w:sz="0" w:space="0" w:color="auto"/>
        <w:bottom w:val="none" w:sz="0" w:space="0" w:color="auto"/>
        <w:right w:val="none" w:sz="0" w:space="0" w:color="auto"/>
      </w:divBdr>
    </w:div>
    <w:div w:id="332219311">
      <w:bodyDiv w:val="1"/>
      <w:marLeft w:val="0"/>
      <w:marRight w:val="0"/>
      <w:marTop w:val="0"/>
      <w:marBottom w:val="0"/>
      <w:divBdr>
        <w:top w:val="none" w:sz="0" w:space="0" w:color="auto"/>
        <w:left w:val="none" w:sz="0" w:space="0" w:color="auto"/>
        <w:bottom w:val="none" w:sz="0" w:space="0" w:color="auto"/>
        <w:right w:val="none" w:sz="0" w:space="0" w:color="auto"/>
      </w:divBdr>
    </w:div>
    <w:div w:id="334308512">
      <w:bodyDiv w:val="1"/>
      <w:marLeft w:val="0"/>
      <w:marRight w:val="0"/>
      <w:marTop w:val="0"/>
      <w:marBottom w:val="0"/>
      <w:divBdr>
        <w:top w:val="none" w:sz="0" w:space="0" w:color="auto"/>
        <w:left w:val="none" w:sz="0" w:space="0" w:color="auto"/>
        <w:bottom w:val="none" w:sz="0" w:space="0" w:color="auto"/>
        <w:right w:val="none" w:sz="0" w:space="0" w:color="auto"/>
      </w:divBdr>
    </w:div>
    <w:div w:id="334461376">
      <w:bodyDiv w:val="1"/>
      <w:marLeft w:val="0"/>
      <w:marRight w:val="0"/>
      <w:marTop w:val="0"/>
      <w:marBottom w:val="0"/>
      <w:divBdr>
        <w:top w:val="none" w:sz="0" w:space="0" w:color="auto"/>
        <w:left w:val="none" w:sz="0" w:space="0" w:color="auto"/>
        <w:bottom w:val="none" w:sz="0" w:space="0" w:color="auto"/>
        <w:right w:val="none" w:sz="0" w:space="0" w:color="auto"/>
      </w:divBdr>
    </w:div>
    <w:div w:id="342897884">
      <w:bodyDiv w:val="1"/>
      <w:marLeft w:val="0"/>
      <w:marRight w:val="0"/>
      <w:marTop w:val="0"/>
      <w:marBottom w:val="0"/>
      <w:divBdr>
        <w:top w:val="none" w:sz="0" w:space="0" w:color="auto"/>
        <w:left w:val="none" w:sz="0" w:space="0" w:color="auto"/>
        <w:bottom w:val="none" w:sz="0" w:space="0" w:color="auto"/>
        <w:right w:val="none" w:sz="0" w:space="0" w:color="auto"/>
      </w:divBdr>
    </w:div>
    <w:div w:id="353578753">
      <w:bodyDiv w:val="1"/>
      <w:marLeft w:val="0"/>
      <w:marRight w:val="0"/>
      <w:marTop w:val="0"/>
      <w:marBottom w:val="0"/>
      <w:divBdr>
        <w:top w:val="none" w:sz="0" w:space="0" w:color="auto"/>
        <w:left w:val="none" w:sz="0" w:space="0" w:color="auto"/>
        <w:bottom w:val="none" w:sz="0" w:space="0" w:color="auto"/>
        <w:right w:val="none" w:sz="0" w:space="0" w:color="auto"/>
      </w:divBdr>
    </w:div>
    <w:div w:id="356388144">
      <w:bodyDiv w:val="1"/>
      <w:marLeft w:val="0"/>
      <w:marRight w:val="0"/>
      <w:marTop w:val="0"/>
      <w:marBottom w:val="0"/>
      <w:divBdr>
        <w:top w:val="none" w:sz="0" w:space="0" w:color="auto"/>
        <w:left w:val="none" w:sz="0" w:space="0" w:color="auto"/>
        <w:bottom w:val="none" w:sz="0" w:space="0" w:color="auto"/>
        <w:right w:val="none" w:sz="0" w:space="0" w:color="auto"/>
      </w:divBdr>
    </w:div>
    <w:div w:id="357704236">
      <w:bodyDiv w:val="1"/>
      <w:marLeft w:val="0"/>
      <w:marRight w:val="0"/>
      <w:marTop w:val="0"/>
      <w:marBottom w:val="0"/>
      <w:divBdr>
        <w:top w:val="none" w:sz="0" w:space="0" w:color="auto"/>
        <w:left w:val="none" w:sz="0" w:space="0" w:color="auto"/>
        <w:bottom w:val="none" w:sz="0" w:space="0" w:color="auto"/>
        <w:right w:val="none" w:sz="0" w:space="0" w:color="auto"/>
      </w:divBdr>
    </w:div>
    <w:div w:id="392042990">
      <w:bodyDiv w:val="1"/>
      <w:marLeft w:val="0"/>
      <w:marRight w:val="0"/>
      <w:marTop w:val="0"/>
      <w:marBottom w:val="0"/>
      <w:divBdr>
        <w:top w:val="none" w:sz="0" w:space="0" w:color="auto"/>
        <w:left w:val="none" w:sz="0" w:space="0" w:color="auto"/>
        <w:bottom w:val="none" w:sz="0" w:space="0" w:color="auto"/>
        <w:right w:val="none" w:sz="0" w:space="0" w:color="auto"/>
      </w:divBdr>
    </w:div>
    <w:div w:id="406272330">
      <w:bodyDiv w:val="1"/>
      <w:marLeft w:val="0"/>
      <w:marRight w:val="0"/>
      <w:marTop w:val="0"/>
      <w:marBottom w:val="0"/>
      <w:divBdr>
        <w:top w:val="none" w:sz="0" w:space="0" w:color="auto"/>
        <w:left w:val="none" w:sz="0" w:space="0" w:color="auto"/>
        <w:bottom w:val="none" w:sz="0" w:space="0" w:color="auto"/>
        <w:right w:val="none" w:sz="0" w:space="0" w:color="auto"/>
      </w:divBdr>
    </w:div>
    <w:div w:id="406535478">
      <w:bodyDiv w:val="1"/>
      <w:marLeft w:val="0"/>
      <w:marRight w:val="0"/>
      <w:marTop w:val="0"/>
      <w:marBottom w:val="0"/>
      <w:divBdr>
        <w:top w:val="none" w:sz="0" w:space="0" w:color="auto"/>
        <w:left w:val="none" w:sz="0" w:space="0" w:color="auto"/>
        <w:bottom w:val="none" w:sz="0" w:space="0" w:color="auto"/>
        <w:right w:val="none" w:sz="0" w:space="0" w:color="auto"/>
      </w:divBdr>
    </w:div>
    <w:div w:id="407306515">
      <w:bodyDiv w:val="1"/>
      <w:marLeft w:val="0"/>
      <w:marRight w:val="0"/>
      <w:marTop w:val="0"/>
      <w:marBottom w:val="0"/>
      <w:divBdr>
        <w:top w:val="none" w:sz="0" w:space="0" w:color="auto"/>
        <w:left w:val="none" w:sz="0" w:space="0" w:color="auto"/>
        <w:bottom w:val="none" w:sz="0" w:space="0" w:color="auto"/>
        <w:right w:val="none" w:sz="0" w:space="0" w:color="auto"/>
      </w:divBdr>
    </w:div>
    <w:div w:id="414396812">
      <w:bodyDiv w:val="1"/>
      <w:marLeft w:val="0"/>
      <w:marRight w:val="0"/>
      <w:marTop w:val="0"/>
      <w:marBottom w:val="0"/>
      <w:divBdr>
        <w:top w:val="none" w:sz="0" w:space="0" w:color="auto"/>
        <w:left w:val="none" w:sz="0" w:space="0" w:color="auto"/>
        <w:bottom w:val="none" w:sz="0" w:space="0" w:color="auto"/>
        <w:right w:val="none" w:sz="0" w:space="0" w:color="auto"/>
      </w:divBdr>
    </w:div>
    <w:div w:id="419301552">
      <w:bodyDiv w:val="1"/>
      <w:marLeft w:val="0"/>
      <w:marRight w:val="0"/>
      <w:marTop w:val="0"/>
      <w:marBottom w:val="0"/>
      <w:divBdr>
        <w:top w:val="none" w:sz="0" w:space="0" w:color="auto"/>
        <w:left w:val="none" w:sz="0" w:space="0" w:color="auto"/>
        <w:bottom w:val="none" w:sz="0" w:space="0" w:color="auto"/>
        <w:right w:val="none" w:sz="0" w:space="0" w:color="auto"/>
      </w:divBdr>
    </w:div>
    <w:div w:id="437023719">
      <w:bodyDiv w:val="1"/>
      <w:marLeft w:val="0"/>
      <w:marRight w:val="0"/>
      <w:marTop w:val="0"/>
      <w:marBottom w:val="0"/>
      <w:divBdr>
        <w:top w:val="none" w:sz="0" w:space="0" w:color="auto"/>
        <w:left w:val="none" w:sz="0" w:space="0" w:color="auto"/>
        <w:bottom w:val="none" w:sz="0" w:space="0" w:color="auto"/>
        <w:right w:val="none" w:sz="0" w:space="0" w:color="auto"/>
      </w:divBdr>
    </w:div>
    <w:div w:id="447814871">
      <w:bodyDiv w:val="1"/>
      <w:marLeft w:val="0"/>
      <w:marRight w:val="0"/>
      <w:marTop w:val="0"/>
      <w:marBottom w:val="0"/>
      <w:divBdr>
        <w:top w:val="none" w:sz="0" w:space="0" w:color="auto"/>
        <w:left w:val="none" w:sz="0" w:space="0" w:color="auto"/>
        <w:bottom w:val="none" w:sz="0" w:space="0" w:color="auto"/>
        <w:right w:val="none" w:sz="0" w:space="0" w:color="auto"/>
      </w:divBdr>
    </w:div>
    <w:div w:id="448815211">
      <w:bodyDiv w:val="1"/>
      <w:marLeft w:val="0"/>
      <w:marRight w:val="0"/>
      <w:marTop w:val="0"/>
      <w:marBottom w:val="0"/>
      <w:divBdr>
        <w:top w:val="none" w:sz="0" w:space="0" w:color="auto"/>
        <w:left w:val="none" w:sz="0" w:space="0" w:color="auto"/>
        <w:bottom w:val="none" w:sz="0" w:space="0" w:color="auto"/>
        <w:right w:val="none" w:sz="0" w:space="0" w:color="auto"/>
      </w:divBdr>
    </w:div>
    <w:div w:id="453402836">
      <w:bodyDiv w:val="1"/>
      <w:marLeft w:val="0"/>
      <w:marRight w:val="0"/>
      <w:marTop w:val="0"/>
      <w:marBottom w:val="0"/>
      <w:divBdr>
        <w:top w:val="none" w:sz="0" w:space="0" w:color="auto"/>
        <w:left w:val="none" w:sz="0" w:space="0" w:color="auto"/>
        <w:bottom w:val="none" w:sz="0" w:space="0" w:color="auto"/>
        <w:right w:val="none" w:sz="0" w:space="0" w:color="auto"/>
      </w:divBdr>
    </w:div>
    <w:div w:id="466776301">
      <w:bodyDiv w:val="1"/>
      <w:marLeft w:val="0"/>
      <w:marRight w:val="0"/>
      <w:marTop w:val="0"/>
      <w:marBottom w:val="0"/>
      <w:divBdr>
        <w:top w:val="none" w:sz="0" w:space="0" w:color="auto"/>
        <w:left w:val="none" w:sz="0" w:space="0" w:color="auto"/>
        <w:bottom w:val="none" w:sz="0" w:space="0" w:color="auto"/>
        <w:right w:val="none" w:sz="0" w:space="0" w:color="auto"/>
      </w:divBdr>
    </w:div>
    <w:div w:id="481771919">
      <w:bodyDiv w:val="1"/>
      <w:marLeft w:val="0"/>
      <w:marRight w:val="0"/>
      <w:marTop w:val="0"/>
      <w:marBottom w:val="0"/>
      <w:divBdr>
        <w:top w:val="none" w:sz="0" w:space="0" w:color="auto"/>
        <w:left w:val="none" w:sz="0" w:space="0" w:color="auto"/>
        <w:bottom w:val="none" w:sz="0" w:space="0" w:color="auto"/>
        <w:right w:val="none" w:sz="0" w:space="0" w:color="auto"/>
      </w:divBdr>
    </w:div>
    <w:div w:id="485634221">
      <w:bodyDiv w:val="1"/>
      <w:marLeft w:val="0"/>
      <w:marRight w:val="0"/>
      <w:marTop w:val="0"/>
      <w:marBottom w:val="0"/>
      <w:divBdr>
        <w:top w:val="none" w:sz="0" w:space="0" w:color="auto"/>
        <w:left w:val="none" w:sz="0" w:space="0" w:color="auto"/>
        <w:bottom w:val="none" w:sz="0" w:space="0" w:color="auto"/>
        <w:right w:val="none" w:sz="0" w:space="0" w:color="auto"/>
      </w:divBdr>
    </w:div>
    <w:div w:id="485975839">
      <w:bodyDiv w:val="1"/>
      <w:marLeft w:val="0"/>
      <w:marRight w:val="0"/>
      <w:marTop w:val="0"/>
      <w:marBottom w:val="0"/>
      <w:divBdr>
        <w:top w:val="none" w:sz="0" w:space="0" w:color="auto"/>
        <w:left w:val="none" w:sz="0" w:space="0" w:color="auto"/>
        <w:bottom w:val="none" w:sz="0" w:space="0" w:color="auto"/>
        <w:right w:val="none" w:sz="0" w:space="0" w:color="auto"/>
      </w:divBdr>
    </w:div>
    <w:div w:id="489566931">
      <w:bodyDiv w:val="1"/>
      <w:marLeft w:val="0"/>
      <w:marRight w:val="0"/>
      <w:marTop w:val="0"/>
      <w:marBottom w:val="0"/>
      <w:divBdr>
        <w:top w:val="none" w:sz="0" w:space="0" w:color="auto"/>
        <w:left w:val="none" w:sz="0" w:space="0" w:color="auto"/>
        <w:bottom w:val="none" w:sz="0" w:space="0" w:color="auto"/>
        <w:right w:val="none" w:sz="0" w:space="0" w:color="auto"/>
      </w:divBdr>
    </w:div>
    <w:div w:id="492062491">
      <w:bodyDiv w:val="1"/>
      <w:marLeft w:val="0"/>
      <w:marRight w:val="0"/>
      <w:marTop w:val="0"/>
      <w:marBottom w:val="0"/>
      <w:divBdr>
        <w:top w:val="none" w:sz="0" w:space="0" w:color="auto"/>
        <w:left w:val="none" w:sz="0" w:space="0" w:color="auto"/>
        <w:bottom w:val="none" w:sz="0" w:space="0" w:color="auto"/>
        <w:right w:val="none" w:sz="0" w:space="0" w:color="auto"/>
      </w:divBdr>
    </w:div>
    <w:div w:id="496385690">
      <w:bodyDiv w:val="1"/>
      <w:marLeft w:val="0"/>
      <w:marRight w:val="0"/>
      <w:marTop w:val="0"/>
      <w:marBottom w:val="0"/>
      <w:divBdr>
        <w:top w:val="none" w:sz="0" w:space="0" w:color="auto"/>
        <w:left w:val="none" w:sz="0" w:space="0" w:color="auto"/>
        <w:bottom w:val="none" w:sz="0" w:space="0" w:color="auto"/>
        <w:right w:val="none" w:sz="0" w:space="0" w:color="auto"/>
      </w:divBdr>
    </w:div>
    <w:div w:id="501237644">
      <w:bodyDiv w:val="1"/>
      <w:marLeft w:val="0"/>
      <w:marRight w:val="0"/>
      <w:marTop w:val="0"/>
      <w:marBottom w:val="0"/>
      <w:divBdr>
        <w:top w:val="none" w:sz="0" w:space="0" w:color="auto"/>
        <w:left w:val="none" w:sz="0" w:space="0" w:color="auto"/>
        <w:bottom w:val="none" w:sz="0" w:space="0" w:color="auto"/>
        <w:right w:val="none" w:sz="0" w:space="0" w:color="auto"/>
      </w:divBdr>
    </w:div>
    <w:div w:id="502430702">
      <w:bodyDiv w:val="1"/>
      <w:marLeft w:val="0"/>
      <w:marRight w:val="0"/>
      <w:marTop w:val="0"/>
      <w:marBottom w:val="0"/>
      <w:divBdr>
        <w:top w:val="none" w:sz="0" w:space="0" w:color="auto"/>
        <w:left w:val="none" w:sz="0" w:space="0" w:color="auto"/>
        <w:bottom w:val="none" w:sz="0" w:space="0" w:color="auto"/>
        <w:right w:val="none" w:sz="0" w:space="0" w:color="auto"/>
      </w:divBdr>
    </w:div>
    <w:div w:id="524832334">
      <w:bodyDiv w:val="1"/>
      <w:marLeft w:val="0"/>
      <w:marRight w:val="0"/>
      <w:marTop w:val="0"/>
      <w:marBottom w:val="0"/>
      <w:divBdr>
        <w:top w:val="none" w:sz="0" w:space="0" w:color="auto"/>
        <w:left w:val="none" w:sz="0" w:space="0" w:color="auto"/>
        <w:bottom w:val="none" w:sz="0" w:space="0" w:color="auto"/>
        <w:right w:val="none" w:sz="0" w:space="0" w:color="auto"/>
      </w:divBdr>
    </w:div>
    <w:div w:id="531115087">
      <w:bodyDiv w:val="1"/>
      <w:marLeft w:val="0"/>
      <w:marRight w:val="0"/>
      <w:marTop w:val="0"/>
      <w:marBottom w:val="0"/>
      <w:divBdr>
        <w:top w:val="none" w:sz="0" w:space="0" w:color="auto"/>
        <w:left w:val="none" w:sz="0" w:space="0" w:color="auto"/>
        <w:bottom w:val="none" w:sz="0" w:space="0" w:color="auto"/>
        <w:right w:val="none" w:sz="0" w:space="0" w:color="auto"/>
      </w:divBdr>
    </w:div>
    <w:div w:id="537788521">
      <w:bodyDiv w:val="1"/>
      <w:marLeft w:val="0"/>
      <w:marRight w:val="0"/>
      <w:marTop w:val="0"/>
      <w:marBottom w:val="0"/>
      <w:divBdr>
        <w:top w:val="none" w:sz="0" w:space="0" w:color="auto"/>
        <w:left w:val="none" w:sz="0" w:space="0" w:color="auto"/>
        <w:bottom w:val="none" w:sz="0" w:space="0" w:color="auto"/>
        <w:right w:val="none" w:sz="0" w:space="0" w:color="auto"/>
      </w:divBdr>
    </w:div>
    <w:div w:id="540826153">
      <w:bodyDiv w:val="1"/>
      <w:marLeft w:val="0"/>
      <w:marRight w:val="0"/>
      <w:marTop w:val="0"/>
      <w:marBottom w:val="0"/>
      <w:divBdr>
        <w:top w:val="none" w:sz="0" w:space="0" w:color="auto"/>
        <w:left w:val="none" w:sz="0" w:space="0" w:color="auto"/>
        <w:bottom w:val="none" w:sz="0" w:space="0" w:color="auto"/>
        <w:right w:val="none" w:sz="0" w:space="0" w:color="auto"/>
      </w:divBdr>
    </w:div>
    <w:div w:id="541480196">
      <w:bodyDiv w:val="1"/>
      <w:marLeft w:val="0"/>
      <w:marRight w:val="0"/>
      <w:marTop w:val="0"/>
      <w:marBottom w:val="0"/>
      <w:divBdr>
        <w:top w:val="none" w:sz="0" w:space="0" w:color="auto"/>
        <w:left w:val="none" w:sz="0" w:space="0" w:color="auto"/>
        <w:bottom w:val="none" w:sz="0" w:space="0" w:color="auto"/>
        <w:right w:val="none" w:sz="0" w:space="0" w:color="auto"/>
      </w:divBdr>
    </w:div>
    <w:div w:id="543713704">
      <w:bodyDiv w:val="1"/>
      <w:marLeft w:val="0"/>
      <w:marRight w:val="0"/>
      <w:marTop w:val="0"/>
      <w:marBottom w:val="0"/>
      <w:divBdr>
        <w:top w:val="none" w:sz="0" w:space="0" w:color="auto"/>
        <w:left w:val="none" w:sz="0" w:space="0" w:color="auto"/>
        <w:bottom w:val="none" w:sz="0" w:space="0" w:color="auto"/>
        <w:right w:val="none" w:sz="0" w:space="0" w:color="auto"/>
      </w:divBdr>
    </w:div>
    <w:div w:id="545601883">
      <w:bodyDiv w:val="1"/>
      <w:marLeft w:val="0"/>
      <w:marRight w:val="0"/>
      <w:marTop w:val="0"/>
      <w:marBottom w:val="0"/>
      <w:divBdr>
        <w:top w:val="none" w:sz="0" w:space="0" w:color="auto"/>
        <w:left w:val="none" w:sz="0" w:space="0" w:color="auto"/>
        <w:bottom w:val="none" w:sz="0" w:space="0" w:color="auto"/>
        <w:right w:val="none" w:sz="0" w:space="0" w:color="auto"/>
      </w:divBdr>
    </w:div>
    <w:div w:id="545798900">
      <w:bodyDiv w:val="1"/>
      <w:marLeft w:val="0"/>
      <w:marRight w:val="0"/>
      <w:marTop w:val="0"/>
      <w:marBottom w:val="0"/>
      <w:divBdr>
        <w:top w:val="none" w:sz="0" w:space="0" w:color="auto"/>
        <w:left w:val="none" w:sz="0" w:space="0" w:color="auto"/>
        <w:bottom w:val="none" w:sz="0" w:space="0" w:color="auto"/>
        <w:right w:val="none" w:sz="0" w:space="0" w:color="auto"/>
      </w:divBdr>
    </w:div>
    <w:div w:id="548108500">
      <w:bodyDiv w:val="1"/>
      <w:marLeft w:val="0"/>
      <w:marRight w:val="0"/>
      <w:marTop w:val="0"/>
      <w:marBottom w:val="0"/>
      <w:divBdr>
        <w:top w:val="none" w:sz="0" w:space="0" w:color="auto"/>
        <w:left w:val="none" w:sz="0" w:space="0" w:color="auto"/>
        <w:bottom w:val="none" w:sz="0" w:space="0" w:color="auto"/>
        <w:right w:val="none" w:sz="0" w:space="0" w:color="auto"/>
      </w:divBdr>
    </w:div>
    <w:div w:id="548801478">
      <w:bodyDiv w:val="1"/>
      <w:marLeft w:val="0"/>
      <w:marRight w:val="0"/>
      <w:marTop w:val="0"/>
      <w:marBottom w:val="0"/>
      <w:divBdr>
        <w:top w:val="none" w:sz="0" w:space="0" w:color="auto"/>
        <w:left w:val="none" w:sz="0" w:space="0" w:color="auto"/>
        <w:bottom w:val="none" w:sz="0" w:space="0" w:color="auto"/>
        <w:right w:val="none" w:sz="0" w:space="0" w:color="auto"/>
      </w:divBdr>
    </w:div>
    <w:div w:id="569537812">
      <w:bodyDiv w:val="1"/>
      <w:marLeft w:val="0"/>
      <w:marRight w:val="0"/>
      <w:marTop w:val="0"/>
      <w:marBottom w:val="0"/>
      <w:divBdr>
        <w:top w:val="none" w:sz="0" w:space="0" w:color="auto"/>
        <w:left w:val="none" w:sz="0" w:space="0" w:color="auto"/>
        <w:bottom w:val="none" w:sz="0" w:space="0" w:color="auto"/>
        <w:right w:val="none" w:sz="0" w:space="0" w:color="auto"/>
      </w:divBdr>
    </w:div>
    <w:div w:id="572392739">
      <w:bodyDiv w:val="1"/>
      <w:marLeft w:val="0"/>
      <w:marRight w:val="0"/>
      <w:marTop w:val="0"/>
      <w:marBottom w:val="0"/>
      <w:divBdr>
        <w:top w:val="none" w:sz="0" w:space="0" w:color="auto"/>
        <w:left w:val="none" w:sz="0" w:space="0" w:color="auto"/>
        <w:bottom w:val="none" w:sz="0" w:space="0" w:color="auto"/>
        <w:right w:val="none" w:sz="0" w:space="0" w:color="auto"/>
      </w:divBdr>
    </w:div>
    <w:div w:id="573589360">
      <w:bodyDiv w:val="1"/>
      <w:marLeft w:val="0"/>
      <w:marRight w:val="0"/>
      <w:marTop w:val="0"/>
      <w:marBottom w:val="0"/>
      <w:divBdr>
        <w:top w:val="none" w:sz="0" w:space="0" w:color="auto"/>
        <w:left w:val="none" w:sz="0" w:space="0" w:color="auto"/>
        <w:bottom w:val="none" w:sz="0" w:space="0" w:color="auto"/>
        <w:right w:val="none" w:sz="0" w:space="0" w:color="auto"/>
      </w:divBdr>
    </w:div>
    <w:div w:id="582106882">
      <w:bodyDiv w:val="1"/>
      <w:marLeft w:val="0"/>
      <w:marRight w:val="0"/>
      <w:marTop w:val="0"/>
      <w:marBottom w:val="0"/>
      <w:divBdr>
        <w:top w:val="none" w:sz="0" w:space="0" w:color="auto"/>
        <w:left w:val="none" w:sz="0" w:space="0" w:color="auto"/>
        <w:bottom w:val="none" w:sz="0" w:space="0" w:color="auto"/>
        <w:right w:val="none" w:sz="0" w:space="0" w:color="auto"/>
      </w:divBdr>
    </w:div>
    <w:div w:id="582758544">
      <w:bodyDiv w:val="1"/>
      <w:marLeft w:val="0"/>
      <w:marRight w:val="0"/>
      <w:marTop w:val="0"/>
      <w:marBottom w:val="0"/>
      <w:divBdr>
        <w:top w:val="none" w:sz="0" w:space="0" w:color="auto"/>
        <w:left w:val="none" w:sz="0" w:space="0" w:color="auto"/>
        <w:bottom w:val="none" w:sz="0" w:space="0" w:color="auto"/>
        <w:right w:val="none" w:sz="0" w:space="0" w:color="auto"/>
      </w:divBdr>
    </w:div>
    <w:div w:id="613248921">
      <w:bodyDiv w:val="1"/>
      <w:marLeft w:val="0"/>
      <w:marRight w:val="0"/>
      <w:marTop w:val="0"/>
      <w:marBottom w:val="0"/>
      <w:divBdr>
        <w:top w:val="none" w:sz="0" w:space="0" w:color="auto"/>
        <w:left w:val="none" w:sz="0" w:space="0" w:color="auto"/>
        <w:bottom w:val="none" w:sz="0" w:space="0" w:color="auto"/>
        <w:right w:val="none" w:sz="0" w:space="0" w:color="auto"/>
      </w:divBdr>
    </w:div>
    <w:div w:id="618728015">
      <w:bodyDiv w:val="1"/>
      <w:marLeft w:val="0"/>
      <w:marRight w:val="0"/>
      <w:marTop w:val="0"/>
      <w:marBottom w:val="0"/>
      <w:divBdr>
        <w:top w:val="none" w:sz="0" w:space="0" w:color="auto"/>
        <w:left w:val="none" w:sz="0" w:space="0" w:color="auto"/>
        <w:bottom w:val="none" w:sz="0" w:space="0" w:color="auto"/>
        <w:right w:val="none" w:sz="0" w:space="0" w:color="auto"/>
      </w:divBdr>
    </w:div>
    <w:div w:id="620261808">
      <w:bodyDiv w:val="1"/>
      <w:marLeft w:val="0"/>
      <w:marRight w:val="0"/>
      <w:marTop w:val="0"/>
      <w:marBottom w:val="0"/>
      <w:divBdr>
        <w:top w:val="none" w:sz="0" w:space="0" w:color="auto"/>
        <w:left w:val="none" w:sz="0" w:space="0" w:color="auto"/>
        <w:bottom w:val="none" w:sz="0" w:space="0" w:color="auto"/>
        <w:right w:val="none" w:sz="0" w:space="0" w:color="auto"/>
      </w:divBdr>
    </w:div>
    <w:div w:id="641732810">
      <w:bodyDiv w:val="1"/>
      <w:marLeft w:val="0"/>
      <w:marRight w:val="0"/>
      <w:marTop w:val="0"/>
      <w:marBottom w:val="0"/>
      <w:divBdr>
        <w:top w:val="none" w:sz="0" w:space="0" w:color="auto"/>
        <w:left w:val="none" w:sz="0" w:space="0" w:color="auto"/>
        <w:bottom w:val="none" w:sz="0" w:space="0" w:color="auto"/>
        <w:right w:val="none" w:sz="0" w:space="0" w:color="auto"/>
      </w:divBdr>
    </w:div>
    <w:div w:id="643895087">
      <w:bodyDiv w:val="1"/>
      <w:marLeft w:val="0"/>
      <w:marRight w:val="0"/>
      <w:marTop w:val="0"/>
      <w:marBottom w:val="0"/>
      <w:divBdr>
        <w:top w:val="none" w:sz="0" w:space="0" w:color="auto"/>
        <w:left w:val="none" w:sz="0" w:space="0" w:color="auto"/>
        <w:bottom w:val="none" w:sz="0" w:space="0" w:color="auto"/>
        <w:right w:val="none" w:sz="0" w:space="0" w:color="auto"/>
      </w:divBdr>
    </w:div>
    <w:div w:id="644897767">
      <w:bodyDiv w:val="1"/>
      <w:marLeft w:val="0"/>
      <w:marRight w:val="0"/>
      <w:marTop w:val="0"/>
      <w:marBottom w:val="0"/>
      <w:divBdr>
        <w:top w:val="none" w:sz="0" w:space="0" w:color="auto"/>
        <w:left w:val="none" w:sz="0" w:space="0" w:color="auto"/>
        <w:bottom w:val="none" w:sz="0" w:space="0" w:color="auto"/>
        <w:right w:val="none" w:sz="0" w:space="0" w:color="auto"/>
      </w:divBdr>
    </w:div>
    <w:div w:id="646474990">
      <w:bodyDiv w:val="1"/>
      <w:marLeft w:val="0"/>
      <w:marRight w:val="0"/>
      <w:marTop w:val="0"/>
      <w:marBottom w:val="0"/>
      <w:divBdr>
        <w:top w:val="none" w:sz="0" w:space="0" w:color="auto"/>
        <w:left w:val="none" w:sz="0" w:space="0" w:color="auto"/>
        <w:bottom w:val="none" w:sz="0" w:space="0" w:color="auto"/>
        <w:right w:val="none" w:sz="0" w:space="0" w:color="auto"/>
      </w:divBdr>
    </w:div>
    <w:div w:id="652756954">
      <w:bodyDiv w:val="1"/>
      <w:marLeft w:val="0"/>
      <w:marRight w:val="0"/>
      <w:marTop w:val="0"/>
      <w:marBottom w:val="0"/>
      <w:divBdr>
        <w:top w:val="none" w:sz="0" w:space="0" w:color="auto"/>
        <w:left w:val="none" w:sz="0" w:space="0" w:color="auto"/>
        <w:bottom w:val="none" w:sz="0" w:space="0" w:color="auto"/>
        <w:right w:val="none" w:sz="0" w:space="0" w:color="auto"/>
      </w:divBdr>
    </w:div>
    <w:div w:id="660083339">
      <w:bodyDiv w:val="1"/>
      <w:marLeft w:val="0"/>
      <w:marRight w:val="0"/>
      <w:marTop w:val="0"/>
      <w:marBottom w:val="0"/>
      <w:divBdr>
        <w:top w:val="none" w:sz="0" w:space="0" w:color="auto"/>
        <w:left w:val="none" w:sz="0" w:space="0" w:color="auto"/>
        <w:bottom w:val="none" w:sz="0" w:space="0" w:color="auto"/>
        <w:right w:val="none" w:sz="0" w:space="0" w:color="auto"/>
      </w:divBdr>
    </w:div>
    <w:div w:id="663244392">
      <w:bodyDiv w:val="1"/>
      <w:marLeft w:val="0"/>
      <w:marRight w:val="0"/>
      <w:marTop w:val="0"/>
      <w:marBottom w:val="0"/>
      <w:divBdr>
        <w:top w:val="none" w:sz="0" w:space="0" w:color="auto"/>
        <w:left w:val="none" w:sz="0" w:space="0" w:color="auto"/>
        <w:bottom w:val="none" w:sz="0" w:space="0" w:color="auto"/>
        <w:right w:val="none" w:sz="0" w:space="0" w:color="auto"/>
      </w:divBdr>
    </w:div>
    <w:div w:id="668824272">
      <w:bodyDiv w:val="1"/>
      <w:marLeft w:val="0"/>
      <w:marRight w:val="0"/>
      <w:marTop w:val="0"/>
      <w:marBottom w:val="0"/>
      <w:divBdr>
        <w:top w:val="none" w:sz="0" w:space="0" w:color="auto"/>
        <w:left w:val="none" w:sz="0" w:space="0" w:color="auto"/>
        <w:bottom w:val="none" w:sz="0" w:space="0" w:color="auto"/>
        <w:right w:val="none" w:sz="0" w:space="0" w:color="auto"/>
      </w:divBdr>
    </w:div>
    <w:div w:id="671226785">
      <w:bodyDiv w:val="1"/>
      <w:marLeft w:val="0"/>
      <w:marRight w:val="0"/>
      <w:marTop w:val="0"/>
      <w:marBottom w:val="0"/>
      <w:divBdr>
        <w:top w:val="none" w:sz="0" w:space="0" w:color="auto"/>
        <w:left w:val="none" w:sz="0" w:space="0" w:color="auto"/>
        <w:bottom w:val="none" w:sz="0" w:space="0" w:color="auto"/>
        <w:right w:val="none" w:sz="0" w:space="0" w:color="auto"/>
      </w:divBdr>
    </w:div>
    <w:div w:id="681513849">
      <w:bodyDiv w:val="1"/>
      <w:marLeft w:val="0"/>
      <w:marRight w:val="0"/>
      <w:marTop w:val="0"/>
      <w:marBottom w:val="0"/>
      <w:divBdr>
        <w:top w:val="none" w:sz="0" w:space="0" w:color="auto"/>
        <w:left w:val="none" w:sz="0" w:space="0" w:color="auto"/>
        <w:bottom w:val="none" w:sz="0" w:space="0" w:color="auto"/>
        <w:right w:val="none" w:sz="0" w:space="0" w:color="auto"/>
      </w:divBdr>
    </w:div>
    <w:div w:id="682244948">
      <w:bodyDiv w:val="1"/>
      <w:marLeft w:val="0"/>
      <w:marRight w:val="0"/>
      <w:marTop w:val="0"/>
      <w:marBottom w:val="0"/>
      <w:divBdr>
        <w:top w:val="none" w:sz="0" w:space="0" w:color="auto"/>
        <w:left w:val="none" w:sz="0" w:space="0" w:color="auto"/>
        <w:bottom w:val="none" w:sz="0" w:space="0" w:color="auto"/>
        <w:right w:val="none" w:sz="0" w:space="0" w:color="auto"/>
      </w:divBdr>
    </w:div>
    <w:div w:id="682440075">
      <w:bodyDiv w:val="1"/>
      <w:marLeft w:val="0"/>
      <w:marRight w:val="0"/>
      <w:marTop w:val="0"/>
      <w:marBottom w:val="0"/>
      <w:divBdr>
        <w:top w:val="none" w:sz="0" w:space="0" w:color="auto"/>
        <w:left w:val="none" w:sz="0" w:space="0" w:color="auto"/>
        <w:bottom w:val="none" w:sz="0" w:space="0" w:color="auto"/>
        <w:right w:val="none" w:sz="0" w:space="0" w:color="auto"/>
      </w:divBdr>
    </w:div>
    <w:div w:id="689457284">
      <w:bodyDiv w:val="1"/>
      <w:marLeft w:val="0"/>
      <w:marRight w:val="0"/>
      <w:marTop w:val="0"/>
      <w:marBottom w:val="0"/>
      <w:divBdr>
        <w:top w:val="none" w:sz="0" w:space="0" w:color="auto"/>
        <w:left w:val="none" w:sz="0" w:space="0" w:color="auto"/>
        <w:bottom w:val="none" w:sz="0" w:space="0" w:color="auto"/>
        <w:right w:val="none" w:sz="0" w:space="0" w:color="auto"/>
      </w:divBdr>
    </w:div>
    <w:div w:id="703674566">
      <w:bodyDiv w:val="1"/>
      <w:marLeft w:val="0"/>
      <w:marRight w:val="0"/>
      <w:marTop w:val="0"/>
      <w:marBottom w:val="0"/>
      <w:divBdr>
        <w:top w:val="none" w:sz="0" w:space="0" w:color="auto"/>
        <w:left w:val="none" w:sz="0" w:space="0" w:color="auto"/>
        <w:bottom w:val="none" w:sz="0" w:space="0" w:color="auto"/>
        <w:right w:val="none" w:sz="0" w:space="0" w:color="auto"/>
      </w:divBdr>
    </w:div>
    <w:div w:id="704017772">
      <w:bodyDiv w:val="1"/>
      <w:marLeft w:val="0"/>
      <w:marRight w:val="0"/>
      <w:marTop w:val="0"/>
      <w:marBottom w:val="0"/>
      <w:divBdr>
        <w:top w:val="none" w:sz="0" w:space="0" w:color="auto"/>
        <w:left w:val="none" w:sz="0" w:space="0" w:color="auto"/>
        <w:bottom w:val="none" w:sz="0" w:space="0" w:color="auto"/>
        <w:right w:val="none" w:sz="0" w:space="0" w:color="auto"/>
      </w:divBdr>
    </w:div>
    <w:div w:id="704209369">
      <w:bodyDiv w:val="1"/>
      <w:marLeft w:val="0"/>
      <w:marRight w:val="0"/>
      <w:marTop w:val="0"/>
      <w:marBottom w:val="0"/>
      <w:divBdr>
        <w:top w:val="none" w:sz="0" w:space="0" w:color="auto"/>
        <w:left w:val="none" w:sz="0" w:space="0" w:color="auto"/>
        <w:bottom w:val="none" w:sz="0" w:space="0" w:color="auto"/>
        <w:right w:val="none" w:sz="0" w:space="0" w:color="auto"/>
      </w:divBdr>
    </w:div>
    <w:div w:id="704525978">
      <w:bodyDiv w:val="1"/>
      <w:marLeft w:val="0"/>
      <w:marRight w:val="0"/>
      <w:marTop w:val="0"/>
      <w:marBottom w:val="0"/>
      <w:divBdr>
        <w:top w:val="none" w:sz="0" w:space="0" w:color="auto"/>
        <w:left w:val="none" w:sz="0" w:space="0" w:color="auto"/>
        <w:bottom w:val="none" w:sz="0" w:space="0" w:color="auto"/>
        <w:right w:val="none" w:sz="0" w:space="0" w:color="auto"/>
      </w:divBdr>
    </w:div>
    <w:div w:id="710694716">
      <w:bodyDiv w:val="1"/>
      <w:marLeft w:val="0"/>
      <w:marRight w:val="0"/>
      <w:marTop w:val="0"/>
      <w:marBottom w:val="0"/>
      <w:divBdr>
        <w:top w:val="none" w:sz="0" w:space="0" w:color="auto"/>
        <w:left w:val="none" w:sz="0" w:space="0" w:color="auto"/>
        <w:bottom w:val="none" w:sz="0" w:space="0" w:color="auto"/>
        <w:right w:val="none" w:sz="0" w:space="0" w:color="auto"/>
      </w:divBdr>
    </w:div>
    <w:div w:id="716121113">
      <w:bodyDiv w:val="1"/>
      <w:marLeft w:val="0"/>
      <w:marRight w:val="0"/>
      <w:marTop w:val="0"/>
      <w:marBottom w:val="0"/>
      <w:divBdr>
        <w:top w:val="none" w:sz="0" w:space="0" w:color="auto"/>
        <w:left w:val="none" w:sz="0" w:space="0" w:color="auto"/>
        <w:bottom w:val="none" w:sz="0" w:space="0" w:color="auto"/>
        <w:right w:val="none" w:sz="0" w:space="0" w:color="auto"/>
      </w:divBdr>
    </w:div>
    <w:div w:id="722950784">
      <w:bodyDiv w:val="1"/>
      <w:marLeft w:val="0"/>
      <w:marRight w:val="0"/>
      <w:marTop w:val="0"/>
      <w:marBottom w:val="0"/>
      <w:divBdr>
        <w:top w:val="none" w:sz="0" w:space="0" w:color="auto"/>
        <w:left w:val="none" w:sz="0" w:space="0" w:color="auto"/>
        <w:bottom w:val="none" w:sz="0" w:space="0" w:color="auto"/>
        <w:right w:val="none" w:sz="0" w:space="0" w:color="auto"/>
      </w:divBdr>
    </w:div>
    <w:div w:id="732965737">
      <w:bodyDiv w:val="1"/>
      <w:marLeft w:val="0"/>
      <w:marRight w:val="0"/>
      <w:marTop w:val="0"/>
      <w:marBottom w:val="0"/>
      <w:divBdr>
        <w:top w:val="none" w:sz="0" w:space="0" w:color="auto"/>
        <w:left w:val="none" w:sz="0" w:space="0" w:color="auto"/>
        <w:bottom w:val="none" w:sz="0" w:space="0" w:color="auto"/>
        <w:right w:val="none" w:sz="0" w:space="0" w:color="auto"/>
      </w:divBdr>
    </w:div>
    <w:div w:id="734280589">
      <w:bodyDiv w:val="1"/>
      <w:marLeft w:val="0"/>
      <w:marRight w:val="0"/>
      <w:marTop w:val="0"/>
      <w:marBottom w:val="0"/>
      <w:divBdr>
        <w:top w:val="none" w:sz="0" w:space="0" w:color="auto"/>
        <w:left w:val="none" w:sz="0" w:space="0" w:color="auto"/>
        <w:bottom w:val="none" w:sz="0" w:space="0" w:color="auto"/>
        <w:right w:val="none" w:sz="0" w:space="0" w:color="auto"/>
      </w:divBdr>
    </w:div>
    <w:div w:id="739401682">
      <w:bodyDiv w:val="1"/>
      <w:marLeft w:val="0"/>
      <w:marRight w:val="0"/>
      <w:marTop w:val="0"/>
      <w:marBottom w:val="0"/>
      <w:divBdr>
        <w:top w:val="none" w:sz="0" w:space="0" w:color="auto"/>
        <w:left w:val="none" w:sz="0" w:space="0" w:color="auto"/>
        <w:bottom w:val="none" w:sz="0" w:space="0" w:color="auto"/>
        <w:right w:val="none" w:sz="0" w:space="0" w:color="auto"/>
      </w:divBdr>
    </w:div>
    <w:div w:id="750615098">
      <w:bodyDiv w:val="1"/>
      <w:marLeft w:val="0"/>
      <w:marRight w:val="0"/>
      <w:marTop w:val="0"/>
      <w:marBottom w:val="0"/>
      <w:divBdr>
        <w:top w:val="none" w:sz="0" w:space="0" w:color="auto"/>
        <w:left w:val="none" w:sz="0" w:space="0" w:color="auto"/>
        <w:bottom w:val="none" w:sz="0" w:space="0" w:color="auto"/>
        <w:right w:val="none" w:sz="0" w:space="0" w:color="auto"/>
      </w:divBdr>
    </w:div>
    <w:div w:id="752239773">
      <w:bodyDiv w:val="1"/>
      <w:marLeft w:val="0"/>
      <w:marRight w:val="0"/>
      <w:marTop w:val="0"/>
      <w:marBottom w:val="0"/>
      <w:divBdr>
        <w:top w:val="none" w:sz="0" w:space="0" w:color="auto"/>
        <w:left w:val="none" w:sz="0" w:space="0" w:color="auto"/>
        <w:bottom w:val="none" w:sz="0" w:space="0" w:color="auto"/>
        <w:right w:val="none" w:sz="0" w:space="0" w:color="auto"/>
      </w:divBdr>
    </w:div>
    <w:div w:id="757793098">
      <w:bodyDiv w:val="1"/>
      <w:marLeft w:val="0"/>
      <w:marRight w:val="0"/>
      <w:marTop w:val="0"/>
      <w:marBottom w:val="0"/>
      <w:divBdr>
        <w:top w:val="none" w:sz="0" w:space="0" w:color="auto"/>
        <w:left w:val="none" w:sz="0" w:space="0" w:color="auto"/>
        <w:bottom w:val="none" w:sz="0" w:space="0" w:color="auto"/>
        <w:right w:val="none" w:sz="0" w:space="0" w:color="auto"/>
      </w:divBdr>
    </w:div>
    <w:div w:id="759790457">
      <w:bodyDiv w:val="1"/>
      <w:marLeft w:val="0"/>
      <w:marRight w:val="0"/>
      <w:marTop w:val="0"/>
      <w:marBottom w:val="0"/>
      <w:divBdr>
        <w:top w:val="none" w:sz="0" w:space="0" w:color="auto"/>
        <w:left w:val="none" w:sz="0" w:space="0" w:color="auto"/>
        <w:bottom w:val="none" w:sz="0" w:space="0" w:color="auto"/>
        <w:right w:val="none" w:sz="0" w:space="0" w:color="auto"/>
      </w:divBdr>
    </w:div>
    <w:div w:id="760831280">
      <w:bodyDiv w:val="1"/>
      <w:marLeft w:val="0"/>
      <w:marRight w:val="0"/>
      <w:marTop w:val="0"/>
      <w:marBottom w:val="0"/>
      <w:divBdr>
        <w:top w:val="none" w:sz="0" w:space="0" w:color="auto"/>
        <w:left w:val="none" w:sz="0" w:space="0" w:color="auto"/>
        <w:bottom w:val="none" w:sz="0" w:space="0" w:color="auto"/>
        <w:right w:val="none" w:sz="0" w:space="0" w:color="auto"/>
      </w:divBdr>
    </w:div>
    <w:div w:id="762529670">
      <w:bodyDiv w:val="1"/>
      <w:marLeft w:val="0"/>
      <w:marRight w:val="0"/>
      <w:marTop w:val="0"/>
      <w:marBottom w:val="0"/>
      <w:divBdr>
        <w:top w:val="none" w:sz="0" w:space="0" w:color="auto"/>
        <w:left w:val="none" w:sz="0" w:space="0" w:color="auto"/>
        <w:bottom w:val="none" w:sz="0" w:space="0" w:color="auto"/>
        <w:right w:val="none" w:sz="0" w:space="0" w:color="auto"/>
      </w:divBdr>
    </w:div>
    <w:div w:id="772239896">
      <w:bodyDiv w:val="1"/>
      <w:marLeft w:val="0"/>
      <w:marRight w:val="0"/>
      <w:marTop w:val="0"/>
      <w:marBottom w:val="0"/>
      <w:divBdr>
        <w:top w:val="none" w:sz="0" w:space="0" w:color="auto"/>
        <w:left w:val="none" w:sz="0" w:space="0" w:color="auto"/>
        <w:bottom w:val="none" w:sz="0" w:space="0" w:color="auto"/>
        <w:right w:val="none" w:sz="0" w:space="0" w:color="auto"/>
      </w:divBdr>
    </w:div>
    <w:div w:id="773861405">
      <w:bodyDiv w:val="1"/>
      <w:marLeft w:val="0"/>
      <w:marRight w:val="0"/>
      <w:marTop w:val="0"/>
      <w:marBottom w:val="0"/>
      <w:divBdr>
        <w:top w:val="none" w:sz="0" w:space="0" w:color="auto"/>
        <w:left w:val="none" w:sz="0" w:space="0" w:color="auto"/>
        <w:bottom w:val="none" w:sz="0" w:space="0" w:color="auto"/>
        <w:right w:val="none" w:sz="0" w:space="0" w:color="auto"/>
      </w:divBdr>
    </w:div>
    <w:div w:id="775173051">
      <w:bodyDiv w:val="1"/>
      <w:marLeft w:val="0"/>
      <w:marRight w:val="0"/>
      <w:marTop w:val="0"/>
      <w:marBottom w:val="0"/>
      <w:divBdr>
        <w:top w:val="none" w:sz="0" w:space="0" w:color="auto"/>
        <w:left w:val="none" w:sz="0" w:space="0" w:color="auto"/>
        <w:bottom w:val="none" w:sz="0" w:space="0" w:color="auto"/>
        <w:right w:val="none" w:sz="0" w:space="0" w:color="auto"/>
      </w:divBdr>
    </w:div>
    <w:div w:id="782000636">
      <w:bodyDiv w:val="1"/>
      <w:marLeft w:val="0"/>
      <w:marRight w:val="0"/>
      <w:marTop w:val="0"/>
      <w:marBottom w:val="0"/>
      <w:divBdr>
        <w:top w:val="none" w:sz="0" w:space="0" w:color="auto"/>
        <w:left w:val="none" w:sz="0" w:space="0" w:color="auto"/>
        <w:bottom w:val="none" w:sz="0" w:space="0" w:color="auto"/>
        <w:right w:val="none" w:sz="0" w:space="0" w:color="auto"/>
      </w:divBdr>
    </w:div>
    <w:div w:id="782529627">
      <w:bodyDiv w:val="1"/>
      <w:marLeft w:val="0"/>
      <w:marRight w:val="0"/>
      <w:marTop w:val="0"/>
      <w:marBottom w:val="0"/>
      <w:divBdr>
        <w:top w:val="none" w:sz="0" w:space="0" w:color="auto"/>
        <w:left w:val="none" w:sz="0" w:space="0" w:color="auto"/>
        <w:bottom w:val="none" w:sz="0" w:space="0" w:color="auto"/>
        <w:right w:val="none" w:sz="0" w:space="0" w:color="auto"/>
      </w:divBdr>
    </w:div>
    <w:div w:id="785395908">
      <w:bodyDiv w:val="1"/>
      <w:marLeft w:val="0"/>
      <w:marRight w:val="0"/>
      <w:marTop w:val="0"/>
      <w:marBottom w:val="0"/>
      <w:divBdr>
        <w:top w:val="none" w:sz="0" w:space="0" w:color="auto"/>
        <w:left w:val="none" w:sz="0" w:space="0" w:color="auto"/>
        <w:bottom w:val="none" w:sz="0" w:space="0" w:color="auto"/>
        <w:right w:val="none" w:sz="0" w:space="0" w:color="auto"/>
      </w:divBdr>
    </w:div>
    <w:div w:id="789128179">
      <w:bodyDiv w:val="1"/>
      <w:marLeft w:val="0"/>
      <w:marRight w:val="0"/>
      <w:marTop w:val="0"/>
      <w:marBottom w:val="0"/>
      <w:divBdr>
        <w:top w:val="none" w:sz="0" w:space="0" w:color="auto"/>
        <w:left w:val="none" w:sz="0" w:space="0" w:color="auto"/>
        <w:bottom w:val="none" w:sz="0" w:space="0" w:color="auto"/>
        <w:right w:val="none" w:sz="0" w:space="0" w:color="auto"/>
      </w:divBdr>
    </w:div>
    <w:div w:id="800222971">
      <w:bodyDiv w:val="1"/>
      <w:marLeft w:val="0"/>
      <w:marRight w:val="0"/>
      <w:marTop w:val="0"/>
      <w:marBottom w:val="0"/>
      <w:divBdr>
        <w:top w:val="none" w:sz="0" w:space="0" w:color="auto"/>
        <w:left w:val="none" w:sz="0" w:space="0" w:color="auto"/>
        <w:bottom w:val="none" w:sz="0" w:space="0" w:color="auto"/>
        <w:right w:val="none" w:sz="0" w:space="0" w:color="auto"/>
      </w:divBdr>
    </w:div>
    <w:div w:id="801926954">
      <w:bodyDiv w:val="1"/>
      <w:marLeft w:val="0"/>
      <w:marRight w:val="0"/>
      <w:marTop w:val="0"/>
      <w:marBottom w:val="0"/>
      <w:divBdr>
        <w:top w:val="none" w:sz="0" w:space="0" w:color="auto"/>
        <w:left w:val="none" w:sz="0" w:space="0" w:color="auto"/>
        <w:bottom w:val="none" w:sz="0" w:space="0" w:color="auto"/>
        <w:right w:val="none" w:sz="0" w:space="0" w:color="auto"/>
      </w:divBdr>
    </w:div>
    <w:div w:id="802965548">
      <w:bodyDiv w:val="1"/>
      <w:marLeft w:val="0"/>
      <w:marRight w:val="0"/>
      <w:marTop w:val="0"/>
      <w:marBottom w:val="0"/>
      <w:divBdr>
        <w:top w:val="none" w:sz="0" w:space="0" w:color="auto"/>
        <w:left w:val="none" w:sz="0" w:space="0" w:color="auto"/>
        <w:bottom w:val="none" w:sz="0" w:space="0" w:color="auto"/>
        <w:right w:val="none" w:sz="0" w:space="0" w:color="auto"/>
      </w:divBdr>
    </w:div>
    <w:div w:id="803039529">
      <w:bodyDiv w:val="1"/>
      <w:marLeft w:val="0"/>
      <w:marRight w:val="0"/>
      <w:marTop w:val="0"/>
      <w:marBottom w:val="0"/>
      <w:divBdr>
        <w:top w:val="none" w:sz="0" w:space="0" w:color="auto"/>
        <w:left w:val="none" w:sz="0" w:space="0" w:color="auto"/>
        <w:bottom w:val="none" w:sz="0" w:space="0" w:color="auto"/>
        <w:right w:val="none" w:sz="0" w:space="0" w:color="auto"/>
      </w:divBdr>
    </w:div>
    <w:div w:id="803080062">
      <w:bodyDiv w:val="1"/>
      <w:marLeft w:val="0"/>
      <w:marRight w:val="0"/>
      <w:marTop w:val="0"/>
      <w:marBottom w:val="0"/>
      <w:divBdr>
        <w:top w:val="none" w:sz="0" w:space="0" w:color="auto"/>
        <w:left w:val="none" w:sz="0" w:space="0" w:color="auto"/>
        <w:bottom w:val="none" w:sz="0" w:space="0" w:color="auto"/>
        <w:right w:val="none" w:sz="0" w:space="0" w:color="auto"/>
      </w:divBdr>
    </w:div>
    <w:div w:id="803353190">
      <w:bodyDiv w:val="1"/>
      <w:marLeft w:val="0"/>
      <w:marRight w:val="0"/>
      <w:marTop w:val="0"/>
      <w:marBottom w:val="0"/>
      <w:divBdr>
        <w:top w:val="none" w:sz="0" w:space="0" w:color="auto"/>
        <w:left w:val="none" w:sz="0" w:space="0" w:color="auto"/>
        <w:bottom w:val="none" w:sz="0" w:space="0" w:color="auto"/>
        <w:right w:val="none" w:sz="0" w:space="0" w:color="auto"/>
      </w:divBdr>
    </w:div>
    <w:div w:id="836576718">
      <w:bodyDiv w:val="1"/>
      <w:marLeft w:val="0"/>
      <w:marRight w:val="0"/>
      <w:marTop w:val="0"/>
      <w:marBottom w:val="0"/>
      <w:divBdr>
        <w:top w:val="none" w:sz="0" w:space="0" w:color="auto"/>
        <w:left w:val="none" w:sz="0" w:space="0" w:color="auto"/>
        <w:bottom w:val="none" w:sz="0" w:space="0" w:color="auto"/>
        <w:right w:val="none" w:sz="0" w:space="0" w:color="auto"/>
      </w:divBdr>
    </w:div>
    <w:div w:id="841355204">
      <w:bodyDiv w:val="1"/>
      <w:marLeft w:val="0"/>
      <w:marRight w:val="0"/>
      <w:marTop w:val="0"/>
      <w:marBottom w:val="0"/>
      <w:divBdr>
        <w:top w:val="none" w:sz="0" w:space="0" w:color="auto"/>
        <w:left w:val="none" w:sz="0" w:space="0" w:color="auto"/>
        <w:bottom w:val="none" w:sz="0" w:space="0" w:color="auto"/>
        <w:right w:val="none" w:sz="0" w:space="0" w:color="auto"/>
      </w:divBdr>
    </w:div>
    <w:div w:id="854344686">
      <w:bodyDiv w:val="1"/>
      <w:marLeft w:val="0"/>
      <w:marRight w:val="0"/>
      <w:marTop w:val="0"/>
      <w:marBottom w:val="0"/>
      <w:divBdr>
        <w:top w:val="none" w:sz="0" w:space="0" w:color="auto"/>
        <w:left w:val="none" w:sz="0" w:space="0" w:color="auto"/>
        <w:bottom w:val="none" w:sz="0" w:space="0" w:color="auto"/>
        <w:right w:val="none" w:sz="0" w:space="0" w:color="auto"/>
      </w:divBdr>
    </w:div>
    <w:div w:id="870144577">
      <w:bodyDiv w:val="1"/>
      <w:marLeft w:val="0"/>
      <w:marRight w:val="0"/>
      <w:marTop w:val="0"/>
      <w:marBottom w:val="0"/>
      <w:divBdr>
        <w:top w:val="none" w:sz="0" w:space="0" w:color="auto"/>
        <w:left w:val="none" w:sz="0" w:space="0" w:color="auto"/>
        <w:bottom w:val="none" w:sz="0" w:space="0" w:color="auto"/>
        <w:right w:val="none" w:sz="0" w:space="0" w:color="auto"/>
      </w:divBdr>
    </w:div>
    <w:div w:id="873006333">
      <w:bodyDiv w:val="1"/>
      <w:marLeft w:val="0"/>
      <w:marRight w:val="0"/>
      <w:marTop w:val="0"/>
      <w:marBottom w:val="0"/>
      <w:divBdr>
        <w:top w:val="none" w:sz="0" w:space="0" w:color="auto"/>
        <w:left w:val="none" w:sz="0" w:space="0" w:color="auto"/>
        <w:bottom w:val="none" w:sz="0" w:space="0" w:color="auto"/>
        <w:right w:val="none" w:sz="0" w:space="0" w:color="auto"/>
      </w:divBdr>
    </w:div>
    <w:div w:id="873538096">
      <w:bodyDiv w:val="1"/>
      <w:marLeft w:val="0"/>
      <w:marRight w:val="0"/>
      <w:marTop w:val="0"/>
      <w:marBottom w:val="0"/>
      <w:divBdr>
        <w:top w:val="none" w:sz="0" w:space="0" w:color="auto"/>
        <w:left w:val="none" w:sz="0" w:space="0" w:color="auto"/>
        <w:bottom w:val="none" w:sz="0" w:space="0" w:color="auto"/>
        <w:right w:val="none" w:sz="0" w:space="0" w:color="auto"/>
      </w:divBdr>
    </w:div>
    <w:div w:id="877737932">
      <w:bodyDiv w:val="1"/>
      <w:marLeft w:val="0"/>
      <w:marRight w:val="0"/>
      <w:marTop w:val="0"/>
      <w:marBottom w:val="0"/>
      <w:divBdr>
        <w:top w:val="none" w:sz="0" w:space="0" w:color="auto"/>
        <w:left w:val="none" w:sz="0" w:space="0" w:color="auto"/>
        <w:bottom w:val="none" w:sz="0" w:space="0" w:color="auto"/>
        <w:right w:val="none" w:sz="0" w:space="0" w:color="auto"/>
      </w:divBdr>
    </w:div>
    <w:div w:id="880898540">
      <w:bodyDiv w:val="1"/>
      <w:marLeft w:val="0"/>
      <w:marRight w:val="0"/>
      <w:marTop w:val="0"/>
      <w:marBottom w:val="0"/>
      <w:divBdr>
        <w:top w:val="none" w:sz="0" w:space="0" w:color="auto"/>
        <w:left w:val="none" w:sz="0" w:space="0" w:color="auto"/>
        <w:bottom w:val="none" w:sz="0" w:space="0" w:color="auto"/>
        <w:right w:val="none" w:sz="0" w:space="0" w:color="auto"/>
      </w:divBdr>
    </w:div>
    <w:div w:id="881020696">
      <w:bodyDiv w:val="1"/>
      <w:marLeft w:val="0"/>
      <w:marRight w:val="0"/>
      <w:marTop w:val="0"/>
      <w:marBottom w:val="0"/>
      <w:divBdr>
        <w:top w:val="none" w:sz="0" w:space="0" w:color="auto"/>
        <w:left w:val="none" w:sz="0" w:space="0" w:color="auto"/>
        <w:bottom w:val="none" w:sz="0" w:space="0" w:color="auto"/>
        <w:right w:val="none" w:sz="0" w:space="0" w:color="auto"/>
      </w:divBdr>
    </w:div>
    <w:div w:id="895354695">
      <w:bodyDiv w:val="1"/>
      <w:marLeft w:val="0"/>
      <w:marRight w:val="0"/>
      <w:marTop w:val="0"/>
      <w:marBottom w:val="0"/>
      <w:divBdr>
        <w:top w:val="none" w:sz="0" w:space="0" w:color="auto"/>
        <w:left w:val="none" w:sz="0" w:space="0" w:color="auto"/>
        <w:bottom w:val="none" w:sz="0" w:space="0" w:color="auto"/>
        <w:right w:val="none" w:sz="0" w:space="0" w:color="auto"/>
      </w:divBdr>
    </w:div>
    <w:div w:id="896278468">
      <w:bodyDiv w:val="1"/>
      <w:marLeft w:val="0"/>
      <w:marRight w:val="0"/>
      <w:marTop w:val="0"/>
      <w:marBottom w:val="0"/>
      <w:divBdr>
        <w:top w:val="none" w:sz="0" w:space="0" w:color="auto"/>
        <w:left w:val="none" w:sz="0" w:space="0" w:color="auto"/>
        <w:bottom w:val="none" w:sz="0" w:space="0" w:color="auto"/>
        <w:right w:val="none" w:sz="0" w:space="0" w:color="auto"/>
      </w:divBdr>
    </w:div>
    <w:div w:id="901981874">
      <w:bodyDiv w:val="1"/>
      <w:marLeft w:val="0"/>
      <w:marRight w:val="0"/>
      <w:marTop w:val="0"/>
      <w:marBottom w:val="0"/>
      <w:divBdr>
        <w:top w:val="none" w:sz="0" w:space="0" w:color="auto"/>
        <w:left w:val="none" w:sz="0" w:space="0" w:color="auto"/>
        <w:bottom w:val="none" w:sz="0" w:space="0" w:color="auto"/>
        <w:right w:val="none" w:sz="0" w:space="0" w:color="auto"/>
      </w:divBdr>
    </w:div>
    <w:div w:id="917784458">
      <w:bodyDiv w:val="1"/>
      <w:marLeft w:val="0"/>
      <w:marRight w:val="0"/>
      <w:marTop w:val="0"/>
      <w:marBottom w:val="0"/>
      <w:divBdr>
        <w:top w:val="none" w:sz="0" w:space="0" w:color="auto"/>
        <w:left w:val="none" w:sz="0" w:space="0" w:color="auto"/>
        <w:bottom w:val="none" w:sz="0" w:space="0" w:color="auto"/>
        <w:right w:val="none" w:sz="0" w:space="0" w:color="auto"/>
      </w:divBdr>
    </w:div>
    <w:div w:id="932781960">
      <w:bodyDiv w:val="1"/>
      <w:marLeft w:val="0"/>
      <w:marRight w:val="0"/>
      <w:marTop w:val="0"/>
      <w:marBottom w:val="0"/>
      <w:divBdr>
        <w:top w:val="none" w:sz="0" w:space="0" w:color="auto"/>
        <w:left w:val="none" w:sz="0" w:space="0" w:color="auto"/>
        <w:bottom w:val="none" w:sz="0" w:space="0" w:color="auto"/>
        <w:right w:val="none" w:sz="0" w:space="0" w:color="auto"/>
      </w:divBdr>
    </w:div>
    <w:div w:id="937643427">
      <w:bodyDiv w:val="1"/>
      <w:marLeft w:val="0"/>
      <w:marRight w:val="0"/>
      <w:marTop w:val="0"/>
      <w:marBottom w:val="0"/>
      <w:divBdr>
        <w:top w:val="none" w:sz="0" w:space="0" w:color="auto"/>
        <w:left w:val="none" w:sz="0" w:space="0" w:color="auto"/>
        <w:bottom w:val="none" w:sz="0" w:space="0" w:color="auto"/>
        <w:right w:val="none" w:sz="0" w:space="0" w:color="auto"/>
      </w:divBdr>
    </w:div>
    <w:div w:id="950279173">
      <w:bodyDiv w:val="1"/>
      <w:marLeft w:val="0"/>
      <w:marRight w:val="0"/>
      <w:marTop w:val="0"/>
      <w:marBottom w:val="0"/>
      <w:divBdr>
        <w:top w:val="none" w:sz="0" w:space="0" w:color="auto"/>
        <w:left w:val="none" w:sz="0" w:space="0" w:color="auto"/>
        <w:bottom w:val="none" w:sz="0" w:space="0" w:color="auto"/>
        <w:right w:val="none" w:sz="0" w:space="0" w:color="auto"/>
      </w:divBdr>
    </w:div>
    <w:div w:id="950743496">
      <w:bodyDiv w:val="1"/>
      <w:marLeft w:val="0"/>
      <w:marRight w:val="0"/>
      <w:marTop w:val="0"/>
      <w:marBottom w:val="0"/>
      <w:divBdr>
        <w:top w:val="none" w:sz="0" w:space="0" w:color="auto"/>
        <w:left w:val="none" w:sz="0" w:space="0" w:color="auto"/>
        <w:bottom w:val="none" w:sz="0" w:space="0" w:color="auto"/>
        <w:right w:val="none" w:sz="0" w:space="0" w:color="auto"/>
      </w:divBdr>
    </w:div>
    <w:div w:id="951593421">
      <w:bodyDiv w:val="1"/>
      <w:marLeft w:val="0"/>
      <w:marRight w:val="0"/>
      <w:marTop w:val="0"/>
      <w:marBottom w:val="0"/>
      <w:divBdr>
        <w:top w:val="none" w:sz="0" w:space="0" w:color="auto"/>
        <w:left w:val="none" w:sz="0" w:space="0" w:color="auto"/>
        <w:bottom w:val="none" w:sz="0" w:space="0" w:color="auto"/>
        <w:right w:val="none" w:sz="0" w:space="0" w:color="auto"/>
      </w:divBdr>
    </w:div>
    <w:div w:id="951744850">
      <w:bodyDiv w:val="1"/>
      <w:marLeft w:val="0"/>
      <w:marRight w:val="0"/>
      <w:marTop w:val="0"/>
      <w:marBottom w:val="0"/>
      <w:divBdr>
        <w:top w:val="none" w:sz="0" w:space="0" w:color="auto"/>
        <w:left w:val="none" w:sz="0" w:space="0" w:color="auto"/>
        <w:bottom w:val="none" w:sz="0" w:space="0" w:color="auto"/>
        <w:right w:val="none" w:sz="0" w:space="0" w:color="auto"/>
      </w:divBdr>
    </w:div>
    <w:div w:id="951744966">
      <w:bodyDiv w:val="1"/>
      <w:marLeft w:val="0"/>
      <w:marRight w:val="0"/>
      <w:marTop w:val="0"/>
      <w:marBottom w:val="0"/>
      <w:divBdr>
        <w:top w:val="none" w:sz="0" w:space="0" w:color="auto"/>
        <w:left w:val="none" w:sz="0" w:space="0" w:color="auto"/>
        <w:bottom w:val="none" w:sz="0" w:space="0" w:color="auto"/>
        <w:right w:val="none" w:sz="0" w:space="0" w:color="auto"/>
      </w:divBdr>
    </w:div>
    <w:div w:id="953484527">
      <w:bodyDiv w:val="1"/>
      <w:marLeft w:val="0"/>
      <w:marRight w:val="0"/>
      <w:marTop w:val="0"/>
      <w:marBottom w:val="0"/>
      <w:divBdr>
        <w:top w:val="none" w:sz="0" w:space="0" w:color="auto"/>
        <w:left w:val="none" w:sz="0" w:space="0" w:color="auto"/>
        <w:bottom w:val="none" w:sz="0" w:space="0" w:color="auto"/>
        <w:right w:val="none" w:sz="0" w:space="0" w:color="auto"/>
      </w:divBdr>
    </w:div>
    <w:div w:id="955986422">
      <w:bodyDiv w:val="1"/>
      <w:marLeft w:val="0"/>
      <w:marRight w:val="0"/>
      <w:marTop w:val="0"/>
      <w:marBottom w:val="0"/>
      <w:divBdr>
        <w:top w:val="none" w:sz="0" w:space="0" w:color="auto"/>
        <w:left w:val="none" w:sz="0" w:space="0" w:color="auto"/>
        <w:bottom w:val="none" w:sz="0" w:space="0" w:color="auto"/>
        <w:right w:val="none" w:sz="0" w:space="0" w:color="auto"/>
      </w:divBdr>
    </w:div>
    <w:div w:id="967198551">
      <w:bodyDiv w:val="1"/>
      <w:marLeft w:val="0"/>
      <w:marRight w:val="0"/>
      <w:marTop w:val="0"/>
      <w:marBottom w:val="0"/>
      <w:divBdr>
        <w:top w:val="none" w:sz="0" w:space="0" w:color="auto"/>
        <w:left w:val="none" w:sz="0" w:space="0" w:color="auto"/>
        <w:bottom w:val="none" w:sz="0" w:space="0" w:color="auto"/>
        <w:right w:val="none" w:sz="0" w:space="0" w:color="auto"/>
      </w:divBdr>
    </w:div>
    <w:div w:id="971666866">
      <w:bodyDiv w:val="1"/>
      <w:marLeft w:val="0"/>
      <w:marRight w:val="0"/>
      <w:marTop w:val="0"/>
      <w:marBottom w:val="0"/>
      <w:divBdr>
        <w:top w:val="none" w:sz="0" w:space="0" w:color="auto"/>
        <w:left w:val="none" w:sz="0" w:space="0" w:color="auto"/>
        <w:bottom w:val="none" w:sz="0" w:space="0" w:color="auto"/>
        <w:right w:val="none" w:sz="0" w:space="0" w:color="auto"/>
      </w:divBdr>
    </w:div>
    <w:div w:id="973173772">
      <w:bodyDiv w:val="1"/>
      <w:marLeft w:val="0"/>
      <w:marRight w:val="0"/>
      <w:marTop w:val="0"/>
      <w:marBottom w:val="0"/>
      <w:divBdr>
        <w:top w:val="none" w:sz="0" w:space="0" w:color="auto"/>
        <w:left w:val="none" w:sz="0" w:space="0" w:color="auto"/>
        <w:bottom w:val="none" w:sz="0" w:space="0" w:color="auto"/>
        <w:right w:val="none" w:sz="0" w:space="0" w:color="auto"/>
      </w:divBdr>
    </w:div>
    <w:div w:id="987905017">
      <w:bodyDiv w:val="1"/>
      <w:marLeft w:val="0"/>
      <w:marRight w:val="0"/>
      <w:marTop w:val="0"/>
      <w:marBottom w:val="0"/>
      <w:divBdr>
        <w:top w:val="none" w:sz="0" w:space="0" w:color="auto"/>
        <w:left w:val="none" w:sz="0" w:space="0" w:color="auto"/>
        <w:bottom w:val="none" w:sz="0" w:space="0" w:color="auto"/>
        <w:right w:val="none" w:sz="0" w:space="0" w:color="auto"/>
      </w:divBdr>
    </w:div>
    <w:div w:id="989677385">
      <w:bodyDiv w:val="1"/>
      <w:marLeft w:val="0"/>
      <w:marRight w:val="0"/>
      <w:marTop w:val="0"/>
      <w:marBottom w:val="0"/>
      <w:divBdr>
        <w:top w:val="none" w:sz="0" w:space="0" w:color="auto"/>
        <w:left w:val="none" w:sz="0" w:space="0" w:color="auto"/>
        <w:bottom w:val="none" w:sz="0" w:space="0" w:color="auto"/>
        <w:right w:val="none" w:sz="0" w:space="0" w:color="auto"/>
      </w:divBdr>
    </w:div>
    <w:div w:id="992564247">
      <w:bodyDiv w:val="1"/>
      <w:marLeft w:val="0"/>
      <w:marRight w:val="0"/>
      <w:marTop w:val="0"/>
      <w:marBottom w:val="0"/>
      <w:divBdr>
        <w:top w:val="none" w:sz="0" w:space="0" w:color="auto"/>
        <w:left w:val="none" w:sz="0" w:space="0" w:color="auto"/>
        <w:bottom w:val="none" w:sz="0" w:space="0" w:color="auto"/>
        <w:right w:val="none" w:sz="0" w:space="0" w:color="auto"/>
      </w:divBdr>
    </w:div>
    <w:div w:id="995185580">
      <w:bodyDiv w:val="1"/>
      <w:marLeft w:val="0"/>
      <w:marRight w:val="0"/>
      <w:marTop w:val="0"/>
      <w:marBottom w:val="0"/>
      <w:divBdr>
        <w:top w:val="none" w:sz="0" w:space="0" w:color="auto"/>
        <w:left w:val="none" w:sz="0" w:space="0" w:color="auto"/>
        <w:bottom w:val="none" w:sz="0" w:space="0" w:color="auto"/>
        <w:right w:val="none" w:sz="0" w:space="0" w:color="auto"/>
      </w:divBdr>
    </w:div>
    <w:div w:id="998924796">
      <w:bodyDiv w:val="1"/>
      <w:marLeft w:val="0"/>
      <w:marRight w:val="0"/>
      <w:marTop w:val="0"/>
      <w:marBottom w:val="0"/>
      <w:divBdr>
        <w:top w:val="none" w:sz="0" w:space="0" w:color="auto"/>
        <w:left w:val="none" w:sz="0" w:space="0" w:color="auto"/>
        <w:bottom w:val="none" w:sz="0" w:space="0" w:color="auto"/>
        <w:right w:val="none" w:sz="0" w:space="0" w:color="auto"/>
      </w:divBdr>
    </w:div>
    <w:div w:id="1000083324">
      <w:bodyDiv w:val="1"/>
      <w:marLeft w:val="0"/>
      <w:marRight w:val="0"/>
      <w:marTop w:val="0"/>
      <w:marBottom w:val="0"/>
      <w:divBdr>
        <w:top w:val="none" w:sz="0" w:space="0" w:color="auto"/>
        <w:left w:val="none" w:sz="0" w:space="0" w:color="auto"/>
        <w:bottom w:val="none" w:sz="0" w:space="0" w:color="auto"/>
        <w:right w:val="none" w:sz="0" w:space="0" w:color="auto"/>
      </w:divBdr>
    </w:div>
    <w:div w:id="1001541535">
      <w:bodyDiv w:val="1"/>
      <w:marLeft w:val="0"/>
      <w:marRight w:val="0"/>
      <w:marTop w:val="0"/>
      <w:marBottom w:val="0"/>
      <w:divBdr>
        <w:top w:val="none" w:sz="0" w:space="0" w:color="auto"/>
        <w:left w:val="none" w:sz="0" w:space="0" w:color="auto"/>
        <w:bottom w:val="none" w:sz="0" w:space="0" w:color="auto"/>
        <w:right w:val="none" w:sz="0" w:space="0" w:color="auto"/>
      </w:divBdr>
    </w:div>
    <w:div w:id="1001737218">
      <w:bodyDiv w:val="1"/>
      <w:marLeft w:val="0"/>
      <w:marRight w:val="0"/>
      <w:marTop w:val="0"/>
      <w:marBottom w:val="0"/>
      <w:divBdr>
        <w:top w:val="none" w:sz="0" w:space="0" w:color="auto"/>
        <w:left w:val="none" w:sz="0" w:space="0" w:color="auto"/>
        <w:bottom w:val="none" w:sz="0" w:space="0" w:color="auto"/>
        <w:right w:val="none" w:sz="0" w:space="0" w:color="auto"/>
      </w:divBdr>
    </w:div>
    <w:div w:id="1016930423">
      <w:bodyDiv w:val="1"/>
      <w:marLeft w:val="0"/>
      <w:marRight w:val="0"/>
      <w:marTop w:val="0"/>
      <w:marBottom w:val="0"/>
      <w:divBdr>
        <w:top w:val="none" w:sz="0" w:space="0" w:color="auto"/>
        <w:left w:val="none" w:sz="0" w:space="0" w:color="auto"/>
        <w:bottom w:val="none" w:sz="0" w:space="0" w:color="auto"/>
        <w:right w:val="none" w:sz="0" w:space="0" w:color="auto"/>
      </w:divBdr>
    </w:div>
    <w:div w:id="1018388240">
      <w:bodyDiv w:val="1"/>
      <w:marLeft w:val="0"/>
      <w:marRight w:val="0"/>
      <w:marTop w:val="0"/>
      <w:marBottom w:val="0"/>
      <w:divBdr>
        <w:top w:val="none" w:sz="0" w:space="0" w:color="auto"/>
        <w:left w:val="none" w:sz="0" w:space="0" w:color="auto"/>
        <w:bottom w:val="none" w:sz="0" w:space="0" w:color="auto"/>
        <w:right w:val="none" w:sz="0" w:space="0" w:color="auto"/>
      </w:divBdr>
    </w:div>
    <w:div w:id="1022977359">
      <w:bodyDiv w:val="1"/>
      <w:marLeft w:val="0"/>
      <w:marRight w:val="0"/>
      <w:marTop w:val="0"/>
      <w:marBottom w:val="0"/>
      <w:divBdr>
        <w:top w:val="none" w:sz="0" w:space="0" w:color="auto"/>
        <w:left w:val="none" w:sz="0" w:space="0" w:color="auto"/>
        <w:bottom w:val="none" w:sz="0" w:space="0" w:color="auto"/>
        <w:right w:val="none" w:sz="0" w:space="0" w:color="auto"/>
      </w:divBdr>
    </w:div>
    <w:div w:id="1025667090">
      <w:bodyDiv w:val="1"/>
      <w:marLeft w:val="0"/>
      <w:marRight w:val="0"/>
      <w:marTop w:val="0"/>
      <w:marBottom w:val="0"/>
      <w:divBdr>
        <w:top w:val="none" w:sz="0" w:space="0" w:color="auto"/>
        <w:left w:val="none" w:sz="0" w:space="0" w:color="auto"/>
        <w:bottom w:val="none" w:sz="0" w:space="0" w:color="auto"/>
        <w:right w:val="none" w:sz="0" w:space="0" w:color="auto"/>
      </w:divBdr>
    </w:div>
    <w:div w:id="1034887840">
      <w:bodyDiv w:val="1"/>
      <w:marLeft w:val="0"/>
      <w:marRight w:val="0"/>
      <w:marTop w:val="0"/>
      <w:marBottom w:val="0"/>
      <w:divBdr>
        <w:top w:val="none" w:sz="0" w:space="0" w:color="auto"/>
        <w:left w:val="none" w:sz="0" w:space="0" w:color="auto"/>
        <w:bottom w:val="none" w:sz="0" w:space="0" w:color="auto"/>
        <w:right w:val="none" w:sz="0" w:space="0" w:color="auto"/>
      </w:divBdr>
    </w:div>
    <w:div w:id="1046682053">
      <w:bodyDiv w:val="1"/>
      <w:marLeft w:val="0"/>
      <w:marRight w:val="0"/>
      <w:marTop w:val="0"/>
      <w:marBottom w:val="0"/>
      <w:divBdr>
        <w:top w:val="none" w:sz="0" w:space="0" w:color="auto"/>
        <w:left w:val="none" w:sz="0" w:space="0" w:color="auto"/>
        <w:bottom w:val="none" w:sz="0" w:space="0" w:color="auto"/>
        <w:right w:val="none" w:sz="0" w:space="0" w:color="auto"/>
      </w:divBdr>
    </w:div>
    <w:div w:id="1051927440">
      <w:bodyDiv w:val="1"/>
      <w:marLeft w:val="0"/>
      <w:marRight w:val="0"/>
      <w:marTop w:val="0"/>
      <w:marBottom w:val="0"/>
      <w:divBdr>
        <w:top w:val="none" w:sz="0" w:space="0" w:color="auto"/>
        <w:left w:val="none" w:sz="0" w:space="0" w:color="auto"/>
        <w:bottom w:val="none" w:sz="0" w:space="0" w:color="auto"/>
        <w:right w:val="none" w:sz="0" w:space="0" w:color="auto"/>
      </w:divBdr>
    </w:div>
    <w:div w:id="1055809206">
      <w:bodyDiv w:val="1"/>
      <w:marLeft w:val="0"/>
      <w:marRight w:val="0"/>
      <w:marTop w:val="0"/>
      <w:marBottom w:val="0"/>
      <w:divBdr>
        <w:top w:val="none" w:sz="0" w:space="0" w:color="auto"/>
        <w:left w:val="none" w:sz="0" w:space="0" w:color="auto"/>
        <w:bottom w:val="none" w:sz="0" w:space="0" w:color="auto"/>
        <w:right w:val="none" w:sz="0" w:space="0" w:color="auto"/>
      </w:divBdr>
    </w:div>
    <w:div w:id="1057783563">
      <w:bodyDiv w:val="1"/>
      <w:marLeft w:val="0"/>
      <w:marRight w:val="0"/>
      <w:marTop w:val="0"/>
      <w:marBottom w:val="0"/>
      <w:divBdr>
        <w:top w:val="none" w:sz="0" w:space="0" w:color="auto"/>
        <w:left w:val="none" w:sz="0" w:space="0" w:color="auto"/>
        <w:bottom w:val="none" w:sz="0" w:space="0" w:color="auto"/>
        <w:right w:val="none" w:sz="0" w:space="0" w:color="auto"/>
      </w:divBdr>
    </w:div>
    <w:div w:id="1063720627">
      <w:bodyDiv w:val="1"/>
      <w:marLeft w:val="0"/>
      <w:marRight w:val="0"/>
      <w:marTop w:val="0"/>
      <w:marBottom w:val="0"/>
      <w:divBdr>
        <w:top w:val="none" w:sz="0" w:space="0" w:color="auto"/>
        <w:left w:val="none" w:sz="0" w:space="0" w:color="auto"/>
        <w:bottom w:val="none" w:sz="0" w:space="0" w:color="auto"/>
        <w:right w:val="none" w:sz="0" w:space="0" w:color="auto"/>
      </w:divBdr>
    </w:div>
    <w:div w:id="1072044266">
      <w:bodyDiv w:val="1"/>
      <w:marLeft w:val="0"/>
      <w:marRight w:val="0"/>
      <w:marTop w:val="0"/>
      <w:marBottom w:val="0"/>
      <w:divBdr>
        <w:top w:val="none" w:sz="0" w:space="0" w:color="auto"/>
        <w:left w:val="none" w:sz="0" w:space="0" w:color="auto"/>
        <w:bottom w:val="none" w:sz="0" w:space="0" w:color="auto"/>
        <w:right w:val="none" w:sz="0" w:space="0" w:color="auto"/>
      </w:divBdr>
    </w:div>
    <w:div w:id="1076706202">
      <w:bodyDiv w:val="1"/>
      <w:marLeft w:val="0"/>
      <w:marRight w:val="0"/>
      <w:marTop w:val="0"/>
      <w:marBottom w:val="0"/>
      <w:divBdr>
        <w:top w:val="none" w:sz="0" w:space="0" w:color="auto"/>
        <w:left w:val="none" w:sz="0" w:space="0" w:color="auto"/>
        <w:bottom w:val="none" w:sz="0" w:space="0" w:color="auto"/>
        <w:right w:val="none" w:sz="0" w:space="0" w:color="auto"/>
      </w:divBdr>
    </w:div>
    <w:div w:id="1084302056">
      <w:bodyDiv w:val="1"/>
      <w:marLeft w:val="0"/>
      <w:marRight w:val="0"/>
      <w:marTop w:val="0"/>
      <w:marBottom w:val="0"/>
      <w:divBdr>
        <w:top w:val="none" w:sz="0" w:space="0" w:color="auto"/>
        <w:left w:val="none" w:sz="0" w:space="0" w:color="auto"/>
        <w:bottom w:val="none" w:sz="0" w:space="0" w:color="auto"/>
        <w:right w:val="none" w:sz="0" w:space="0" w:color="auto"/>
      </w:divBdr>
    </w:div>
    <w:div w:id="1086729543">
      <w:bodyDiv w:val="1"/>
      <w:marLeft w:val="0"/>
      <w:marRight w:val="0"/>
      <w:marTop w:val="0"/>
      <w:marBottom w:val="0"/>
      <w:divBdr>
        <w:top w:val="none" w:sz="0" w:space="0" w:color="auto"/>
        <w:left w:val="none" w:sz="0" w:space="0" w:color="auto"/>
        <w:bottom w:val="none" w:sz="0" w:space="0" w:color="auto"/>
        <w:right w:val="none" w:sz="0" w:space="0" w:color="auto"/>
      </w:divBdr>
    </w:div>
    <w:div w:id="1090199772">
      <w:bodyDiv w:val="1"/>
      <w:marLeft w:val="0"/>
      <w:marRight w:val="0"/>
      <w:marTop w:val="0"/>
      <w:marBottom w:val="0"/>
      <w:divBdr>
        <w:top w:val="none" w:sz="0" w:space="0" w:color="auto"/>
        <w:left w:val="none" w:sz="0" w:space="0" w:color="auto"/>
        <w:bottom w:val="none" w:sz="0" w:space="0" w:color="auto"/>
        <w:right w:val="none" w:sz="0" w:space="0" w:color="auto"/>
      </w:divBdr>
    </w:div>
    <w:div w:id="1091468284">
      <w:bodyDiv w:val="1"/>
      <w:marLeft w:val="0"/>
      <w:marRight w:val="0"/>
      <w:marTop w:val="0"/>
      <w:marBottom w:val="0"/>
      <w:divBdr>
        <w:top w:val="none" w:sz="0" w:space="0" w:color="auto"/>
        <w:left w:val="none" w:sz="0" w:space="0" w:color="auto"/>
        <w:bottom w:val="none" w:sz="0" w:space="0" w:color="auto"/>
        <w:right w:val="none" w:sz="0" w:space="0" w:color="auto"/>
      </w:divBdr>
    </w:div>
    <w:div w:id="1092162639">
      <w:bodyDiv w:val="1"/>
      <w:marLeft w:val="0"/>
      <w:marRight w:val="0"/>
      <w:marTop w:val="0"/>
      <w:marBottom w:val="0"/>
      <w:divBdr>
        <w:top w:val="none" w:sz="0" w:space="0" w:color="auto"/>
        <w:left w:val="none" w:sz="0" w:space="0" w:color="auto"/>
        <w:bottom w:val="none" w:sz="0" w:space="0" w:color="auto"/>
        <w:right w:val="none" w:sz="0" w:space="0" w:color="auto"/>
      </w:divBdr>
    </w:div>
    <w:div w:id="1100560779">
      <w:bodyDiv w:val="1"/>
      <w:marLeft w:val="0"/>
      <w:marRight w:val="0"/>
      <w:marTop w:val="0"/>
      <w:marBottom w:val="0"/>
      <w:divBdr>
        <w:top w:val="none" w:sz="0" w:space="0" w:color="auto"/>
        <w:left w:val="none" w:sz="0" w:space="0" w:color="auto"/>
        <w:bottom w:val="none" w:sz="0" w:space="0" w:color="auto"/>
        <w:right w:val="none" w:sz="0" w:space="0" w:color="auto"/>
      </w:divBdr>
    </w:div>
    <w:div w:id="1103964528">
      <w:bodyDiv w:val="1"/>
      <w:marLeft w:val="0"/>
      <w:marRight w:val="0"/>
      <w:marTop w:val="0"/>
      <w:marBottom w:val="0"/>
      <w:divBdr>
        <w:top w:val="none" w:sz="0" w:space="0" w:color="auto"/>
        <w:left w:val="none" w:sz="0" w:space="0" w:color="auto"/>
        <w:bottom w:val="none" w:sz="0" w:space="0" w:color="auto"/>
        <w:right w:val="none" w:sz="0" w:space="0" w:color="auto"/>
      </w:divBdr>
    </w:div>
    <w:div w:id="1112750095">
      <w:bodyDiv w:val="1"/>
      <w:marLeft w:val="0"/>
      <w:marRight w:val="0"/>
      <w:marTop w:val="0"/>
      <w:marBottom w:val="0"/>
      <w:divBdr>
        <w:top w:val="none" w:sz="0" w:space="0" w:color="auto"/>
        <w:left w:val="none" w:sz="0" w:space="0" w:color="auto"/>
        <w:bottom w:val="none" w:sz="0" w:space="0" w:color="auto"/>
        <w:right w:val="none" w:sz="0" w:space="0" w:color="auto"/>
      </w:divBdr>
    </w:div>
    <w:div w:id="1121144551">
      <w:bodyDiv w:val="1"/>
      <w:marLeft w:val="0"/>
      <w:marRight w:val="0"/>
      <w:marTop w:val="0"/>
      <w:marBottom w:val="0"/>
      <w:divBdr>
        <w:top w:val="none" w:sz="0" w:space="0" w:color="auto"/>
        <w:left w:val="none" w:sz="0" w:space="0" w:color="auto"/>
        <w:bottom w:val="none" w:sz="0" w:space="0" w:color="auto"/>
        <w:right w:val="none" w:sz="0" w:space="0" w:color="auto"/>
      </w:divBdr>
    </w:div>
    <w:div w:id="1123889901">
      <w:bodyDiv w:val="1"/>
      <w:marLeft w:val="0"/>
      <w:marRight w:val="0"/>
      <w:marTop w:val="0"/>
      <w:marBottom w:val="0"/>
      <w:divBdr>
        <w:top w:val="none" w:sz="0" w:space="0" w:color="auto"/>
        <w:left w:val="none" w:sz="0" w:space="0" w:color="auto"/>
        <w:bottom w:val="none" w:sz="0" w:space="0" w:color="auto"/>
        <w:right w:val="none" w:sz="0" w:space="0" w:color="auto"/>
      </w:divBdr>
    </w:div>
    <w:div w:id="1124158701">
      <w:bodyDiv w:val="1"/>
      <w:marLeft w:val="0"/>
      <w:marRight w:val="0"/>
      <w:marTop w:val="0"/>
      <w:marBottom w:val="0"/>
      <w:divBdr>
        <w:top w:val="none" w:sz="0" w:space="0" w:color="auto"/>
        <w:left w:val="none" w:sz="0" w:space="0" w:color="auto"/>
        <w:bottom w:val="none" w:sz="0" w:space="0" w:color="auto"/>
        <w:right w:val="none" w:sz="0" w:space="0" w:color="auto"/>
      </w:divBdr>
    </w:div>
    <w:div w:id="1126241441">
      <w:bodyDiv w:val="1"/>
      <w:marLeft w:val="0"/>
      <w:marRight w:val="0"/>
      <w:marTop w:val="0"/>
      <w:marBottom w:val="0"/>
      <w:divBdr>
        <w:top w:val="none" w:sz="0" w:space="0" w:color="auto"/>
        <w:left w:val="none" w:sz="0" w:space="0" w:color="auto"/>
        <w:bottom w:val="none" w:sz="0" w:space="0" w:color="auto"/>
        <w:right w:val="none" w:sz="0" w:space="0" w:color="auto"/>
      </w:divBdr>
    </w:div>
    <w:div w:id="1127553933">
      <w:bodyDiv w:val="1"/>
      <w:marLeft w:val="0"/>
      <w:marRight w:val="0"/>
      <w:marTop w:val="0"/>
      <w:marBottom w:val="0"/>
      <w:divBdr>
        <w:top w:val="none" w:sz="0" w:space="0" w:color="auto"/>
        <w:left w:val="none" w:sz="0" w:space="0" w:color="auto"/>
        <w:bottom w:val="none" w:sz="0" w:space="0" w:color="auto"/>
        <w:right w:val="none" w:sz="0" w:space="0" w:color="auto"/>
      </w:divBdr>
    </w:div>
    <w:div w:id="1127966869">
      <w:bodyDiv w:val="1"/>
      <w:marLeft w:val="0"/>
      <w:marRight w:val="0"/>
      <w:marTop w:val="0"/>
      <w:marBottom w:val="0"/>
      <w:divBdr>
        <w:top w:val="none" w:sz="0" w:space="0" w:color="auto"/>
        <w:left w:val="none" w:sz="0" w:space="0" w:color="auto"/>
        <w:bottom w:val="none" w:sz="0" w:space="0" w:color="auto"/>
        <w:right w:val="none" w:sz="0" w:space="0" w:color="auto"/>
      </w:divBdr>
    </w:div>
    <w:div w:id="1128158332">
      <w:bodyDiv w:val="1"/>
      <w:marLeft w:val="0"/>
      <w:marRight w:val="0"/>
      <w:marTop w:val="0"/>
      <w:marBottom w:val="0"/>
      <w:divBdr>
        <w:top w:val="none" w:sz="0" w:space="0" w:color="auto"/>
        <w:left w:val="none" w:sz="0" w:space="0" w:color="auto"/>
        <w:bottom w:val="none" w:sz="0" w:space="0" w:color="auto"/>
        <w:right w:val="none" w:sz="0" w:space="0" w:color="auto"/>
      </w:divBdr>
    </w:div>
    <w:div w:id="1129786949">
      <w:bodyDiv w:val="1"/>
      <w:marLeft w:val="0"/>
      <w:marRight w:val="0"/>
      <w:marTop w:val="0"/>
      <w:marBottom w:val="0"/>
      <w:divBdr>
        <w:top w:val="none" w:sz="0" w:space="0" w:color="auto"/>
        <w:left w:val="none" w:sz="0" w:space="0" w:color="auto"/>
        <w:bottom w:val="none" w:sz="0" w:space="0" w:color="auto"/>
        <w:right w:val="none" w:sz="0" w:space="0" w:color="auto"/>
      </w:divBdr>
    </w:div>
    <w:div w:id="1129788733">
      <w:bodyDiv w:val="1"/>
      <w:marLeft w:val="0"/>
      <w:marRight w:val="0"/>
      <w:marTop w:val="0"/>
      <w:marBottom w:val="0"/>
      <w:divBdr>
        <w:top w:val="none" w:sz="0" w:space="0" w:color="auto"/>
        <w:left w:val="none" w:sz="0" w:space="0" w:color="auto"/>
        <w:bottom w:val="none" w:sz="0" w:space="0" w:color="auto"/>
        <w:right w:val="none" w:sz="0" w:space="0" w:color="auto"/>
      </w:divBdr>
    </w:div>
    <w:div w:id="1135828112">
      <w:bodyDiv w:val="1"/>
      <w:marLeft w:val="0"/>
      <w:marRight w:val="0"/>
      <w:marTop w:val="0"/>
      <w:marBottom w:val="0"/>
      <w:divBdr>
        <w:top w:val="none" w:sz="0" w:space="0" w:color="auto"/>
        <w:left w:val="none" w:sz="0" w:space="0" w:color="auto"/>
        <w:bottom w:val="none" w:sz="0" w:space="0" w:color="auto"/>
        <w:right w:val="none" w:sz="0" w:space="0" w:color="auto"/>
      </w:divBdr>
    </w:div>
    <w:div w:id="1138108499">
      <w:bodyDiv w:val="1"/>
      <w:marLeft w:val="0"/>
      <w:marRight w:val="0"/>
      <w:marTop w:val="0"/>
      <w:marBottom w:val="0"/>
      <w:divBdr>
        <w:top w:val="none" w:sz="0" w:space="0" w:color="auto"/>
        <w:left w:val="none" w:sz="0" w:space="0" w:color="auto"/>
        <w:bottom w:val="none" w:sz="0" w:space="0" w:color="auto"/>
        <w:right w:val="none" w:sz="0" w:space="0" w:color="auto"/>
      </w:divBdr>
    </w:div>
    <w:div w:id="1144928698">
      <w:bodyDiv w:val="1"/>
      <w:marLeft w:val="0"/>
      <w:marRight w:val="0"/>
      <w:marTop w:val="0"/>
      <w:marBottom w:val="0"/>
      <w:divBdr>
        <w:top w:val="none" w:sz="0" w:space="0" w:color="auto"/>
        <w:left w:val="none" w:sz="0" w:space="0" w:color="auto"/>
        <w:bottom w:val="none" w:sz="0" w:space="0" w:color="auto"/>
        <w:right w:val="none" w:sz="0" w:space="0" w:color="auto"/>
      </w:divBdr>
    </w:div>
    <w:div w:id="1151169616">
      <w:bodyDiv w:val="1"/>
      <w:marLeft w:val="0"/>
      <w:marRight w:val="0"/>
      <w:marTop w:val="0"/>
      <w:marBottom w:val="0"/>
      <w:divBdr>
        <w:top w:val="none" w:sz="0" w:space="0" w:color="auto"/>
        <w:left w:val="none" w:sz="0" w:space="0" w:color="auto"/>
        <w:bottom w:val="none" w:sz="0" w:space="0" w:color="auto"/>
        <w:right w:val="none" w:sz="0" w:space="0" w:color="auto"/>
      </w:divBdr>
    </w:div>
    <w:div w:id="1151677190">
      <w:bodyDiv w:val="1"/>
      <w:marLeft w:val="0"/>
      <w:marRight w:val="0"/>
      <w:marTop w:val="0"/>
      <w:marBottom w:val="0"/>
      <w:divBdr>
        <w:top w:val="none" w:sz="0" w:space="0" w:color="auto"/>
        <w:left w:val="none" w:sz="0" w:space="0" w:color="auto"/>
        <w:bottom w:val="none" w:sz="0" w:space="0" w:color="auto"/>
        <w:right w:val="none" w:sz="0" w:space="0" w:color="auto"/>
      </w:divBdr>
    </w:div>
    <w:div w:id="1152018897">
      <w:bodyDiv w:val="1"/>
      <w:marLeft w:val="0"/>
      <w:marRight w:val="0"/>
      <w:marTop w:val="0"/>
      <w:marBottom w:val="0"/>
      <w:divBdr>
        <w:top w:val="none" w:sz="0" w:space="0" w:color="auto"/>
        <w:left w:val="none" w:sz="0" w:space="0" w:color="auto"/>
        <w:bottom w:val="none" w:sz="0" w:space="0" w:color="auto"/>
        <w:right w:val="none" w:sz="0" w:space="0" w:color="auto"/>
      </w:divBdr>
    </w:div>
    <w:div w:id="1153135102">
      <w:bodyDiv w:val="1"/>
      <w:marLeft w:val="0"/>
      <w:marRight w:val="0"/>
      <w:marTop w:val="0"/>
      <w:marBottom w:val="0"/>
      <w:divBdr>
        <w:top w:val="none" w:sz="0" w:space="0" w:color="auto"/>
        <w:left w:val="none" w:sz="0" w:space="0" w:color="auto"/>
        <w:bottom w:val="none" w:sz="0" w:space="0" w:color="auto"/>
        <w:right w:val="none" w:sz="0" w:space="0" w:color="auto"/>
      </w:divBdr>
    </w:div>
    <w:div w:id="1154835035">
      <w:bodyDiv w:val="1"/>
      <w:marLeft w:val="0"/>
      <w:marRight w:val="0"/>
      <w:marTop w:val="0"/>
      <w:marBottom w:val="0"/>
      <w:divBdr>
        <w:top w:val="none" w:sz="0" w:space="0" w:color="auto"/>
        <w:left w:val="none" w:sz="0" w:space="0" w:color="auto"/>
        <w:bottom w:val="none" w:sz="0" w:space="0" w:color="auto"/>
        <w:right w:val="none" w:sz="0" w:space="0" w:color="auto"/>
      </w:divBdr>
    </w:div>
    <w:div w:id="1171019103">
      <w:bodyDiv w:val="1"/>
      <w:marLeft w:val="0"/>
      <w:marRight w:val="0"/>
      <w:marTop w:val="0"/>
      <w:marBottom w:val="0"/>
      <w:divBdr>
        <w:top w:val="none" w:sz="0" w:space="0" w:color="auto"/>
        <w:left w:val="none" w:sz="0" w:space="0" w:color="auto"/>
        <w:bottom w:val="none" w:sz="0" w:space="0" w:color="auto"/>
        <w:right w:val="none" w:sz="0" w:space="0" w:color="auto"/>
      </w:divBdr>
    </w:div>
    <w:div w:id="1172984997">
      <w:bodyDiv w:val="1"/>
      <w:marLeft w:val="0"/>
      <w:marRight w:val="0"/>
      <w:marTop w:val="0"/>
      <w:marBottom w:val="0"/>
      <w:divBdr>
        <w:top w:val="none" w:sz="0" w:space="0" w:color="auto"/>
        <w:left w:val="none" w:sz="0" w:space="0" w:color="auto"/>
        <w:bottom w:val="none" w:sz="0" w:space="0" w:color="auto"/>
        <w:right w:val="none" w:sz="0" w:space="0" w:color="auto"/>
      </w:divBdr>
    </w:div>
    <w:div w:id="1176532754">
      <w:bodyDiv w:val="1"/>
      <w:marLeft w:val="0"/>
      <w:marRight w:val="0"/>
      <w:marTop w:val="0"/>
      <w:marBottom w:val="0"/>
      <w:divBdr>
        <w:top w:val="none" w:sz="0" w:space="0" w:color="auto"/>
        <w:left w:val="none" w:sz="0" w:space="0" w:color="auto"/>
        <w:bottom w:val="none" w:sz="0" w:space="0" w:color="auto"/>
        <w:right w:val="none" w:sz="0" w:space="0" w:color="auto"/>
      </w:divBdr>
    </w:div>
    <w:div w:id="1185048814">
      <w:bodyDiv w:val="1"/>
      <w:marLeft w:val="0"/>
      <w:marRight w:val="0"/>
      <w:marTop w:val="0"/>
      <w:marBottom w:val="0"/>
      <w:divBdr>
        <w:top w:val="none" w:sz="0" w:space="0" w:color="auto"/>
        <w:left w:val="none" w:sz="0" w:space="0" w:color="auto"/>
        <w:bottom w:val="none" w:sz="0" w:space="0" w:color="auto"/>
        <w:right w:val="none" w:sz="0" w:space="0" w:color="auto"/>
      </w:divBdr>
    </w:div>
    <w:div w:id="1208372316">
      <w:bodyDiv w:val="1"/>
      <w:marLeft w:val="0"/>
      <w:marRight w:val="0"/>
      <w:marTop w:val="0"/>
      <w:marBottom w:val="0"/>
      <w:divBdr>
        <w:top w:val="none" w:sz="0" w:space="0" w:color="auto"/>
        <w:left w:val="none" w:sz="0" w:space="0" w:color="auto"/>
        <w:bottom w:val="none" w:sz="0" w:space="0" w:color="auto"/>
        <w:right w:val="none" w:sz="0" w:space="0" w:color="auto"/>
      </w:divBdr>
    </w:div>
    <w:div w:id="1209686196">
      <w:bodyDiv w:val="1"/>
      <w:marLeft w:val="0"/>
      <w:marRight w:val="0"/>
      <w:marTop w:val="0"/>
      <w:marBottom w:val="0"/>
      <w:divBdr>
        <w:top w:val="none" w:sz="0" w:space="0" w:color="auto"/>
        <w:left w:val="none" w:sz="0" w:space="0" w:color="auto"/>
        <w:bottom w:val="none" w:sz="0" w:space="0" w:color="auto"/>
        <w:right w:val="none" w:sz="0" w:space="0" w:color="auto"/>
      </w:divBdr>
    </w:div>
    <w:div w:id="1218786916">
      <w:bodyDiv w:val="1"/>
      <w:marLeft w:val="0"/>
      <w:marRight w:val="0"/>
      <w:marTop w:val="0"/>
      <w:marBottom w:val="0"/>
      <w:divBdr>
        <w:top w:val="none" w:sz="0" w:space="0" w:color="auto"/>
        <w:left w:val="none" w:sz="0" w:space="0" w:color="auto"/>
        <w:bottom w:val="none" w:sz="0" w:space="0" w:color="auto"/>
        <w:right w:val="none" w:sz="0" w:space="0" w:color="auto"/>
      </w:divBdr>
    </w:div>
    <w:div w:id="1220483877">
      <w:bodyDiv w:val="1"/>
      <w:marLeft w:val="0"/>
      <w:marRight w:val="0"/>
      <w:marTop w:val="0"/>
      <w:marBottom w:val="0"/>
      <w:divBdr>
        <w:top w:val="none" w:sz="0" w:space="0" w:color="auto"/>
        <w:left w:val="none" w:sz="0" w:space="0" w:color="auto"/>
        <w:bottom w:val="none" w:sz="0" w:space="0" w:color="auto"/>
        <w:right w:val="none" w:sz="0" w:space="0" w:color="auto"/>
      </w:divBdr>
    </w:div>
    <w:div w:id="1221015997">
      <w:bodyDiv w:val="1"/>
      <w:marLeft w:val="0"/>
      <w:marRight w:val="0"/>
      <w:marTop w:val="0"/>
      <w:marBottom w:val="0"/>
      <w:divBdr>
        <w:top w:val="none" w:sz="0" w:space="0" w:color="auto"/>
        <w:left w:val="none" w:sz="0" w:space="0" w:color="auto"/>
        <w:bottom w:val="none" w:sz="0" w:space="0" w:color="auto"/>
        <w:right w:val="none" w:sz="0" w:space="0" w:color="auto"/>
      </w:divBdr>
    </w:div>
    <w:div w:id="1221286540">
      <w:bodyDiv w:val="1"/>
      <w:marLeft w:val="0"/>
      <w:marRight w:val="0"/>
      <w:marTop w:val="0"/>
      <w:marBottom w:val="0"/>
      <w:divBdr>
        <w:top w:val="none" w:sz="0" w:space="0" w:color="auto"/>
        <w:left w:val="none" w:sz="0" w:space="0" w:color="auto"/>
        <w:bottom w:val="none" w:sz="0" w:space="0" w:color="auto"/>
        <w:right w:val="none" w:sz="0" w:space="0" w:color="auto"/>
      </w:divBdr>
    </w:div>
    <w:div w:id="1225071372">
      <w:bodyDiv w:val="1"/>
      <w:marLeft w:val="0"/>
      <w:marRight w:val="0"/>
      <w:marTop w:val="0"/>
      <w:marBottom w:val="0"/>
      <w:divBdr>
        <w:top w:val="none" w:sz="0" w:space="0" w:color="auto"/>
        <w:left w:val="none" w:sz="0" w:space="0" w:color="auto"/>
        <w:bottom w:val="none" w:sz="0" w:space="0" w:color="auto"/>
        <w:right w:val="none" w:sz="0" w:space="0" w:color="auto"/>
      </w:divBdr>
    </w:div>
    <w:div w:id="1227909411">
      <w:bodyDiv w:val="1"/>
      <w:marLeft w:val="0"/>
      <w:marRight w:val="0"/>
      <w:marTop w:val="0"/>
      <w:marBottom w:val="0"/>
      <w:divBdr>
        <w:top w:val="none" w:sz="0" w:space="0" w:color="auto"/>
        <w:left w:val="none" w:sz="0" w:space="0" w:color="auto"/>
        <w:bottom w:val="none" w:sz="0" w:space="0" w:color="auto"/>
        <w:right w:val="none" w:sz="0" w:space="0" w:color="auto"/>
      </w:divBdr>
    </w:div>
    <w:div w:id="1229729839">
      <w:bodyDiv w:val="1"/>
      <w:marLeft w:val="0"/>
      <w:marRight w:val="0"/>
      <w:marTop w:val="0"/>
      <w:marBottom w:val="0"/>
      <w:divBdr>
        <w:top w:val="none" w:sz="0" w:space="0" w:color="auto"/>
        <w:left w:val="none" w:sz="0" w:space="0" w:color="auto"/>
        <w:bottom w:val="none" w:sz="0" w:space="0" w:color="auto"/>
        <w:right w:val="none" w:sz="0" w:space="0" w:color="auto"/>
      </w:divBdr>
    </w:div>
    <w:div w:id="1230385336">
      <w:bodyDiv w:val="1"/>
      <w:marLeft w:val="0"/>
      <w:marRight w:val="0"/>
      <w:marTop w:val="0"/>
      <w:marBottom w:val="0"/>
      <w:divBdr>
        <w:top w:val="none" w:sz="0" w:space="0" w:color="auto"/>
        <w:left w:val="none" w:sz="0" w:space="0" w:color="auto"/>
        <w:bottom w:val="none" w:sz="0" w:space="0" w:color="auto"/>
        <w:right w:val="none" w:sz="0" w:space="0" w:color="auto"/>
      </w:divBdr>
    </w:div>
    <w:div w:id="1230726605">
      <w:bodyDiv w:val="1"/>
      <w:marLeft w:val="0"/>
      <w:marRight w:val="0"/>
      <w:marTop w:val="0"/>
      <w:marBottom w:val="0"/>
      <w:divBdr>
        <w:top w:val="none" w:sz="0" w:space="0" w:color="auto"/>
        <w:left w:val="none" w:sz="0" w:space="0" w:color="auto"/>
        <w:bottom w:val="none" w:sz="0" w:space="0" w:color="auto"/>
        <w:right w:val="none" w:sz="0" w:space="0" w:color="auto"/>
      </w:divBdr>
    </w:div>
    <w:div w:id="1256549494">
      <w:bodyDiv w:val="1"/>
      <w:marLeft w:val="0"/>
      <w:marRight w:val="0"/>
      <w:marTop w:val="0"/>
      <w:marBottom w:val="0"/>
      <w:divBdr>
        <w:top w:val="none" w:sz="0" w:space="0" w:color="auto"/>
        <w:left w:val="none" w:sz="0" w:space="0" w:color="auto"/>
        <w:bottom w:val="none" w:sz="0" w:space="0" w:color="auto"/>
        <w:right w:val="none" w:sz="0" w:space="0" w:color="auto"/>
      </w:divBdr>
    </w:div>
    <w:div w:id="1261598449">
      <w:bodyDiv w:val="1"/>
      <w:marLeft w:val="0"/>
      <w:marRight w:val="0"/>
      <w:marTop w:val="0"/>
      <w:marBottom w:val="0"/>
      <w:divBdr>
        <w:top w:val="none" w:sz="0" w:space="0" w:color="auto"/>
        <w:left w:val="none" w:sz="0" w:space="0" w:color="auto"/>
        <w:bottom w:val="none" w:sz="0" w:space="0" w:color="auto"/>
        <w:right w:val="none" w:sz="0" w:space="0" w:color="auto"/>
      </w:divBdr>
    </w:div>
    <w:div w:id="1281451006">
      <w:bodyDiv w:val="1"/>
      <w:marLeft w:val="0"/>
      <w:marRight w:val="0"/>
      <w:marTop w:val="0"/>
      <w:marBottom w:val="0"/>
      <w:divBdr>
        <w:top w:val="none" w:sz="0" w:space="0" w:color="auto"/>
        <w:left w:val="none" w:sz="0" w:space="0" w:color="auto"/>
        <w:bottom w:val="none" w:sz="0" w:space="0" w:color="auto"/>
        <w:right w:val="none" w:sz="0" w:space="0" w:color="auto"/>
      </w:divBdr>
    </w:div>
    <w:div w:id="1282959330">
      <w:bodyDiv w:val="1"/>
      <w:marLeft w:val="0"/>
      <w:marRight w:val="0"/>
      <w:marTop w:val="0"/>
      <w:marBottom w:val="0"/>
      <w:divBdr>
        <w:top w:val="none" w:sz="0" w:space="0" w:color="auto"/>
        <w:left w:val="none" w:sz="0" w:space="0" w:color="auto"/>
        <w:bottom w:val="none" w:sz="0" w:space="0" w:color="auto"/>
        <w:right w:val="none" w:sz="0" w:space="0" w:color="auto"/>
      </w:divBdr>
    </w:div>
    <w:div w:id="1285576266">
      <w:bodyDiv w:val="1"/>
      <w:marLeft w:val="0"/>
      <w:marRight w:val="0"/>
      <w:marTop w:val="0"/>
      <w:marBottom w:val="0"/>
      <w:divBdr>
        <w:top w:val="none" w:sz="0" w:space="0" w:color="auto"/>
        <w:left w:val="none" w:sz="0" w:space="0" w:color="auto"/>
        <w:bottom w:val="none" w:sz="0" w:space="0" w:color="auto"/>
        <w:right w:val="none" w:sz="0" w:space="0" w:color="auto"/>
      </w:divBdr>
    </w:div>
    <w:div w:id="1287547210">
      <w:bodyDiv w:val="1"/>
      <w:marLeft w:val="0"/>
      <w:marRight w:val="0"/>
      <w:marTop w:val="0"/>
      <w:marBottom w:val="0"/>
      <w:divBdr>
        <w:top w:val="none" w:sz="0" w:space="0" w:color="auto"/>
        <w:left w:val="none" w:sz="0" w:space="0" w:color="auto"/>
        <w:bottom w:val="none" w:sz="0" w:space="0" w:color="auto"/>
        <w:right w:val="none" w:sz="0" w:space="0" w:color="auto"/>
      </w:divBdr>
    </w:div>
    <w:div w:id="1288658965">
      <w:bodyDiv w:val="1"/>
      <w:marLeft w:val="0"/>
      <w:marRight w:val="0"/>
      <w:marTop w:val="0"/>
      <w:marBottom w:val="0"/>
      <w:divBdr>
        <w:top w:val="none" w:sz="0" w:space="0" w:color="auto"/>
        <w:left w:val="none" w:sz="0" w:space="0" w:color="auto"/>
        <w:bottom w:val="none" w:sz="0" w:space="0" w:color="auto"/>
        <w:right w:val="none" w:sz="0" w:space="0" w:color="auto"/>
      </w:divBdr>
    </w:div>
    <w:div w:id="1289049281">
      <w:bodyDiv w:val="1"/>
      <w:marLeft w:val="0"/>
      <w:marRight w:val="0"/>
      <w:marTop w:val="0"/>
      <w:marBottom w:val="0"/>
      <w:divBdr>
        <w:top w:val="none" w:sz="0" w:space="0" w:color="auto"/>
        <w:left w:val="none" w:sz="0" w:space="0" w:color="auto"/>
        <w:bottom w:val="none" w:sz="0" w:space="0" w:color="auto"/>
        <w:right w:val="none" w:sz="0" w:space="0" w:color="auto"/>
      </w:divBdr>
    </w:div>
    <w:div w:id="1301305887">
      <w:bodyDiv w:val="1"/>
      <w:marLeft w:val="0"/>
      <w:marRight w:val="0"/>
      <w:marTop w:val="0"/>
      <w:marBottom w:val="0"/>
      <w:divBdr>
        <w:top w:val="none" w:sz="0" w:space="0" w:color="auto"/>
        <w:left w:val="none" w:sz="0" w:space="0" w:color="auto"/>
        <w:bottom w:val="none" w:sz="0" w:space="0" w:color="auto"/>
        <w:right w:val="none" w:sz="0" w:space="0" w:color="auto"/>
      </w:divBdr>
    </w:div>
    <w:div w:id="1304502504">
      <w:bodyDiv w:val="1"/>
      <w:marLeft w:val="0"/>
      <w:marRight w:val="0"/>
      <w:marTop w:val="0"/>
      <w:marBottom w:val="0"/>
      <w:divBdr>
        <w:top w:val="none" w:sz="0" w:space="0" w:color="auto"/>
        <w:left w:val="none" w:sz="0" w:space="0" w:color="auto"/>
        <w:bottom w:val="none" w:sz="0" w:space="0" w:color="auto"/>
        <w:right w:val="none" w:sz="0" w:space="0" w:color="auto"/>
      </w:divBdr>
    </w:div>
    <w:div w:id="1324048305">
      <w:bodyDiv w:val="1"/>
      <w:marLeft w:val="0"/>
      <w:marRight w:val="0"/>
      <w:marTop w:val="0"/>
      <w:marBottom w:val="0"/>
      <w:divBdr>
        <w:top w:val="none" w:sz="0" w:space="0" w:color="auto"/>
        <w:left w:val="none" w:sz="0" w:space="0" w:color="auto"/>
        <w:bottom w:val="none" w:sz="0" w:space="0" w:color="auto"/>
        <w:right w:val="none" w:sz="0" w:space="0" w:color="auto"/>
      </w:divBdr>
    </w:div>
    <w:div w:id="1325016291">
      <w:bodyDiv w:val="1"/>
      <w:marLeft w:val="0"/>
      <w:marRight w:val="0"/>
      <w:marTop w:val="0"/>
      <w:marBottom w:val="0"/>
      <w:divBdr>
        <w:top w:val="none" w:sz="0" w:space="0" w:color="auto"/>
        <w:left w:val="none" w:sz="0" w:space="0" w:color="auto"/>
        <w:bottom w:val="none" w:sz="0" w:space="0" w:color="auto"/>
        <w:right w:val="none" w:sz="0" w:space="0" w:color="auto"/>
      </w:divBdr>
    </w:div>
    <w:div w:id="1332873792">
      <w:bodyDiv w:val="1"/>
      <w:marLeft w:val="0"/>
      <w:marRight w:val="0"/>
      <w:marTop w:val="0"/>
      <w:marBottom w:val="0"/>
      <w:divBdr>
        <w:top w:val="none" w:sz="0" w:space="0" w:color="auto"/>
        <w:left w:val="none" w:sz="0" w:space="0" w:color="auto"/>
        <w:bottom w:val="none" w:sz="0" w:space="0" w:color="auto"/>
        <w:right w:val="none" w:sz="0" w:space="0" w:color="auto"/>
      </w:divBdr>
    </w:div>
    <w:div w:id="1342470363">
      <w:bodyDiv w:val="1"/>
      <w:marLeft w:val="0"/>
      <w:marRight w:val="0"/>
      <w:marTop w:val="0"/>
      <w:marBottom w:val="0"/>
      <w:divBdr>
        <w:top w:val="none" w:sz="0" w:space="0" w:color="auto"/>
        <w:left w:val="none" w:sz="0" w:space="0" w:color="auto"/>
        <w:bottom w:val="none" w:sz="0" w:space="0" w:color="auto"/>
        <w:right w:val="none" w:sz="0" w:space="0" w:color="auto"/>
      </w:divBdr>
    </w:div>
    <w:div w:id="1342702177">
      <w:bodyDiv w:val="1"/>
      <w:marLeft w:val="0"/>
      <w:marRight w:val="0"/>
      <w:marTop w:val="0"/>
      <w:marBottom w:val="0"/>
      <w:divBdr>
        <w:top w:val="none" w:sz="0" w:space="0" w:color="auto"/>
        <w:left w:val="none" w:sz="0" w:space="0" w:color="auto"/>
        <w:bottom w:val="none" w:sz="0" w:space="0" w:color="auto"/>
        <w:right w:val="none" w:sz="0" w:space="0" w:color="auto"/>
      </w:divBdr>
    </w:div>
    <w:div w:id="1343433069">
      <w:bodyDiv w:val="1"/>
      <w:marLeft w:val="0"/>
      <w:marRight w:val="0"/>
      <w:marTop w:val="0"/>
      <w:marBottom w:val="0"/>
      <w:divBdr>
        <w:top w:val="none" w:sz="0" w:space="0" w:color="auto"/>
        <w:left w:val="none" w:sz="0" w:space="0" w:color="auto"/>
        <w:bottom w:val="none" w:sz="0" w:space="0" w:color="auto"/>
        <w:right w:val="none" w:sz="0" w:space="0" w:color="auto"/>
      </w:divBdr>
    </w:div>
    <w:div w:id="1354067864">
      <w:bodyDiv w:val="1"/>
      <w:marLeft w:val="0"/>
      <w:marRight w:val="0"/>
      <w:marTop w:val="0"/>
      <w:marBottom w:val="0"/>
      <w:divBdr>
        <w:top w:val="none" w:sz="0" w:space="0" w:color="auto"/>
        <w:left w:val="none" w:sz="0" w:space="0" w:color="auto"/>
        <w:bottom w:val="none" w:sz="0" w:space="0" w:color="auto"/>
        <w:right w:val="none" w:sz="0" w:space="0" w:color="auto"/>
      </w:divBdr>
    </w:div>
    <w:div w:id="1356535772">
      <w:bodyDiv w:val="1"/>
      <w:marLeft w:val="0"/>
      <w:marRight w:val="0"/>
      <w:marTop w:val="0"/>
      <w:marBottom w:val="0"/>
      <w:divBdr>
        <w:top w:val="none" w:sz="0" w:space="0" w:color="auto"/>
        <w:left w:val="none" w:sz="0" w:space="0" w:color="auto"/>
        <w:bottom w:val="none" w:sz="0" w:space="0" w:color="auto"/>
        <w:right w:val="none" w:sz="0" w:space="0" w:color="auto"/>
      </w:divBdr>
    </w:div>
    <w:div w:id="1366833515">
      <w:bodyDiv w:val="1"/>
      <w:marLeft w:val="0"/>
      <w:marRight w:val="0"/>
      <w:marTop w:val="0"/>
      <w:marBottom w:val="0"/>
      <w:divBdr>
        <w:top w:val="none" w:sz="0" w:space="0" w:color="auto"/>
        <w:left w:val="none" w:sz="0" w:space="0" w:color="auto"/>
        <w:bottom w:val="none" w:sz="0" w:space="0" w:color="auto"/>
        <w:right w:val="none" w:sz="0" w:space="0" w:color="auto"/>
      </w:divBdr>
    </w:div>
    <w:div w:id="1378162935">
      <w:bodyDiv w:val="1"/>
      <w:marLeft w:val="0"/>
      <w:marRight w:val="0"/>
      <w:marTop w:val="0"/>
      <w:marBottom w:val="0"/>
      <w:divBdr>
        <w:top w:val="none" w:sz="0" w:space="0" w:color="auto"/>
        <w:left w:val="none" w:sz="0" w:space="0" w:color="auto"/>
        <w:bottom w:val="none" w:sz="0" w:space="0" w:color="auto"/>
        <w:right w:val="none" w:sz="0" w:space="0" w:color="auto"/>
      </w:divBdr>
    </w:div>
    <w:div w:id="1382368835">
      <w:bodyDiv w:val="1"/>
      <w:marLeft w:val="0"/>
      <w:marRight w:val="0"/>
      <w:marTop w:val="0"/>
      <w:marBottom w:val="0"/>
      <w:divBdr>
        <w:top w:val="none" w:sz="0" w:space="0" w:color="auto"/>
        <w:left w:val="none" w:sz="0" w:space="0" w:color="auto"/>
        <w:bottom w:val="none" w:sz="0" w:space="0" w:color="auto"/>
        <w:right w:val="none" w:sz="0" w:space="0" w:color="auto"/>
      </w:divBdr>
    </w:div>
    <w:div w:id="1385300210">
      <w:bodyDiv w:val="1"/>
      <w:marLeft w:val="0"/>
      <w:marRight w:val="0"/>
      <w:marTop w:val="0"/>
      <w:marBottom w:val="0"/>
      <w:divBdr>
        <w:top w:val="none" w:sz="0" w:space="0" w:color="auto"/>
        <w:left w:val="none" w:sz="0" w:space="0" w:color="auto"/>
        <w:bottom w:val="none" w:sz="0" w:space="0" w:color="auto"/>
        <w:right w:val="none" w:sz="0" w:space="0" w:color="auto"/>
      </w:divBdr>
    </w:div>
    <w:div w:id="1385786683">
      <w:bodyDiv w:val="1"/>
      <w:marLeft w:val="0"/>
      <w:marRight w:val="0"/>
      <w:marTop w:val="0"/>
      <w:marBottom w:val="0"/>
      <w:divBdr>
        <w:top w:val="none" w:sz="0" w:space="0" w:color="auto"/>
        <w:left w:val="none" w:sz="0" w:space="0" w:color="auto"/>
        <w:bottom w:val="none" w:sz="0" w:space="0" w:color="auto"/>
        <w:right w:val="none" w:sz="0" w:space="0" w:color="auto"/>
      </w:divBdr>
    </w:div>
    <w:div w:id="1386103003">
      <w:bodyDiv w:val="1"/>
      <w:marLeft w:val="0"/>
      <w:marRight w:val="0"/>
      <w:marTop w:val="0"/>
      <w:marBottom w:val="0"/>
      <w:divBdr>
        <w:top w:val="none" w:sz="0" w:space="0" w:color="auto"/>
        <w:left w:val="none" w:sz="0" w:space="0" w:color="auto"/>
        <w:bottom w:val="none" w:sz="0" w:space="0" w:color="auto"/>
        <w:right w:val="none" w:sz="0" w:space="0" w:color="auto"/>
      </w:divBdr>
    </w:div>
    <w:div w:id="1386641378">
      <w:bodyDiv w:val="1"/>
      <w:marLeft w:val="0"/>
      <w:marRight w:val="0"/>
      <w:marTop w:val="0"/>
      <w:marBottom w:val="0"/>
      <w:divBdr>
        <w:top w:val="none" w:sz="0" w:space="0" w:color="auto"/>
        <w:left w:val="none" w:sz="0" w:space="0" w:color="auto"/>
        <w:bottom w:val="none" w:sz="0" w:space="0" w:color="auto"/>
        <w:right w:val="none" w:sz="0" w:space="0" w:color="auto"/>
      </w:divBdr>
    </w:div>
    <w:div w:id="1391002403">
      <w:bodyDiv w:val="1"/>
      <w:marLeft w:val="0"/>
      <w:marRight w:val="0"/>
      <w:marTop w:val="0"/>
      <w:marBottom w:val="0"/>
      <w:divBdr>
        <w:top w:val="none" w:sz="0" w:space="0" w:color="auto"/>
        <w:left w:val="none" w:sz="0" w:space="0" w:color="auto"/>
        <w:bottom w:val="none" w:sz="0" w:space="0" w:color="auto"/>
        <w:right w:val="none" w:sz="0" w:space="0" w:color="auto"/>
      </w:divBdr>
    </w:div>
    <w:div w:id="1398895899">
      <w:bodyDiv w:val="1"/>
      <w:marLeft w:val="0"/>
      <w:marRight w:val="0"/>
      <w:marTop w:val="0"/>
      <w:marBottom w:val="0"/>
      <w:divBdr>
        <w:top w:val="none" w:sz="0" w:space="0" w:color="auto"/>
        <w:left w:val="none" w:sz="0" w:space="0" w:color="auto"/>
        <w:bottom w:val="none" w:sz="0" w:space="0" w:color="auto"/>
        <w:right w:val="none" w:sz="0" w:space="0" w:color="auto"/>
      </w:divBdr>
    </w:div>
    <w:div w:id="1403092769">
      <w:bodyDiv w:val="1"/>
      <w:marLeft w:val="0"/>
      <w:marRight w:val="0"/>
      <w:marTop w:val="0"/>
      <w:marBottom w:val="0"/>
      <w:divBdr>
        <w:top w:val="none" w:sz="0" w:space="0" w:color="auto"/>
        <w:left w:val="none" w:sz="0" w:space="0" w:color="auto"/>
        <w:bottom w:val="none" w:sz="0" w:space="0" w:color="auto"/>
        <w:right w:val="none" w:sz="0" w:space="0" w:color="auto"/>
      </w:divBdr>
    </w:div>
    <w:div w:id="1407260645">
      <w:bodyDiv w:val="1"/>
      <w:marLeft w:val="0"/>
      <w:marRight w:val="0"/>
      <w:marTop w:val="0"/>
      <w:marBottom w:val="0"/>
      <w:divBdr>
        <w:top w:val="none" w:sz="0" w:space="0" w:color="auto"/>
        <w:left w:val="none" w:sz="0" w:space="0" w:color="auto"/>
        <w:bottom w:val="none" w:sz="0" w:space="0" w:color="auto"/>
        <w:right w:val="none" w:sz="0" w:space="0" w:color="auto"/>
      </w:divBdr>
    </w:div>
    <w:div w:id="1407462038">
      <w:bodyDiv w:val="1"/>
      <w:marLeft w:val="0"/>
      <w:marRight w:val="0"/>
      <w:marTop w:val="0"/>
      <w:marBottom w:val="0"/>
      <w:divBdr>
        <w:top w:val="none" w:sz="0" w:space="0" w:color="auto"/>
        <w:left w:val="none" w:sz="0" w:space="0" w:color="auto"/>
        <w:bottom w:val="none" w:sz="0" w:space="0" w:color="auto"/>
        <w:right w:val="none" w:sz="0" w:space="0" w:color="auto"/>
      </w:divBdr>
    </w:div>
    <w:div w:id="1409230716">
      <w:bodyDiv w:val="1"/>
      <w:marLeft w:val="0"/>
      <w:marRight w:val="0"/>
      <w:marTop w:val="0"/>
      <w:marBottom w:val="0"/>
      <w:divBdr>
        <w:top w:val="none" w:sz="0" w:space="0" w:color="auto"/>
        <w:left w:val="none" w:sz="0" w:space="0" w:color="auto"/>
        <w:bottom w:val="none" w:sz="0" w:space="0" w:color="auto"/>
        <w:right w:val="none" w:sz="0" w:space="0" w:color="auto"/>
      </w:divBdr>
    </w:div>
    <w:div w:id="1411461397">
      <w:bodyDiv w:val="1"/>
      <w:marLeft w:val="0"/>
      <w:marRight w:val="0"/>
      <w:marTop w:val="0"/>
      <w:marBottom w:val="0"/>
      <w:divBdr>
        <w:top w:val="none" w:sz="0" w:space="0" w:color="auto"/>
        <w:left w:val="none" w:sz="0" w:space="0" w:color="auto"/>
        <w:bottom w:val="none" w:sz="0" w:space="0" w:color="auto"/>
        <w:right w:val="none" w:sz="0" w:space="0" w:color="auto"/>
      </w:divBdr>
    </w:div>
    <w:div w:id="1414011422">
      <w:bodyDiv w:val="1"/>
      <w:marLeft w:val="0"/>
      <w:marRight w:val="0"/>
      <w:marTop w:val="0"/>
      <w:marBottom w:val="0"/>
      <w:divBdr>
        <w:top w:val="none" w:sz="0" w:space="0" w:color="auto"/>
        <w:left w:val="none" w:sz="0" w:space="0" w:color="auto"/>
        <w:bottom w:val="none" w:sz="0" w:space="0" w:color="auto"/>
        <w:right w:val="none" w:sz="0" w:space="0" w:color="auto"/>
      </w:divBdr>
    </w:div>
    <w:div w:id="1426223284">
      <w:bodyDiv w:val="1"/>
      <w:marLeft w:val="0"/>
      <w:marRight w:val="0"/>
      <w:marTop w:val="0"/>
      <w:marBottom w:val="0"/>
      <w:divBdr>
        <w:top w:val="none" w:sz="0" w:space="0" w:color="auto"/>
        <w:left w:val="none" w:sz="0" w:space="0" w:color="auto"/>
        <w:bottom w:val="none" w:sz="0" w:space="0" w:color="auto"/>
        <w:right w:val="none" w:sz="0" w:space="0" w:color="auto"/>
      </w:divBdr>
    </w:div>
    <w:div w:id="1426270134">
      <w:bodyDiv w:val="1"/>
      <w:marLeft w:val="0"/>
      <w:marRight w:val="0"/>
      <w:marTop w:val="0"/>
      <w:marBottom w:val="0"/>
      <w:divBdr>
        <w:top w:val="none" w:sz="0" w:space="0" w:color="auto"/>
        <w:left w:val="none" w:sz="0" w:space="0" w:color="auto"/>
        <w:bottom w:val="none" w:sz="0" w:space="0" w:color="auto"/>
        <w:right w:val="none" w:sz="0" w:space="0" w:color="auto"/>
      </w:divBdr>
    </w:div>
    <w:div w:id="1429696998">
      <w:bodyDiv w:val="1"/>
      <w:marLeft w:val="0"/>
      <w:marRight w:val="0"/>
      <w:marTop w:val="0"/>
      <w:marBottom w:val="0"/>
      <w:divBdr>
        <w:top w:val="none" w:sz="0" w:space="0" w:color="auto"/>
        <w:left w:val="none" w:sz="0" w:space="0" w:color="auto"/>
        <w:bottom w:val="none" w:sz="0" w:space="0" w:color="auto"/>
        <w:right w:val="none" w:sz="0" w:space="0" w:color="auto"/>
      </w:divBdr>
    </w:div>
    <w:div w:id="1433434322">
      <w:bodyDiv w:val="1"/>
      <w:marLeft w:val="0"/>
      <w:marRight w:val="0"/>
      <w:marTop w:val="0"/>
      <w:marBottom w:val="0"/>
      <w:divBdr>
        <w:top w:val="none" w:sz="0" w:space="0" w:color="auto"/>
        <w:left w:val="none" w:sz="0" w:space="0" w:color="auto"/>
        <w:bottom w:val="none" w:sz="0" w:space="0" w:color="auto"/>
        <w:right w:val="none" w:sz="0" w:space="0" w:color="auto"/>
      </w:divBdr>
    </w:div>
    <w:div w:id="1460955168">
      <w:bodyDiv w:val="1"/>
      <w:marLeft w:val="0"/>
      <w:marRight w:val="0"/>
      <w:marTop w:val="0"/>
      <w:marBottom w:val="0"/>
      <w:divBdr>
        <w:top w:val="none" w:sz="0" w:space="0" w:color="auto"/>
        <w:left w:val="none" w:sz="0" w:space="0" w:color="auto"/>
        <w:bottom w:val="none" w:sz="0" w:space="0" w:color="auto"/>
        <w:right w:val="none" w:sz="0" w:space="0" w:color="auto"/>
      </w:divBdr>
    </w:div>
    <w:div w:id="1468746060">
      <w:bodyDiv w:val="1"/>
      <w:marLeft w:val="0"/>
      <w:marRight w:val="0"/>
      <w:marTop w:val="0"/>
      <w:marBottom w:val="0"/>
      <w:divBdr>
        <w:top w:val="none" w:sz="0" w:space="0" w:color="auto"/>
        <w:left w:val="none" w:sz="0" w:space="0" w:color="auto"/>
        <w:bottom w:val="none" w:sz="0" w:space="0" w:color="auto"/>
        <w:right w:val="none" w:sz="0" w:space="0" w:color="auto"/>
      </w:divBdr>
    </w:div>
    <w:div w:id="1473059499">
      <w:bodyDiv w:val="1"/>
      <w:marLeft w:val="0"/>
      <w:marRight w:val="0"/>
      <w:marTop w:val="0"/>
      <w:marBottom w:val="0"/>
      <w:divBdr>
        <w:top w:val="none" w:sz="0" w:space="0" w:color="auto"/>
        <w:left w:val="none" w:sz="0" w:space="0" w:color="auto"/>
        <w:bottom w:val="none" w:sz="0" w:space="0" w:color="auto"/>
        <w:right w:val="none" w:sz="0" w:space="0" w:color="auto"/>
      </w:divBdr>
    </w:div>
    <w:div w:id="1490945516">
      <w:bodyDiv w:val="1"/>
      <w:marLeft w:val="0"/>
      <w:marRight w:val="0"/>
      <w:marTop w:val="0"/>
      <w:marBottom w:val="0"/>
      <w:divBdr>
        <w:top w:val="none" w:sz="0" w:space="0" w:color="auto"/>
        <w:left w:val="none" w:sz="0" w:space="0" w:color="auto"/>
        <w:bottom w:val="none" w:sz="0" w:space="0" w:color="auto"/>
        <w:right w:val="none" w:sz="0" w:space="0" w:color="auto"/>
      </w:divBdr>
    </w:div>
    <w:div w:id="1492021359">
      <w:bodyDiv w:val="1"/>
      <w:marLeft w:val="0"/>
      <w:marRight w:val="0"/>
      <w:marTop w:val="0"/>
      <w:marBottom w:val="0"/>
      <w:divBdr>
        <w:top w:val="none" w:sz="0" w:space="0" w:color="auto"/>
        <w:left w:val="none" w:sz="0" w:space="0" w:color="auto"/>
        <w:bottom w:val="none" w:sz="0" w:space="0" w:color="auto"/>
        <w:right w:val="none" w:sz="0" w:space="0" w:color="auto"/>
      </w:divBdr>
    </w:div>
    <w:div w:id="1494830773">
      <w:bodyDiv w:val="1"/>
      <w:marLeft w:val="0"/>
      <w:marRight w:val="0"/>
      <w:marTop w:val="0"/>
      <w:marBottom w:val="0"/>
      <w:divBdr>
        <w:top w:val="none" w:sz="0" w:space="0" w:color="auto"/>
        <w:left w:val="none" w:sz="0" w:space="0" w:color="auto"/>
        <w:bottom w:val="none" w:sz="0" w:space="0" w:color="auto"/>
        <w:right w:val="none" w:sz="0" w:space="0" w:color="auto"/>
      </w:divBdr>
    </w:div>
    <w:div w:id="1499732608">
      <w:bodyDiv w:val="1"/>
      <w:marLeft w:val="0"/>
      <w:marRight w:val="0"/>
      <w:marTop w:val="0"/>
      <w:marBottom w:val="0"/>
      <w:divBdr>
        <w:top w:val="none" w:sz="0" w:space="0" w:color="auto"/>
        <w:left w:val="none" w:sz="0" w:space="0" w:color="auto"/>
        <w:bottom w:val="none" w:sz="0" w:space="0" w:color="auto"/>
        <w:right w:val="none" w:sz="0" w:space="0" w:color="auto"/>
      </w:divBdr>
    </w:div>
    <w:div w:id="1510215712">
      <w:bodyDiv w:val="1"/>
      <w:marLeft w:val="0"/>
      <w:marRight w:val="0"/>
      <w:marTop w:val="0"/>
      <w:marBottom w:val="0"/>
      <w:divBdr>
        <w:top w:val="none" w:sz="0" w:space="0" w:color="auto"/>
        <w:left w:val="none" w:sz="0" w:space="0" w:color="auto"/>
        <w:bottom w:val="none" w:sz="0" w:space="0" w:color="auto"/>
        <w:right w:val="none" w:sz="0" w:space="0" w:color="auto"/>
      </w:divBdr>
    </w:div>
    <w:div w:id="1517694597">
      <w:bodyDiv w:val="1"/>
      <w:marLeft w:val="0"/>
      <w:marRight w:val="0"/>
      <w:marTop w:val="0"/>
      <w:marBottom w:val="0"/>
      <w:divBdr>
        <w:top w:val="none" w:sz="0" w:space="0" w:color="auto"/>
        <w:left w:val="none" w:sz="0" w:space="0" w:color="auto"/>
        <w:bottom w:val="none" w:sz="0" w:space="0" w:color="auto"/>
        <w:right w:val="none" w:sz="0" w:space="0" w:color="auto"/>
      </w:divBdr>
    </w:div>
    <w:div w:id="1525634733">
      <w:bodyDiv w:val="1"/>
      <w:marLeft w:val="0"/>
      <w:marRight w:val="0"/>
      <w:marTop w:val="0"/>
      <w:marBottom w:val="0"/>
      <w:divBdr>
        <w:top w:val="none" w:sz="0" w:space="0" w:color="auto"/>
        <w:left w:val="none" w:sz="0" w:space="0" w:color="auto"/>
        <w:bottom w:val="none" w:sz="0" w:space="0" w:color="auto"/>
        <w:right w:val="none" w:sz="0" w:space="0" w:color="auto"/>
      </w:divBdr>
    </w:div>
    <w:div w:id="1534687306">
      <w:bodyDiv w:val="1"/>
      <w:marLeft w:val="0"/>
      <w:marRight w:val="0"/>
      <w:marTop w:val="0"/>
      <w:marBottom w:val="0"/>
      <w:divBdr>
        <w:top w:val="none" w:sz="0" w:space="0" w:color="auto"/>
        <w:left w:val="none" w:sz="0" w:space="0" w:color="auto"/>
        <w:bottom w:val="none" w:sz="0" w:space="0" w:color="auto"/>
        <w:right w:val="none" w:sz="0" w:space="0" w:color="auto"/>
      </w:divBdr>
    </w:div>
    <w:div w:id="1534883676">
      <w:bodyDiv w:val="1"/>
      <w:marLeft w:val="0"/>
      <w:marRight w:val="0"/>
      <w:marTop w:val="0"/>
      <w:marBottom w:val="0"/>
      <w:divBdr>
        <w:top w:val="none" w:sz="0" w:space="0" w:color="auto"/>
        <w:left w:val="none" w:sz="0" w:space="0" w:color="auto"/>
        <w:bottom w:val="none" w:sz="0" w:space="0" w:color="auto"/>
        <w:right w:val="none" w:sz="0" w:space="0" w:color="auto"/>
      </w:divBdr>
    </w:div>
    <w:div w:id="1537618450">
      <w:bodyDiv w:val="1"/>
      <w:marLeft w:val="0"/>
      <w:marRight w:val="0"/>
      <w:marTop w:val="0"/>
      <w:marBottom w:val="0"/>
      <w:divBdr>
        <w:top w:val="none" w:sz="0" w:space="0" w:color="auto"/>
        <w:left w:val="none" w:sz="0" w:space="0" w:color="auto"/>
        <w:bottom w:val="none" w:sz="0" w:space="0" w:color="auto"/>
        <w:right w:val="none" w:sz="0" w:space="0" w:color="auto"/>
      </w:divBdr>
    </w:div>
    <w:div w:id="1541747807">
      <w:bodyDiv w:val="1"/>
      <w:marLeft w:val="0"/>
      <w:marRight w:val="0"/>
      <w:marTop w:val="0"/>
      <w:marBottom w:val="0"/>
      <w:divBdr>
        <w:top w:val="none" w:sz="0" w:space="0" w:color="auto"/>
        <w:left w:val="none" w:sz="0" w:space="0" w:color="auto"/>
        <w:bottom w:val="none" w:sz="0" w:space="0" w:color="auto"/>
        <w:right w:val="none" w:sz="0" w:space="0" w:color="auto"/>
      </w:divBdr>
    </w:div>
    <w:div w:id="1544052146">
      <w:bodyDiv w:val="1"/>
      <w:marLeft w:val="0"/>
      <w:marRight w:val="0"/>
      <w:marTop w:val="0"/>
      <w:marBottom w:val="0"/>
      <w:divBdr>
        <w:top w:val="none" w:sz="0" w:space="0" w:color="auto"/>
        <w:left w:val="none" w:sz="0" w:space="0" w:color="auto"/>
        <w:bottom w:val="none" w:sz="0" w:space="0" w:color="auto"/>
        <w:right w:val="none" w:sz="0" w:space="0" w:color="auto"/>
      </w:divBdr>
    </w:div>
    <w:div w:id="1544518354">
      <w:bodyDiv w:val="1"/>
      <w:marLeft w:val="0"/>
      <w:marRight w:val="0"/>
      <w:marTop w:val="0"/>
      <w:marBottom w:val="0"/>
      <w:divBdr>
        <w:top w:val="none" w:sz="0" w:space="0" w:color="auto"/>
        <w:left w:val="none" w:sz="0" w:space="0" w:color="auto"/>
        <w:bottom w:val="none" w:sz="0" w:space="0" w:color="auto"/>
        <w:right w:val="none" w:sz="0" w:space="0" w:color="auto"/>
      </w:divBdr>
    </w:div>
    <w:div w:id="1545292327">
      <w:bodyDiv w:val="1"/>
      <w:marLeft w:val="0"/>
      <w:marRight w:val="0"/>
      <w:marTop w:val="0"/>
      <w:marBottom w:val="0"/>
      <w:divBdr>
        <w:top w:val="none" w:sz="0" w:space="0" w:color="auto"/>
        <w:left w:val="none" w:sz="0" w:space="0" w:color="auto"/>
        <w:bottom w:val="none" w:sz="0" w:space="0" w:color="auto"/>
        <w:right w:val="none" w:sz="0" w:space="0" w:color="auto"/>
      </w:divBdr>
    </w:div>
    <w:div w:id="1545563126">
      <w:bodyDiv w:val="1"/>
      <w:marLeft w:val="0"/>
      <w:marRight w:val="0"/>
      <w:marTop w:val="0"/>
      <w:marBottom w:val="0"/>
      <w:divBdr>
        <w:top w:val="none" w:sz="0" w:space="0" w:color="auto"/>
        <w:left w:val="none" w:sz="0" w:space="0" w:color="auto"/>
        <w:bottom w:val="none" w:sz="0" w:space="0" w:color="auto"/>
        <w:right w:val="none" w:sz="0" w:space="0" w:color="auto"/>
      </w:divBdr>
    </w:div>
    <w:div w:id="1559899950">
      <w:bodyDiv w:val="1"/>
      <w:marLeft w:val="0"/>
      <w:marRight w:val="0"/>
      <w:marTop w:val="0"/>
      <w:marBottom w:val="0"/>
      <w:divBdr>
        <w:top w:val="none" w:sz="0" w:space="0" w:color="auto"/>
        <w:left w:val="none" w:sz="0" w:space="0" w:color="auto"/>
        <w:bottom w:val="none" w:sz="0" w:space="0" w:color="auto"/>
        <w:right w:val="none" w:sz="0" w:space="0" w:color="auto"/>
      </w:divBdr>
    </w:div>
    <w:div w:id="1560704709">
      <w:bodyDiv w:val="1"/>
      <w:marLeft w:val="0"/>
      <w:marRight w:val="0"/>
      <w:marTop w:val="0"/>
      <w:marBottom w:val="0"/>
      <w:divBdr>
        <w:top w:val="none" w:sz="0" w:space="0" w:color="auto"/>
        <w:left w:val="none" w:sz="0" w:space="0" w:color="auto"/>
        <w:bottom w:val="none" w:sz="0" w:space="0" w:color="auto"/>
        <w:right w:val="none" w:sz="0" w:space="0" w:color="auto"/>
      </w:divBdr>
    </w:div>
    <w:div w:id="1566911829">
      <w:bodyDiv w:val="1"/>
      <w:marLeft w:val="0"/>
      <w:marRight w:val="0"/>
      <w:marTop w:val="0"/>
      <w:marBottom w:val="0"/>
      <w:divBdr>
        <w:top w:val="none" w:sz="0" w:space="0" w:color="auto"/>
        <w:left w:val="none" w:sz="0" w:space="0" w:color="auto"/>
        <w:bottom w:val="none" w:sz="0" w:space="0" w:color="auto"/>
        <w:right w:val="none" w:sz="0" w:space="0" w:color="auto"/>
      </w:divBdr>
    </w:div>
    <w:div w:id="1603142877">
      <w:bodyDiv w:val="1"/>
      <w:marLeft w:val="0"/>
      <w:marRight w:val="0"/>
      <w:marTop w:val="0"/>
      <w:marBottom w:val="0"/>
      <w:divBdr>
        <w:top w:val="none" w:sz="0" w:space="0" w:color="auto"/>
        <w:left w:val="none" w:sz="0" w:space="0" w:color="auto"/>
        <w:bottom w:val="none" w:sz="0" w:space="0" w:color="auto"/>
        <w:right w:val="none" w:sz="0" w:space="0" w:color="auto"/>
      </w:divBdr>
    </w:div>
    <w:div w:id="1621523332">
      <w:bodyDiv w:val="1"/>
      <w:marLeft w:val="0"/>
      <w:marRight w:val="0"/>
      <w:marTop w:val="0"/>
      <w:marBottom w:val="0"/>
      <w:divBdr>
        <w:top w:val="none" w:sz="0" w:space="0" w:color="auto"/>
        <w:left w:val="none" w:sz="0" w:space="0" w:color="auto"/>
        <w:bottom w:val="none" w:sz="0" w:space="0" w:color="auto"/>
        <w:right w:val="none" w:sz="0" w:space="0" w:color="auto"/>
      </w:divBdr>
    </w:div>
    <w:div w:id="1621841342">
      <w:bodyDiv w:val="1"/>
      <w:marLeft w:val="0"/>
      <w:marRight w:val="0"/>
      <w:marTop w:val="0"/>
      <w:marBottom w:val="0"/>
      <w:divBdr>
        <w:top w:val="none" w:sz="0" w:space="0" w:color="auto"/>
        <w:left w:val="none" w:sz="0" w:space="0" w:color="auto"/>
        <w:bottom w:val="none" w:sz="0" w:space="0" w:color="auto"/>
        <w:right w:val="none" w:sz="0" w:space="0" w:color="auto"/>
      </w:divBdr>
    </w:div>
    <w:div w:id="1621959793">
      <w:bodyDiv w:val="1"/>
      <w:marLeft w:val="0"/>
      <w:marRight w:val="0"/>
      <w:marTop w:val="0"/>
      <w:marBottom w:val="0"/>
      <w:divBdr>
        <w:top w:val="none" w:sz="0" w:space="0" w:color="auto"/>
        <w:left w:val="none" w:sz="0" w:space="0" w:color="auto"/>
        <w:bottom w:val="none" w:sz="0" w:space="0" w:color="auto"/>
        <w:right w:val="none" w:sz="0" w:space="0" w:color="auto"/>
      </w:divBdr>
    </w:div>
    <w:div w:id="1624536994">
      <w:bodyDiv w:val="1"/>
      <w:marLeft w:val="0"/>
      <w:marRight w:val="0"/>
      <w:marTop w:val="0"/>
      <w:marBottom w:val="0"/>
      <w:divBdr>
        <w:top w:val="none" w:sz="0" w:space="0" w:color="auto"/>
        <w:left w:val="none" w:sz="0" w:space="0" w:color="auto"/>
        <w:bottom w:val="none" w:sz="0" w:space="0" w:color="auto"/>
        <w:right w:val="none" w:sz="0" w:space="0" w:color="auto"/>
      </w:divBdr>
    </w:div>
    <w:div w:id="1624966565">
      <w:bodyDiv w:val="1"/>
      <w:marLeft w:val="0"/>
      <w:marRight w:val="0"/>
      <w:marTop w:val="0"/>
      <w:marBottom w:val="0"/>
      <w:divBdr>
        <w:top w:val="none" w:sz="0" w:space="0" w:color="auto"/>
        <w:left w:val="none" w:sz="0" w:space="0" w:color="auto"/>
        <w:bottom w:val="none" w:sz="0" w:space="0" w:color="auto"/>
        <w:right w:val="none" w:sz="0" w:space="0" w:color="auto"/>
      </w:divBdr>
    </w:div>
    <w:div w:id="1636832735">
      <w:bodyDiv w:val="1"/>
      <w:marLeft w:val="0"/>
      <w:marRight w:val="0"/>
      <w:marTop w:val="0"/>
      <w:marBottom w:val="0"/>
      <w:divBdr>
        <w:top w:val="none" w:sz="0" w:space="0" w:color="auto"/>
        <w:left w:val="none" w:sz="0" w:space="0" w:color="auto"/>
        <w:bottom w:val="none" w:sz="0" w:space="0" w:color="auto"/>
        <w:right w:val="none" w:sz="0" w:space="0" w:color="auto"/>
      </w:divBdr>
    </w:div>
    <w:div w:id="1638218189">
      <w:bodyDiv w:val="1"/>
      <w:marLeft w:val="0"/>
      <w:marRight w:val="0"/>
      <w:marTop w:val="0"/>
      <w:marBottom w:val="0"/>
      <w:divBdr>
        <w:top w:val="none" w:sz="0" w:space="0" w:color="auto"/>
        <w:left w:val="none" w:sz="0" w:space="0" w:color="auto"/>
        <w:bottom w:val="none" w:sz="0" w:space="0" w:color="auto"/>
        <w:right w:val="none" w:sz="0" w:space="0" w:color="auto"/>
      </w:divBdr>
    </w:div>
    <w:div w:id="1639341604">
      <w:bodyDiv w:val="1"/>
      <w:marLeft w:val="0"/>
      <w:marRight w:val="0"/>
      <w:marTop w:val="0"/>
      <w:marBottom w:val="0"/>
      <w:divBdr>
        <w:top w:val="none" w:sz="0" w:space="0" w:color="auto"/>
        <w:left w:val="none" w:sz="0" w:space="0" w:color="auto"/>
        <w:bottom w:val="none" w:sz="0" w:space="0" w:color="auto"/>
        <w:right w:val="none" w:sz="0" w:space="0" w:color="auto"/>
      </w:divBdr>
    </w:div>
    <w:div w:id="1643922312">
      <w:bodyDiv w:val="1"/>
      <w:marLeft w:val="0"/>
      <w:marRight w:val="0"/>
      <w:marTop w:val="0"/>
      <w:marBottom w:val="0"/>
      <w:divBdr>
        <w:top w:val="none" w:sz="0" w:space="0" w:color="auto"/>
        <w:left w:val="none" w:sz="0" w:space="0" w:color="auto"/>
        <w:bottom w:val="none" w:sz="0" w:space="0" w:color="auto"/>
        <w:right w:val="none" w:sz="0" w:space="0" w:color="auto"/>
      </w:divBdr>
    </w:div>
    <w:div w:id="1662543401">
      <w:bodyDiv w:val="1"/>
      <w:marLeft w:val="0"/>
      <w:marRight w:val="0"/>
      <w:marTop w:val="0"/>
      <w:marBottom w:val="0"/>
      <w:divBdr>
        <w:top w:val="none" w:sz="0" w:space="0" w:color="auto"/>
        <w:left w:val="none" w:sz="0" w:space="0" w:color="auto"/>
        <w:bottom w:val="none" w:sz="0" w:space="0" w:color="auto"/>
        <w:right w:val="none" w:sz="0" w:space="0" w:color="auto"/>
      </w:divBdr>
    </w:div>
    <w:div w:id="1674259344">
      <w:bodyDiv w:val="1"/>
      <w:marLeft w:val="0"/>
      <w:marRight w:val="0"/>
      <w:marTop w:val="0"/>
      <w:marBottom w:val="0"/>
      <w:divBdr>
        <w:top w:val="none" w:sz="0" w:space="0" w:color="auto"/>
        <w:left w:val="none" w:sz="0" w:space="0" w:color="auto"/>
        <w:bottom w:val="none" w:sz="0" w:space="0" w:color="auto"/>
        <w:right w:val="none" w:sz="0" w:space="0" w:color="auto"/>
      </w:divBdr>
    </w:div>
    <w:div w:id="1677150607">
      <w:bodyDiv w:val="1"/>
      <w:marLeft w:val="0"/>
      <w:marRight w:val="0"/>
      <w:marTop w:val="0"/>
      <w:marBottom w:val="0"/>
      <w:divBdr>
        <w:top w:val="none" w:sz="0" w:space="0" w:color="auto"/>
        <w:left w:val="none" w:sz="0" w:space="0" w:color="auto"/>
        <w:bottom w:val="none" w:sz="0" w:space="0" w:color="auto"/>
        <w:right w:val="none" w:sz="0" w:space="0" w:color="auto"/>
      </w:divBdr>
    </w:div>
    <w:div w:id="1679388514">
      <w:bodyDiv w:val="1"/>
      <w:marLeft w:val="0"/>
      <w:marRight w:val="0"/>
      <w:marTop w:val="0"/>
      <w:marBottom w:val="0"/>
      <w:divBdr>
        <w:top w:val="none" w:sz="0" w:space="0" w:color="auto"/>
        <w:left w:val="none" w:sz="0" w:space="0" w:color="auto"/>
        <w:bottom w:val="none" w:sz="0" w:space="0" w:color="auto"/>
        <w:right w:val="none" w:sz="0" w:space="0" w:color="auto"/>
      </w:divBdr>
    </w:div>
    <w:div w:id="1688292227">
      <w:bodyDiv w:val="1"/>
      <w:marLeft w:val="0"/>
      <w:marRight w:val="0"/>
      <w:marTop w:val="0"/>
      <w:marBottom w:val="0"/>
      <w:divBdr>
        <w:top w:val="none" w:sz="0" w:space="0" w:color="auto"/>
        <w:left w:val="none" w:sz="0" w:space="0" w:color="auto"/>
        <w:bottom w:val="none" w:sz="0" w:space="0" w:color="auto"/>
        <w:right w:val="none" w:sz="0" w:space="0" w:color="auto"/>
      </w:divBdr>
    </w:div>
    <w:div w:id="1689017758">
      <w:bodyDiv w:val="1"/>
      <w:marLeft w:val="0"/>
      <w:marRight w:val="0"/>
      <w:marTop w:val="0"/>
      <w:marBottom w:val="0"/>
      <w:divBdr>
        <w:top w:val="none" w:sz="0" w:space="0" w:color="auto"/>
        <w:left w:val="none" w:sz="0" w:space="0" w:color="auto"/>
        <w:bottom w:val="none" w:sz="0" w:space="0" w:color="auto"/>
        <w:right w:val="none" w:sz="0" w:space="0" w:color="auto"/>
      </w:divBdr>
    </w:div>
    <w:div w:id="1691297866">
      <w:bodyDiv w:val="1"/>
      <w:marLeft w:val="0"/>
      <w:marRight w:val="0"/>
      <w:marTop w:val="0"/>
      <w:marBottom w:val="0"/>
      <w:divBdr>
        <w:top w:val="none" w:sz="0" w:space="0" w:color="auto"/>
        <w:left w:val="none" w:sz="0" w:space="0" w:color="auto"/>
        <w:bottom w:val="none" w:sz="0" w:space="0" w:color="auto"/>
        <w:right w:val="none" w:sz="0" w:space="0" w:color="auto"/>
      </w:divBdr>
    </w:div>
    <w:div w:id="1695963545">
      <w:bodyDiv w:val="1"/>
      <w:marLeft w:val="0"/>
      <w:marRight w:val="0"/>
      <w:marTop w:val="0"/>
      <w:marBottom w:val="0"/>
      <w:divBdr>
        <w:top w:val="none" w:sz="0" w:space="0" w:color="auto"/>
        <w:left w:val="none" w:sz="0" w:space="0" w:color="auto"/>
        <w:bottom w:val="none" w:sz="0" w:space="0" w:color="auto"/>
        <w:right w:val="none" w:sz="0" w:space="0" w:color="auto"/>
      </w:divBdr>
    </w:div>
    <w:div w:id="1700740714">
      <w:bodyDiv w:val="1"/>
      <w:marLeft w:val="0"/>
      <w:marRight w:val="0"/>
      <w:marTop w:val="0"/>
      <w:marBottom w:val="0"/>
      <w:divBdr>
        <w:top w:val="none" w:sz="0" w:space="0" w:color="auto"/>
        <w:left w:val="none" w:sz="0" w:space="0" w:color="auto"/>
        <w:bottom w:val="none" w:sz="0" w:space="0" w:color="auto"/>
        <w:right w:val="none" w:sz="0" w:space="0" w:color="auto"/>
      </w:divBdr>
    </w:div>
    <w:div w:id="1707363287">
      <w:bodyDiv w:val="1"/>
      <w:marLeft w:val="0"/>
      <w:marRight w:val="0"/>
      <w:marTop w:val="0"/>
      <w:marBottom w:val="0"/>
      <w:divBdr>
        <w:top w:val="none" w:sz="0" w:space="0" w:color="auto"/>
        <w:left w:val="none" w:sz="0" w:space="0" w:color="auto"/>
        <w:bottom w:val="none" w:sz="0" w:space="0" w:color="auto"/>
        <w:right w:val="none" w:sz="0" w:space="0" w:color="auto"/>
      </w:divBdr>
    </w:div>
    <w:div w:id="1707831043">
      <w:bodyDiv w:val="1"/>
      <w:marLeft w:val="0"/>
      <w:marRight w:val="0"/>
      <w:marTop w:val="0"/>
      <w:marBottom w:val="0"/>
      <w:divBdr>
        <w:top w:val="none" w:sz="0" w:space="0" w:color="auto"/>
        <w:left w:val="none" w:sz="0" w:space="0" w:color="auto"/>
        <w:bottom w:val="none" w:sz="0" w:space="0" w:color="auto"/>
        <w:right w:val="none" w:sz="0" w:space="0" w:color="auto"/>
      </w:divBdr>
    </w:div>
    <w:div w:id="1717123452">
      <w:bodyDiv w:val="1"/>
      <w:marLeft w:val="0"/>
      <w:marRight w:val="0"/>
      <w:marTop w:val="0"/>
      <w:marBottom w:val="0"/>
      <w:divBdr>
        <w:top w:val="none" w:sz="0" w:space="0" w:color="auto"/>
        <w:left w:val="none" w:sz="0" w:space="0" w:color="auto"/>
        <w:bottom w:val="none" w:sz="0" w:space="0" w:color="auto"/>
        <w:right w:val="none" w:sz="0" w:space="0" w:color="auto"/>
      </w:divBdr>
    </w:div>
    <w:div w:id="1720855053">
      <w:bodyDiv w:val="1"/>
      <w:marLeft w:val="0"/>
      <w:marRight w:val="0"/>
      <w:marTop w:val="0"/>
      <w:marBottom w:val="0"/>
      <w:divBdr>
        <w:top w:val="none" w:sz="0" w:space="0" w:color="auto"/>
        <w:left w:val="none" w:sz="0" w:space="0" w:color="auto"/>
        <w:bottom w:val="none" w:sz="0" w:space="0" w:color="auto"/>
        <w:right w:val="none" w:sz="0" w:space="0" w:color="auto"/>
      </w:divBdr>
    </w:div>
    <w:div w:id="1723167829">
      <w:bodyDiv w:val="1"/>
      <w:marLeft w:val="0"/>
      <w:marRight w:val="0"/>
      <w:marTop w:val="0"/>
      <w:marBottom w:val="0"/>
      <w:divBdr>
        <w:top w:val="none" w:sz="0" w:space="0" w:color="auto"/>
        <w:left w:val="none" w:sz="0" w:space="0" w:color="auto"/>
        <w:bottom w:val="none" w:sz="0" w:space="0" w:color="auto"/>
        <w:right w:val="none" w:sz="0" w:space="0" w:color="auto"/>
      </w:divBdr>
    </w:div>
    <w:div w:id="1723409984">
      <w:bodyDiv w:val="1"/>
      <w:marLeft w:val="0"/>
      <w:marRight w:val="0"/>
      <w:marTop w:val="0"/>
      <w:marBottom w:val="0"/>
      <w:divBdr>
        <w:top w:val="none" w:sz="0" w:space="0" w:color="auto"/>
        <w:left w:val="none" w:sz="0" w:space="0" w:color="auto"/>
        <w:bottom w:val="none" w:sz="0" w:space="0" w:color="auto"/>
        <w:right w:val="none" w:sz="0" w:space="0" w:color="auto"/>
      </w:divBdr>
    </w:div>
    <w:div w:id="1756130388">
      <w:bodyDiv w:val="1"/>
      <w:marLeft w:val="0"/>
      <w:marRight w:val="0"/>
      <w:marTop w:val="0"/>
      <w:marBottom w:val="0"/>
      <w:divBdr>
        <w:top w:val="none" w:sz="0" w:space="0" w:color="auto"/>
        <w:left w:val="none" w:sz="0" w:space="0" w:color="auto"/>
        <w:bottom w:val="none" w:sz="0" w:space="0" w:color="auto"/>
        <w:right w:val="none" w:sz="0" w:space="0" w:color="auto"/>
      </w:divBdr>
    </w:div>
    <w:div w:id="1763722531">
      <w:bodyDiv w:val="1"/>
      <w:marLeft w:val="0"/>
      <w:marRight w:val="0"/>
      <w:marTop w:val="0"/>
      <w:marBottom w:val="0"/>
      <w:divBdr>
        <w:top w:val="none" w:sz="0" w:space="0" w:color="auto"/>
        <w:left w:val="none" w:sz="0" w:space="0" w:color="auto"/>
        <w:bottom w:val="none" w:sz="0" w:space="0" w:color="auto"/>
        <w:right w:val="none" w:sz="0" w:space="0" w:color="auto"/>
      </w:divBdr>
    </w:div>
    <w:div w:id="1768580580">
      <w:bodyDiv w:val="1"/>
      <w:marLeft w:val="0"/>
      <w:marRight w:val="0"/>
      <w:marTop w:val="0"/>
      <w:marBottom w:val="0"/>
      <w:divBdr>
        <w:top w:val="none" w:sz="0" w:space="0" w:color="auto"/>
        <w:left w:val="none" w:sz="0" w:space="0" w:color="auto"/>
        <w:bottom w:val="none" w:sz="0" w:space="0" w:color="auto"/>
        <w:right w:val="none" w:sz="0" w:space="0" w:color="auto"/>
      </w:divBdr>
    </w:div>
    <w:div w:id="1770008215">
      <w:bodyDiv w:val="1"/>
      <w:marLeft w:val="0"/>
      <w:marRight w:val="0"/>
      <w:marTop w:val="0"/>
      <w:marBottom w:val="0"/>
      <w:divBdr>
        <w:top w:val="none" w:sz="0" w:space="0" w:color="auto"/>
        <w:left w:val="none" w:sz="0" w:space="0" w:color="auto"/>
        <w:bottom w:val="none" w:sz="0" w:space="0" w:color="auto"/>
        <w:right w:val="none" w:sz="0" w:space="0" w:color="auto"/>
      </w:divBdr>
    </w:div>
    <w:div w:id="1771393810">
      <w:bodyDiv w:val="1"/>
      <w:marLeft w:val="0"/>
      <w:marRight w:val="0"/>
      <w:marTop w:val="0"/>
      <w:marBottom w:val="0"/>
      <w:divBdr>
        <w:top w:val="none" w:sz="0" w:space="0" w:color="auto"/>
        <w:left w:val="none" w:sz="0" w:space="0" w:color="auto"/>
        <w:bottom w:val="none" w:sz="0" w:space="0" w:color="auto"/>
        <w:right w:val="none" w:sz="0" w:space="0" w:color="auto"/>
      </w:divBdr>
    </w:div>
    <w:div w:id="1774086958">
      <w:bodyDiv w:val="1"/>
      <w:marLeft w:val="0"/>
      <w:marRight w:val="0"/>
      <w:marTop w:val="0"/>
      <w:marBottom w:val="0"/>
      <w:divBdr>
        <w:top w:val="none" w:sz="0" w:space="0" w:color="auto"/>
        <w:left w:val="none" w:sz="0" w:space="0" w:color="auto"/>
        <w:bottom w:val="none" w:sz="0" w:space="0" w:color="auto"/>
        <w:right w:val="none" w:sz="0" w:space="0" w:color="auto"/>
      </w:divBdr>
    </w:div>
    <w:div w:id="1783574674">
      <w:bodyDiv w:val="1"/>
      <w:marLeft w:val="0"/>
      <w:marRight w:val="0"/>
      <w:marTop w:val="0"/>
      <w:marBottom w:val="0"/>
      <w:divBdr>
        <w:top w:val="none" w:sz="0" w:space="0" w:color="auto"/>
        <w:left w:val="none" w:sz="0" w:space="0" w:color="auto"/>
        <w:bottom w:val="none" w:sz="0" w:space="0" w:color="auto"/>
        <w:right w:val="none" w:sz="0" w:space="0" w:color="auto"/>
      </w:divBdr>
    </w:div>
    <w:div w:id="1786656222">
      <w:bodyDiv w:val="1"/>
      <w:marLeft w:val="0"/>
      <w:marRight w:val="0"/>
      <w:marTop w:val="0"/>
      <w:marBottom w:val="0"/>
      <w:divBdr>
        <w:top w:val="none" w:sz="0" w:space="0" w:color="auto"/>
        <w:left w:val="none" w:sz="0" w:space="0" w:color="auto"/>
        <w:bottom w:val="none" w:sz="0" w:space="0" w:color="auto"/>
        <w:right w:val="none" w:sz="0" w:space="0" w:color="auto"/>
      </w:divBdr>
    </w:div>
    <w:div w:id="1793013533">
      <w:bodyDiv w:val="1"/>
      <w:marLeft w:val="0"/>
      <w:marRight w:val="0"/>
      <w:marTop w:val="0"/>
      <w:marBottom w:val="0"/>
      <w:divBdr>
        <w:top w:val="none" w:sz="0" w:space="0" w:color="auto"/>
        <w:left w:val="none" w:sz="0" w:space="0" w:color="auto"/>
        <w:bottom w:val="none" w:sz="0" w:space="0" w:color="auto"/>
        <w:right w:val="none" w:sz="0" w:space="0" w:color="auto"/>
      </w:divBdr>
    </w:div>
    <w:div w:id="1807624815">
      <w:bodyDiv w:val="1"/>
      <w:marLeft w:val="0"/>
      <w:marRight w:val="0"/>
      <w:marTop w:val="0"/>
      <w:marBottom w:val="0"/>
      <w:divBdr>
        <w:top w:val="none" w:sz="0" w:space="0" w:color="auto"/>
        <w:left w:val="none" w:sz="0" w:space="0" w:color="auto"/>
        <w:bottom w:val="none" w:sz="0" w:space="0" w:color="auto"/>
        <w:right w:val="none" w:sz="0" w:space="0" w:color="auto"/>
      </w:divBdr>
    </w:div>
    <w:div w:id="1807813035">
      <w:bodyDiv w:val="1"/>
      <w:marLeft w:val="0"/>
      <w:marRight w:val="0"/>
      <w:marTop w:val="0"/>
      <w:marBottom w:val="0"/>
      <w:divBdr>
        <w:top w:val="none" w:sz="0" w:space="0" w:color="auto"/>
        <w:left w:val="none" w:sz="0" w:space="0" w:color="auto"/>
        <w:bottom w:val="none" w:sz="0" w:space="0" w:color="auto"/>
        <w:right w:val="none" w:sz="0" w:space="0" w:color="auto"/>
      </w:divBdr>
    </w:div>
    <w:div w:id="1808008586">
      <w:bodyDiv w:val="1"/>
      <w:marLeft w:val="0"/>
      <w:marRight w:val="0"/>
      <w:marTop w:val="0"/>
      <w:marBottom w:val="0"/>
      <w:divBdr>
        <w:top w:val="none" w:sz="0" w:space="0" w:color="auto"/>
        <w:left w:val="none" w:sz="0" w:space="0" w:color="auto"/>
        <w:bottom w:val="none" w:sz="0" w:space="0" w:color="auto"/>
        <w:right w:val="none" w:sz="0" w:space="0" w:color="auto"/>
      </w:divBdr>
    </w:div>
    <w:div w:id="1813912163">
      <w:bodyDiv w:val="1"/>
      <w:marLeft w:val="0"/>
      <w:marRight w:val="0"/>
      <w:marTop w:val="0"/>
      <w:marBottom w:val="0"/>
      <w:divBdr>
        <w:top w:val="none" w:sz="0" w:space="0" w:color="auto"/>
        <w:left w:val="none" w:sz="0" w:space="0" w:color="auto"/>
        <w:bottom w:val="none" w:sz="0" w:space="0" w:color="auto"/>
        <w:right w:val="none" w:sz="0" w:space="0" w:color="auto"/>
      </w:divBdr>
    </w:div>
    <w:div w:id="1814643067">
      <w:bodyDiv w:val="1"/>
      <w:marLeft w:val="0"/>
      <w:marRight w:val="0"/>
      <w:marTop w:val="0"/>
      <w:marBottom w:val="0"/>
      <w:divBdr>
        <w:top w:val="none" w:sz="0" w:space="0" w:color="auto"/>
        <w:left w:val="none" w:sz="0" w:space="0" w:color="auto"/>
        <w:bottom w:val="none" w:sz="0" w:space="0" w:color="auto"/>
        <w:right w:val="none" w:sz="0" w:space="0" w:color="auto"/>
      </w:divBdr>
    </w:div>
    <w:div w:id="1818108316">
      <w:bodyDiv w:val="1"/>
      <w:marLeft w:val="0"/>
      <w:marRight w:val="0"/>
      <w:marTop w:val="0"/>
      <w:marBottom w:val="0"/>
      <w:divBdr>
        <w:top w:val="none" w:sz="0" w:space="0" w:color="auto"/>
        <w:left w:val="none" w:sz="0" w:space="0" w:color="auto"/>
        <w:bottom w:val="none" w:sz="0" w:space="0" w:color="auto"/>
        <w:right w:val="none" w:sz="0" w:space="0" w:color="auto"/>
      </w:divBdr>
    </w:div>
    <w:div w:id="1821076237">
      <w:bodyDiv w:val="1"/>
      <w:marLeft w:val="0"/>
      <w:marRight w:val="0"/>
      <w:marTop w:val="0"/>
      <w:marBottom w:val="0"/>
      <w:divBdr>
        <w:top w:val="none" w:sz="0" w:space="0" w:color="auto"/>
        <w:left w:val="none" w:sz="0" w:space="0" w:color="auto"/>
        <w:bottom w:val="none" w:sz="0" w:space="0" w:color="auto"/>
        <w:right w:val="none" w:sz="0" w:space="0" w:color="auto"/>
      </w:divBdr>
    </w:div>
    <w:div w:id="1837454077">
      <w:bodyDiv w:val="1"/>
      <w:marLeft w:val="0"/>
      <w:marRight w:val="0"/>
      <w:marTop w:val="0"/>
      <w:marBottom w:val="0"/>
      <w:divBdr>
        <w:top w:val="none" w:sz="0" w:space="0" w:color="auto"/>
        <w:left w:val="none" w:sz="0" w:space="0" w:color="auto"/>
        <w:bottom w:val="none" w:sz="0" w:space="0" w:color="auto"/>
        <w:right w:val="none" w:sz="0" w:space="0" w:color="auto"/>
      </w:divBdr>
    </w:div>
    <w:div w:id="1838837273">
      <w:bodyDiv w:val="1"/>
      <w:marLeft w:val="0"/>
      <w:marRight w:val="0"/>
      <w:marTop w:val="0"/>
      <w:marBottom w:val="0"/>
      <w:divBdr>
        <w:top w:val="none" w:sz="0" w:space="0" w:color="auto"/>
        <w:left w:val="none" w:sz="0" w:space="0" w:color="auto"/>
        <w:bottom w:val="none" w:sz="0" w:space="0" w:color="auto"/>
        <w:right w:val="none" w:sz="0" w:space="0" w:color="auto"/>
      </w:divBdr>
    </w:div>
    <w:div w:id="1841388638">
      <w:bodyDiv w:val="1"/>
      <w:marLeft w:val="0"/>
      <w:marRight w:val="0"/>
      <w:marTop w:val="0"/>
      <w:marBottom w:val="0"/>
      <w:divBdr>
        <w:top w:val="none" w:sz="0" w:space="0" w:color="auto"/>
        <w:left w:val="none" w:sz="0" w:space="0" w:color="auto"/>
        <w:bottom w:val="none" w:sz="0" w:space="0" w:color="auto"/>
        <w:right w:val="none" w:sz="0" w:space="0" w:color="auto"/>
      </w:divBdr>
    </w:div>
    <w:div w:id="1858884752">
      <w:bodyDiv w:val="1"/>
      <w:marLeft w:val="0"/>
      <w:marRight w:val="0"/>
      <w:marTop w:val="0"/>
      <w:marBottom w:val="0"/>
      <w:divBdr>
        <w:top w:val="none" w:sz="0" w:space="0" w:color="auto"/>
        <w:left w:val="none" w:sz="0" w:space="0" w:color="auto"/>
        <w:bottom w:val="none" w:sz="0" w:space="0" w:color="auto"/>
        <w:right w:val="none" w:sz="0" w:space="0" w:color="auto"/>
      </w:divBdr>
    </w:div>
    <w:div w:id="1861889730">
      <w:bodyDiv w:val="1"/>
      <w:marLeft w:val="0"/>
      <w:marRight w:val="0"/>
      <w:marTop w:val="0"/>
      <w:marBottom w:val="0"/>
      <w:divBdr>
        <w:top w:val="none" w:sz="0" w:space="0" w:color="auto"/>
        <w:left w:val="none" w:sz="0" w:space="0" w:color="auto"/>
        <w:bottom w:val="none" w:sz="0" w:space="0" w:color="auto"/>
        <w:right w:val="none" w:sz="0" w:space="0" w:color="auto"/>
      </w:divBdr>
    </w:div>
    <w:div w:id="1872716671">
      <w:bodyDiv w:val="1"/>
      <w:marLeft w:val="0"/>
      <w:marRight w:val="0"/>
      <w:marTop w:val="0"/>
      <w:marBottom w:val="0"/>
      <w:divBdr>
        <w:top w:val="none" w:sz="0" w:space="0" w:color="auto"/>
        <w:left w:val="none" w:sz="0" w:space="0" w:color="auto"/>
        <w:bottom w:val="none" w:sz="0" w:space="0" w:color="auto"/>
        <w:right w:val="none" w:sz="0" w:space="0" w:color="auto"/>
      </w:divBdr>
    </w:div>
    <w:div w:id="1881015043">
      <w:bodyDiv w:val="1"/>
      <w:marLeft w:val="0"/>
      <w:marRight w:val="0"/>
      <w:marTop w:val="0"/>
      <w:marBottom w:val="0"/>
      <w:divBdr>
        <w:top w:val="none" w:sz="0" w:space="0" w:color="auto"/>
        <w:left w:val="none" w:sz="0" w:space="0" w:color="auto"/>
        <w:bottom w:val="none" w:sz="0" w:space="0" w:color="auto"/>
        <w:right w:val="none" w:sz="0" w:space="0" w:color="auto"/>
      </w:divBdr>
    </w:div>
    <w:div w:id="1888491933">
      <w:bodyDiv w:val="1"/>
      <w:marLeft w:val="0"/>
      <w:marRight w:val="0"/>
      <w:marTop w:val="0"/>
      <w:marBottom w:val="0"/>
      <w:divBdr>
        <w:top w:val="none" w:sz="0" w:space="0" w:color="auto"/>
        <w:left w:val="none" w:sz="0" w:space="0" w:color="auto"/>
        <w:bottom w:val="none" w:sz="0" w:space="0" w:color="auto"/>
        <w:right w:val="none" w:sz="0" w:space="0" w:color="auto"/>
      </w:divBdr>
    </w:div>
    <w:div w:id="1888495080">
      <w:bodyDiv w:val="1"/>
      <w:marLeft w:val="0"/>
      <w:marRight w:val="0"/>
      <w:marTop w:val="0"/>
      <w:marBottom w:val="0"/>
      <w:divBdr>
        <w:top w:val="none" w:sz="0" w:space="0" w:color="auto"/>
        <w:left w:val="none" w:sz="0" w:space="0" w:color="auto"/>
        <w:bottom w:val="none" w:sz="0" w:space="0" w:color="auto"/>
        <w:right w:val="none" w:sz="0" w:space="0" w:color="auto"/>
      </w:divBdr>
    </w:div>
    <w:div w:id="1889367009">
      <w:bodyDiv w:val="1"/>
      <w:marLeft w:val="0"/>
      <w:marRight w:val="0"/>
      <w:marTop w:val="0"/>
      <w:marBottom w:val="0"/>
      <w:divBdr>
        <w:top w:val="none" w:sz="0" w:space="0" w:color="auto"/>
        <w:left w:val="none" w:sz="0" w:space="0" w:color="auto"/>
        <w:bottom w:val="none" w:sz="0" w:space="0" w:color="auto"/>
        <w:right w:val="none" w:sz="0" w:space="0" w:color="auto"/>
      </w:divBdr>
    </w:div>
    <w:div w:id="1904102318">
      <w:bodyDiv w:val="1"/>
      <w:marLeft w:val="0"/>
      <w:marRight w:val="0"/>
      <w:marTop w:val="0"/>
      <w:marBottom w:val="0"/>
      <w:divBdr>
        <w:top w:val="none" w:sz="0" w:space="0" w:color="auto"/>
        <w:left w:val="none" w:sz="0" w:space="0" w:color="auto"/>
        <w:bottom w:val="none" w:sz="0" w:space="0" w:color="auto"/>
        <w:right w:val="none" w:sz="0" w:space="0" w:color="auto"/>
      </w:divBdr>
    </w:div>
    <w:div w:id="1905721821">
      <w:bodyDiv w:val="1"/>
      <w:marLeft w:val="0"/>
      <w:marRight w:val="0"/>
      <w:marTop w:val="0"/>
      <w:marBottom w:val="0"/>
      <w:divBdr>
        <w:top w:val="none" w:sz="0" w:space="0" w:color="auto"/>
        <w:left w:val="none" w:sz="0" w:space="0" w:color="auto"/>
        <w:bottom w:val="none" w:sz="0" w:space="0" w:color="auto"/>
        <w:right w:val="none" w:sz="0" w:space="0" w:color="auto"/>
      </w:divBdr>
    </w:div>
    <w:div w:id="1906524650">
      <w:bodyDiv w:val="1"/>
      <w:marLeft w:val="0"/>
      <w:marRight w:val="0"/>
      <w:marTop w:val="0"/>
      <w:marBottom w:val="0"/>
      <w:divBdr>
        <w:top w:val="none" w:sz="0" w:space="0" w:color="auto"/>
        <w:left w:val="none" w:sz="0" w:space="0" w:color="auto"/>
        <w:bottom w:val="none" w:sz="0" w:space="0" w:color="auto"/>
        <w:right w:val="none" w:sz="0" w:space="0" w:color="auto"/>
      </w:divBdr>
    </w:div>
    <w:div w:id="1906529111">
      <w:bodyDiv w:val="1"/>
      <w:marLeft w:val="0"/>
      <w:marRight w:val="0"/>
      <w:marTop w:val="0"/>
      <w:marBottom w:val="0"/>
      <w:divBdr>
        <w:top w:val="none" w:sz="0" w:space="0" w:color="auto"/>
        <w:left w:val="none" w:sz="0" w:space="0" w:color="auto"/>
        <w:bottom w:val="none" w:sz="0" w:space="0" w:color="auto"/>
        <w:right w:val="none" w:sz="0" w:space="0" w:color="auto"/>
      </w:divBdr>
    </w:div>
    <w:div w:id="1911843601">
      <w:bodyDiv w:val="1"/>
      <w:marLeft w:val="0"/>
      <w:marRight w:val="0"/>
      <w:marTop w:val="0"/>
      <w:marBottom w:val="0"/>
      <w:divBdr>
        <w:top w:val="none" w:sz="0" w:space="0" w:color="auto"/>
        <w:left w:val="none" w:sz="0" w:space="0" w:color="auto"/>
        <w:bottom w:val="none" w:sz="0" w:space="0" w:color="auto"/>
        <w:right w:val="none" w:sz="0" w:space="0" w:color="auto"/>
      </w:divBdr>
    </w:div>
    <w:div w:id="1912503272">
      <w:bodyDiv w:val="1"/>
      <w:marLeft w:val="0"/>
      <w:marRight w:val="0"/>
      <w:marTop w:val="0"/>
      <w:marBottom w:val="0"/>
      <w:divBdr>
        <w:top w:val="none" w:sz="0" w:space="0" w:color="auto"/>
        <w:left w:val="none" w:sz="0" w:space="0" w:color="auto"/>
        <w:bottom w:val="none" w:sz="0" w:space="0" w:color="auto"/>
        <w:right w:val="none" w:sz="0" w:space="0" w:color="auto"/>
      </w:divBdr>
    </w:div>
    <w:div w:id="1915579838">
      <w:bodyDiv w:val="1"/>
      <w:marLeft w:val="0"/>
      <w:marRight w:val="0"/>
      <w:marTop w:val="0"/>
      <w:marBottom w:val="0"/>
      <w:divBdr>
        <w:top w:val="none" w:sz="0" w:space="0" w:color="auto"/>
        <w:left w:val="none" w:sz="0" w:space="0" w:color="auto"/>
        <w:bottom w:val="none" w:sz="0" w:space="0" w:color="auto"/>
        <w:right w:val="none" w:sz="0" w:space="0" w:color="auto"/>
      </w:divBdr>
    </w:div>
    <w:div w:id="1919558682">
      <w:bodyDiv w:val="1"/>
      <w:marLeft w:val="0"/>
      <w:marRight w:val="0"/>
      <w:marTop w:val="0"/>
      <w:marBottom w:val="0"/>
      <w:divBdr>
        <w:top w:val="none" w:sz="0" w:space="0" w:color="auto"/>
        <w:left w:val="none" w:sz="0" w:space="0" w:color="auto"/>
        <w:bottom w:val="none" w:sz="0" w:space="0" w:color="auto"/>
        <w:right w:val="none" w:sz="0" w:space="0" w:color="auto"/>
      </w:divBdr>
    </w:div>
    <w:div w:id="1923180174">
      <w:bodyDiv w:val="1"/>
      <w:marLeft w:val="0"/>
      <w:marRight w:val="0"/>
      <w:marTop w:val="0"/>
      <w:marBottom w:val="0"/>
      <w:divBdr>
        <w:top w:val="none" w:sz="0" w:space="0" w:color="auto"/>
        <w:left w:val="none" w:sz="0" w:space="0" w:color="auto"/>
        <w:bottom w:val="none" w:sz="0" w:space="0" w:color="auto"/>
        <w:right w:val="none" w:sz="0" w:space="0" w:color="auto"/>
      </w:divBdr>
    </w:div>
    <w:div w:id="1923565660">
      <w:bodyDiv w:val="1"/>
      <w:marLeft w:val="0"/>
      <w:marRight w:val="0"/>
      <w:marTop w:val="0"/>
      <w:marBottom w:val="0"/>
      <w:divBdr>
        <w:top w:val="none" w:sz="0" w:space="0" w:color="auto"/>
        <w:left w:val="none" w:sz="0" w:space="0" w:color="auto"/>
        <w:bottom w:val="none" w:sz="0" w:space="0" w:color="auto"/>
        <w:right w:val="none" w:sz="0" w:space="0" w:color="auto"/>
      </w:divBdr>
    </w:div>
    <w:div w:id="1945795698">
      <w:bodyDiv w:val="1"/>
      <w:marLeft w:val="0"/>
      <w:marRight w:val="0"/>
      <w:marTop w:val="0"/>
      <w:marBottom w:val="0"/>
      <w:divBdr>
        <w:top w:val="none" w:sz="0" w:space="0" w:color="auto"/>
        <w:left w:val="none" w:sz="0" w:space="0" w:color="auto"/>
        <w:bottom w:val="none" w:sz="0" w:space="0" w:color="auto"/>
        <w:right w:val="none" w:sz="0" w:space="0" w:color="auto"/>
      </w:divBdr>
    </w:div>
    <w:div w:id="1952010915">
      <w:bodyDiv w:val="1"/>
      <w:marLeft w:val="0"/>
      <w:marRight w:val="0"/>
      <w:marTop w:val="0"/>
      <w:marBottom w:val="0"/>
      <w:divBdr>
        <w:top w:val="none" w:sz="0" w:space="0" w:color="auto"/>
        <w:left w:val="none" w:sz="0" w:space="0" w:color="auto"/>
        <w:bottom w:val="none" w:sz="0" w:space="0" w:color="auto"/>
        <w:right w:val="none" w:sz="0" w:space="0" w:color="auto"/>
      </w:divBdr>
    </w:div>
    <w:div w:id="1953126327">
      <w:bodyDiv w:val="1"/>
      <w:marLeft w:val="0"/>
      <w:marRight w:val="0"/>
      <w:marTop w:val="0"/>
      <w:marBottom w:val="0"/>
      <w:divBdr>
        <w:top w:val="none" w:sz="0" w:space="0" w:color="auto"/>
        <w:left w:val="none" w:sz="0" w:space="0" w:color="auto"/>
        <w:bottom w:val="none" w:sz="0" w:space="0" w:color="auto"/>
        <w:right w:val="none" w:sz="0" w:space="0" w:color="auto"/>
      </w:divBdr>
    </w:div>
    <w:div w:id="1957324116">
      <w:bodyDiv w:val="1"/>
      <w:marLeft w:val="0"/>
      <w:marRight w:val="0"/>
      <w:marTop w:val="0"/>
      <w:marBottom w:val="0"/>
      <w:divBdr>
        <w:top w:val="none" w:sz="0" w:space="0" w:color="auto"/>
        <w:left w:val="none" w:sz="0" w:space="0" w:color="auto"/>
        <w:bottom w:val="none" w:sz="0" w:space="0" w:color="auto"/>
        <w:right w:val="none" w:sz="0" w:space="0" w:color="auto"/>
      </w:divBdr>
    </w:div>
    <w:div w:id="1969508759">
      <w:bodyDiv w:val="1"/>
      <w:marLeft w:val="0"/>
      <w:marRight w:val="0"/>
      <w:marTop w:val="0"/>
      <w:marBottom w:val="0"/>
      <w:divBdr>
        <w:top w:val="none" w:sz="0" w:space="0" w:color="auto"/>
        <w:left w:val="none" w:sz="0" w:space="0" w:color="auto"/>
        <w:bottom w:val="none" w:sz="0" w:space="0" w:color="auto"/>
        <w:right w:val="none" w:sz="0" w:space="0" w:color="auto"/>
      </w:divBdr>
    </w:div>
    <w:div w:id="1974604379">
      <w:bodyDiv w:val="1"/>
      <w:marLeft w:val="0"/>
      <w:marRight w:val="0"/>
      <w:marTop w:val="0"/>
      <w:marBottom w:val="0"/>
      <w:divBdr>
        <w:top w:val="none" w:sz="0" w:space="0" w:color="auto"/>
        <w:left w:val="none" w:sz="0" w:space="0" w:color="auto"/>
        <w:bottom w:val="none" w:sz="0" w:space="0" w:color="auto"/>
        <w:right w:val="none" w:sz="0" w:space="0" w:color="auto"/>
      </w:divBdr>
    </w:div>
    <w:div w:id="1996228195">
      <w:bodyDiv w:val="1"/>
      <w:marLeft w:val="0"/>
      <w:marRight w:val="0"/>
      <w:marTop w:val="0"/>
      <w:marBottom w:val="0"/>
      <w:divBdr>
        <w:top w:val="none" w:sz="0" w:space="0" w:color="auto"/>
        <w:left w:val="none" w:sz="0" w:space="0" w:color="auto"/>
        <w:bottom w:val="none" w:sz="0" w:space="0" w:color="auto"/>
        <w:right w:val="none" w:sz="0" w:space="0" w:color="auto"/>
      </w:divBdr>
    </w:div>
    <w:div w:id="2000889156">
      <w:bodyDiv w:val="1"/>
      <w:marLeft w:val="0"/>
      <w:marRight w:val="0"/>
      <w:marTop w:val="0"/>
      <w:marBottom w:val="0"/>
      <w:divBdr>
        <w:top w:val="none" w:sz="0" w:space="0" w:color="auto"/>
        <w:left w:val="none" w:sz="0" w:space="0" w:color="auto"/>
        <w:bottom w:val="none" w:sz="0" w:space="0" w:color="auto"/>
        <w:right w:val="none" w:sz="0" w:space="0" w:color="auto"/>
      </w:divBdr>
    </w:div>
    <w:div w:id="2005741410">
      <w:bodyDiv w:val="1"/>
      <w:marLeft w:val="0"/>
      <w:marRight w:val="0"/>
      <w:marTop w:val="0"/>
      <w:marBottom w:val="0"/>
      <w:divBdr>
        <w:top w:val="none" w:sz="0" w:space="0" w:color="auto"/>
        <w:left w:val="none" w:sz="0" w:space="0" w:color="auto"/>
        <w:bottom w:val="none" w:sz="0" w:space="0" w:color="auto"/>
        <w:right w:val="none" w:sz="0" w:space="0" w:color="auto"/>
      </w:divBdr>
    </w:div>
    <w:div w:id="2018576982">
      <w:bodyDiv w:val="1"/>
      <w:marLeft w:val="0"/>
      <w:marRight w:val="0"/>
      <w:marTop w:val="0"/>
      <w:marBottom w:val="0"/>
      <w:divBdr>
        <w:top w:val="none" w:sz="0" w:space="0" w:color="auto"/>
        <w:left w:val="none" w:sz="0" w:space="0" w:color="auto"/>
        <w:bottom w:val="none" w:sz="0" w:space="0" w:color="auto"/>
        <w:right w:val="none" w:sz="0" w:space="0" w:color="auto"/>
      </w:divBdr>
    </w:div>
    <w:div w:id="2027055455">
      <w:bodyDiv w:val="1"/>
      <w:marLeft w:val="0"/>
      <w:marRight w:val="0"/>
      <w:marTop w:val="0"/>
      <w:marBottom w:val="0"/>
      <w:divBdr>
        <w:top w:val="none" w:sz="0" w:space="0" w:color="auto"/>
        <w:left w:val="none" w:sz="0" w:space="0" w:color="auto"/>
        <w:bottom w:val="none" w:sz="0" w:space="0" w:color="auto"/>
        <w:right w:val="none" w:sz="0" w:space="0" w:color="auto"/>
      </w:divBdr>
    </w:div>
    <w:div w:id="2028409030">
      <w:bodyDiv w:val="1"/>
      <w:marLeft w:val="0"/>
      <w:marRight w:val="0"/>
      <w:marTop w:val="0"/>
      <w:marBottom w:val="0"/>
      <w:divBdr>
        <w:top w:val="none" w:sz="0" w:space="0" w:color="auto"/>
        <w:left w:val="none" w:sz="0" w:space="0" w:color="auto"/>
        <w:bottom w:val="none" w:sz="0" w:space="0" w:color="auto"/>
        <w:right w:val="none" w:sz="0" w:space="0" w:color="auto"/>
      </w:divBdr>
    </w:div>
    <w:div w:id="2031832306">
      <w:bodyDiv w:val="1"/>
      <w:marLeft w:val="0"/>
      <w:marRight w:val="0"/>
      <w:marTop w:val="0"/>
      <w:marBottom w:val="0"/>
      <w:divBdr>
        <w:top w:val="none" w:sz="0" w:space="0" w:color="auto"/>
        <w:left w:val="none" w:sz="0" w:space="0" w:color="auto"/>
        <w:bottom w:val="none" w:sz="0" w:space="0" w:color="auto"/>
        <w:right w:val="none" w:sz="0" w:space="0" w:color="auto"/>
      </w:divBdr>
    </w:div>
    <w:div w:id="2035694200">
      <w:bodyDiv w:val="1"/>
      <w:marLeft w:val="0"/>
      <w:marRight w:val="0"/>
      <w:marTop w:val="0"/>
      <w:marBottom w:val="0"/>
      <w:divBdr>
        <w:top w:val="none" w:sz="0" w:space="0" w:color="auto"/>
        <w:left w:val="none" w:sz="0" w:space="0" w:color="auto"/>
        <w:bottom w:val="none" w:sz="0" w:space="0" w:color="auto"/>
        <w:right w:val="none" w:sz="0" w:space="0" w:color="auto"/>
      </w:divBdr>
    </w:div>
    <w:div w:id="2041972870">
      <w:bodyDiv w:val="1"/>
      <w:marLeft w:val="0"/>
      <w:marRight w:val="0"/>
      <w:marTop w:val="0"/>
      <w:marBottom w:val="0"/>
      <w:divBdr>
        <w:top w:val="none" w:sz="0" w:space="0" w:color="auto"/>
        <w:left w:val="none" w:sz="0" w:space="0" w:color="auto"/>
        <w:bottom w:val="none" w:sz="0" w:space="0" w:color="auto"/>
        <w:right w:val="none" w:sz="0" w:space="0" w:color="auto"/>
      </w:divBdr>
    </w:div>
    <w:div w:id="2045057658">
      <w:bodyDiv w:val="1"/>
      <w:marLeft w:val="0"/>
      <w:marRight w:val="0"/>
      <w:marTop w:val="0"/>
      <w:marBottom w:val="0"/>
      <w:divBdr>
        <w:top w:val="none" w:sz="0" w:space="0" w:color="auto"/>
        <w:left w:val="none" w:sz="0" w:space="0" w:color="auto"/>
        <w:bottom w:val="none" w:sz="0" w:space="0" w:color="auto"/>
        <w:right w:val="none" w:sz="0" w:space="0" w:color="auto"/>
      </w:divBdr>
    </w:div>
    <w:div w:id="2046830711">
      <w:bodyDiv w:val="1"/>
      <w:marLeft w:val="0"/>
      <w:marRight w:val="0"/>
      <w:marTop w:val="0"/>
      <w:marBottom w:val="0"/>
      <w:divBdr>
        <w:top w:val="none" w:sz="0" w:space="0" w:color="auto"/>
        <w:left w:val="none" w:sz="0" w:space="0" w:color="auto"/>
        <w:bottom w:val="none" w:sz="0" w:space="0" w:color="auto"/>
        <w:right w:val="none" w:sz="0" w:space="0" w:color="auto"/>
      </w:divBdr>
    </w:div>
    <w:div w:id="2047870560">
      <w:bodyDiv w:val="1"/>
      <w:marLeft w:val="0"/>
      <w:marRight w:val="0"/>
      <w:marTop w:val="0"/>
      <w:marBottom w:val="0"/>
      <w:divBdr>
        <w:top w:val="none" w:sz="0" w:space="0" w:color="auto"/>
        <w:left w:val="none" w:sz="0" w:space="0" w:color="auto"/>
        <w:bottom w:val="none" w:sz="0" w:space="0" w:color="auto"/>
        <w:right w:val="none" w:sz="0" w:space="0" w:color="auto"/>
      </w:divBdr>
    </w:div>
    <w:div w:id="2051687124">
      <w:bodyDiv w:val="1"/>
      <w:marLeft w:val="0"/>
      <w:marRight w:val="0"/>
      <w:marTop w:val="0"/>
      <w:marBottom w:val="0"/>
      <w:divBdr>
        <w:top w:val="none" w:sz="0" w:space="0" w:color="auto"/>
        <w:left w:val="none" w:sz="0" w:space="0" w:color="auto"/>
        <w:bottom w:val="none" w:sz="0" w:space="0" w:color="auto"/>
        <w:right w:val="none" w:sz="0" w:space="0" w:color="auto"/>
      </w:divBdr>
    </w:div>
    <w:div w:id="2063867235">
      <w:bodyDiv w:val="1"/>
      <w:marLeft w:val="0"/>
      <w:marRight w:val="0"/>
      <w:marTop w:val="0"/>
      <w:marBottom w:val="0"/>
      <w:divBdr>
        <w:top w:val="none" w:sz="0" w:space="0" w:color="auto"/>
        <w:left w:val="none" w:sz="0" w:space="0" w:color="auto"/>
        <w:bottom w:val="none" w:sz="0" w:space="0" w:color="auto"/>
        <w:right w:val="none" w:sz="0" w:space="0" w:color="auto"/>
      </w:divBdr>
    </w:div>
    <w:div w:id="2069260156">
      <w:bodyDiv w:val="1"/>
      <w:marLeft w:val="0"/>
      <w:marRight w:val="0"/>
      <w:marTop w:val="0"/>
      <w:marBottom w:val="0"/>
      <w:divBdr>
        <w:top w:val="none" w:sz="0" w:space="0" w:color="auto"/>
        <w:left w:val="none" w:sz="0" w:space="0" w:color="auto"/>
        <w:bottom w:val="none" w:sz="0" w:space="0" w:color="auto"/>
        <w:right w:val="none" w:sz="0" w:space="0" w:color="auto"/>
      </w:divBdr>
    </w:div>
    <w:div w:id="2069526268">
      <w:bodyDiv w:val="1"/>
      <w:marLeft w:val="0"/>
      <w:marRight w:val="0"/>
      <w:marTop w:val="0"/>
      <w:marBottom w:val="0"/>
      <w:divBdr>
        <w:top w:val="none" w:sz="0" w:space="0" w:color="auto"/>
        <w:left w:val="none" w:sz="0" w:space="0" w:color="auto"/>
        <w:bottom w:val="none" w:sz="0" w:space="0" w:color="auto"/>
        <w:right w:val="none" w:sz="0" w:space="0" w:color="auto"/>
      </w:divBdr>
    </w:div>
    <w:div w:id="2075621862">
      <w:bodyDiv w:val="1"/>
      <w:marLeft w:val="0"/>
      <w:marRight w:val="0"/>
      <w:marTop w:val="0"/>
      <w:marBottom w:val="0"/>
      <w:divBdr>
        <w:top w:val="none" w:sz="0" w:space="0" w:color="auto"/>
        <w:left w:val="none" w:sz="0" w:space="0" w:color="auto"/>
        <w:bottom w:val="none" w:sz="0" w:space="0" w:color="auto"/>
        <w:right w:val="none" w:sz="0" w:space="0" w:color="auto"/>
      </w:divBdr>
    </w:div>
    <w:div w:id="2076472459">
      <w:bodyDiv w:val="1"/>
      <w:marLeft w:val="0"/>
      <w:marRight w:val="0"/>
      <w:marTop w:val="0"/>
      <w:marBottom w:val="0"/>
      <w:divBdr>
        <w:top w:val="none" w:sz="0" w:space="0" w:color="auto"/>
        <w:left w:val="none" w:sz="0" w:space="0" w:color="auto"/>
        <w:bottom w:val="none" w:sz="0" w:space="0" w:color="auto"/>
        <w:right w:val="none" w:sz="0" w:space="0" w:color="auto"/>
      </w:divBdr>
    </w:div>
    <w:div w:id="2083061846">
      <w:bodyDiv w:val="1"/>
      <w:marLeft w:val="0"/>
      <w:marRight w:val="0"/>
      <w:marTop w:val="0"/>
      <w:marBottom w:val="0"/>
      <w:divBdr>
        <w:top w:val="none" w:sz="0" w:space="0" w:color="auto"/>
        <w:left w:val="none" w:sz="0" w:space="0" w:color="auto"/>
        <w:bottom w:val="none" w:sz="0" w:space="0" w:color="auto"/>
        <w:right w:val="none" w:sz="0" w:space="0" w:color="auto"/>
      </w:divBdr>
    </w:div>
    <w:div w:id="2086342539">
      <w:bodyDiv w:val="1"/>
      <w:marLeft w:val="0"/>
      <w:marRight w:val="0"/>
      <w:marTop w:val="0"/>
      <w:marBottom w:val="0"/>
      <w:divBdr>
        <w:top w:val="none" w:sz="0" w:space="0" w:color="auto"/>
        <w:left w:val="none" w:sz="0" w:space="0" w:color="auto"/>
        <w:bottom w:val="none" w:sz="0" w:space="0" w:color="auto"/>
        <w:right w:val="none" w:sz="0" w:space="0" w:color="auto"/>
      </w:divBdr>
    </w:div>
    <w:div w:id="2087220479">
      <w:bodyDiv w:val="1"/>
      <w:marLeft w:val="0"/>
      <w:marRight w:val="0"/>
      <w:marTop w:val="0"/>
      <w:marBottom w:val="0"/>
      <w:divBdr>
        <w:top w:val="none" w:sz="0" w:space="0" w:color="auto"/>
        <w:left w:val="none" w:sz="0" w:space="0" w:color="auto"/>
        <w:bottom w:val="none" w:sz="0" w:space="0" w:color="auto"/>
        <w:right w:val="none" w:sz="0" w:space="0" w:color="auto"/>
      </w:divBdr>
    </w:div>
    <w:div w:id="2089109383">
      <w:bodyDiv w:val="1"/>
      <w:marLeft w:val="0"/>
      <w:marRight w:val="0"/>
      <w:marTop w:val="0"/>
      <w:marBottom w:val="0"/>
      <w:divBdr>
        <w:top w:val="none" w:sz="0" w:space="0" w:color="auto"/>
        <w:left w:val="none" w:sz="0" w:space="0" w:color="auto"/>
        <w:bottom w:val="none" w:sz="0" w:space="0" w:color="auto"/>
        <w:right w:val="none" w:sz="0" w:space="0" w:color="auto"/>
      </w:divBdr>
    </w:div>
    <w:div w:id="2094088906">
      <w:bodyDiv w:val="1"/>
      <w:marLeft w:val="0"/>
      <w:marRight w:val="0"/>
      <w:marTop w:val="0"/>
      <w:marBottom w:val="0"/>
      <w:divBdr>
        <w:top w:val="none" w:sz="0" w:space="0" w:color="auto"/>
        <w:left w:val="none" w:sz="0" w:space="0" w:color="auto"/>
        <w:bottom w:val="none" w:sz="0" w:space="0" w:color="auto"/>
        <w:right w:val="none" w:sz="0" w:space="0" w:color="auto"/>
      </w:divBdr>
    </w:div>
    <w:div w:id="2108039961">
      <w:bodyDiv w:val="1"/>
      <w:marLeft w:val="0"/>
      <w:marRight w:val="0"/>
      <w:marTop w:val="0"/>
      <w:marBottom w:val="0"/>
      <w:divBdr>
        <w:top w:val="none" w:sz="0" w:space="0" w:color="auto"/>
        <w:left w:val="none" w:sz="0" w:space="0" w:color="auto"/>
        <w:bottom w:val="none" w:sz="0" w:space="0" w:color="auto"/>
        <w:right w:val="none" w:sz="0" w:space="0" w:color="auto"/>
      </w:divBdr>
    </w:div>
    <w:div w:id="2109963053">
      <w:bodyDiv w:val="1"/>
      <w:marLeft w:val="0"/>
      <w:marRight w:val="0"/>
      <w:marTop w:val="0"/>
      <w:marBottom w:val="0"/>
      <w:divBdr>
        <w:top w:val="none" w:sz="0" w:space="0" w:color="auto"/>
        <w:left w:val="none" w:sz="0" w:space="0" w:color="auto"/>
        <w:bottom w:val="none" w:sz="0" w:space="0" w:color="auto"/>
        <w:right w:val="none" w:sz="0" w:space="0" w:color="auto"/>
      </w:divBdr>
    </w:div>
    <w:div w:id="2112700341">
      <w:bodyDiv w:val="1"/>
      <w:marLeft w:val="0"/>
      <w:marRight w:val="0"/>
      <w:marTop w:val="0"/>
      <w:marBottom w:val="0"/>
      <w:divBdr>
        <w:top w:val="none" w:sz="0" w:space="0" w:color="auto"/>
        <w:left w:val="none" w:sz="0" w:space="0" w:color="auto"/>
        <w:bottom w:val="none" w:sz="0" w:space="0" w:color="auto"/>
        <w:right w:val="none" w:sz="0" w:space="0" w:color="auto"/>
      </w:divBdr>
    </w:div>
    <w:div w:id="2115513214">
      <w:bodyDiv w:val="1"/>
      <w:marLeft w:val="0"/>
      <w:marRight w:val="0"/>
      <w:marTop w:val="0"/>
      <w:marBottom w:val="0"/>
      <w:divBdr>
        <w:top w:val="none" w:sz="0" w:space="0" w:color="auto"/>
        <w:left w:val="none" w:sz="0" w:space="0" w:color="auto"/>
        <w:bottom w:val="none" w:sz="0" w:space="0" w:color="auto"/>
        <w:right w:val="none" w:sz="0" w:space="0" w:color="auto"/>
      </w:divBdr>
    </w:div>
    <w:div w:id="2115830980">
      <w:bodyDiv w:val="1"/>
      <w:marLeft w:val="0"/>
      <w:marRight w:val="0"/>
      <w:marTop w:val="0"/>
      <w:marBottom w:val="0"/>
      <w:divBdr>
        <w:top w:val="none" w:sz="0" w:space="0" w:color="auto"/>
        <w:left w:val="none" w:sz="0" w:space="0" w:color="auto"/>
        <w:bottom w:val="none" w:sz="0" w:space="0" w:color="auto"/>
        <w:right w:val="none" w:sz="0" w:space="0" w:color="auto"/>
      </w:divBdr>
    </w:div>
    <w:div w:id="2124953394">
      <w:bodyDiv w:val="1"/>
      <w:marLeft w:val="0"/>
      <w:marRight w:val="0"/>
      <w:marTop w:val="0"/>
      <w:marBottom w:val="0"/>
      <w:divBdr>
        <w:top w:val="none" w:sz="0" w:space="0" w:color="auto"/>
        <w:left w:val="none" w:sz="0" w:space="0" w:color="auto"/>
        <w:bottom w:val="none" w:sz="0" w:space="0" w:color="auto"/>
        <w:right w:val="none" w:sz="0" w:space="0" w:color="auto"/>
      </w:divBdr>
    </w:div>
    <w:div w:id="2125422904">
      <w:bodyDiv w:val="1"/>
      <w:marLeft w:val="0"/>
      <w:marRight w:val="0"/>
      <w:marTop w:val="0"/>
      <w:marBottom w:val="0"/>
      <w:divBdr>
        <w:top w:val="none" w:sz="0" w:space="0" w:color="auto"/>
        <w:left w:val="none" w:sz="0" w:space="0" w:color="auto"/>
        <w:bottom w:val="none" w:sz="0" w:space="0" w:color="auto"/>
        <w:right w:val="none" w:sz="0" w:space="0" w:color="auto"/>
      </w:divBdr>
    </w:div>
    <w:div w:id="2131124575">
      <w:bodyDiv w:val="1"/>
      <w:marLeft w:val="0"/>
      <w:marRight w:val="0"/>
      <w:marTop w:val="0"/>
      <w:marBottom w:val="0"/>
      <w:divBdr>
        <w:top w:val="none" w:sz="0" w:space="0" w:color="auto"/>
        <w:left w:val="none" w:sz="0" w:space="0" w:color="auto"/>
        <w:bottom w:val="none" w:sz="0" w:space="0" w:color="auto"/>
        <w:right w:val="none" w:sz="0" w:space="0" w:color="auto"/>
      </w:divBdr>
    </w:div>
    <w:div w:id="2133790510">
      <w:bodyDiv w:val="1"/>
      <w:marLeft w:val="0"/>
      <w:marRight w:val="0"/>
      <w:marTop w:val="0"/>
      <w:marBottom w:val="0"/>
      <w:divBdr>
        <w:top w:val="none" w:sz="0" w:space="0" w:color="auto"/>
        <w:left w:val="none" w:sz="0" w:space="0" w:color="auto"/>
        <w:bottom w:val="none" w:sz="0" w:space="0" w:color="auto"/>
        <w:right w:val="none" w:sz="0" w:space="0" w:color="auto"/>
      </w:divBdr>
    </w:div>
    <w:div w:id="2135707625">
      <w:bodyDiv w:val="1"/>
      <w:marLeft w:val="0"/>
      <w:marRight w:val="0"/>
      <w:marTop w:val="0"/>
      <w:marBottom w:val="0"/>
      <w:divBdr>
        <w:top w:val="none" w:sz="0" w:space="0" w:color="auto"/>
        <w:left w:val="none" w:sz="0" w:space="0" w:color="auto"/>
        <w:bottom w:val="none" w:sz="0" w:space="0" w:color="auto"/>
        <w:right w:val="none" w:sz="0" w:space="0" w:color="auto"/>
      </w:divBdr>
    </w:div>
    <w:div w:id="21450733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chart" Target="charts/chart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5" Type="http://schemas.openxmlformats.org/officeDocument/2006/relationships/chart" Target="charts/chart4.xml"/><Relationship Id="rId10" Type="http://schemas.openxmlformats.org/officeDocument/2006/relationships/image" Target="media/image3.emf"/><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chart" Target="charts/chart3.xml"/></Relationships>
</file>

<file path=word/charts/_rels/chart1.xml.rels><?xml version="1.0" encoding="UTF-8" standalone="yes"?>
<Relationships xmlns="http://schemas.openxmlformats.org/package/2006/relationships"><Relationship Id="rId1" Type="http://schemas.openxmlformats.org/officeDocument/2006/relationships/oleObject" Target="file:///C:\Users\ESoyanova\Desktop\BP%202018\tab%202017.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Analizi_2017\Analiz_12_2017\Grafiki%20za%20Analiz.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Analiz_11_2017\Grafiki%20za%20Analiz.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Analiz_11_2017\Grafiki%20za%20Analiz.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900"/>
            </a:pPr>
            <a:r>
              <a:rPr lang="bg-BG" sz="900"/>
              <a:t>Превозени товари по видове през</a:t>
            </a:r>
            <a:r>
              <a:rPr lang="en-US" sz="900"/>
              <a:t> </a:t>
            </a:r>
            <a:r>
              <a:rPr lang="bg-BG" sz="900"/>
              <a:t>2016 и 2017 г.</a:t>
            </a:r>
          </a:p>
        </c:rich>
      </c:tx>
      <c:overlay val="0"/>
    </c:title>
    <c:autoTitleDeleted val="0"/>
    <c:plotArea>
      <c:layout>
        <c:manualLayout>
          <c:layoutTarget val="inner"/>
          <c:xMode val="edge"/>
          <c:yMode val="edge"/>
          <c:x val="0.20488078564334969"/>
          <c:y val="0.11462877493675799"/>
          <c:w val="0.72958250285465387"/>
          <c:h val="0.43791755050996634"/>
        </c:manualLayout>
      </c:layout>
      <c:lineChart>
        <c:grouping val="standard"/>
        <c:varyColors val="0"/>
        <c:ser>
          <c:idx val="0"/>
          <c:order val="0"/>
          <c:tx>
            <c:strRef>
              <c:f>'za BP 2018'!$B$143:$D$143</c:f>
              <c:strCache>
                <c:ptCount val="1"/>
                <c:pt idx="0">
                  <c:v>отчет 2016</c:v>
                </c:pt>
              </c:strCache>
            </c:strRef>
          </c:tx>
          <c:dLbls>
            <c:dLbl>
              <c:idx val="0"/>
              <c:layout>
                <c:manualLayout>
                  <c:x val="-7.115261868363916E-2"/>
                  <c:y val="4.107226107226107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1025-4904-B9C8-DE55E05701FF}"/>
                </c:ext>
              </c:extLst>
            </c:dLbl>
            <c:dLbl>
              <c:idx val="1"/>
              <c:layout>
                <c:manualLayout>
                  <c:x val="-5.7333323131221157E-2"/>
                  <c:y val="4.573426573426576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1025-4904-B9C8-DE55E05701FF}"/>
                </c:ext>
              </c:extLst>
            </c:dLbl>
            <c:dLbl>
              <c:idx val="2"/>
              <c:layout>
                <c:manualLayout>
                  <c:x val="-4.8293776717153479E-2"/>
                  <c:y val="4.573426573426576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2-1025-4904-B9C8-DE55E05701FF}"/>
                </c:ext>
              </c:extLst>
            </c:dLbl>
            <c:dLbl>
              <c:idx val="3"/>
              <c:layout>
                <c:manualLayout>
                  <c:x val="-4.1514116906603164E-2"/>
                  <c:y val="0.11100233100233101"/>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1025-4904-B9C8-DE55E05701FF}"/>
                </c:ext>
              </c:extLst>
            </c:dLbl>
            <c:dLbl>
              <c:idx val="5"/>
              <c:layout>
                <c:manualLayout>
                  <c:x val="-3.6994343699569852E-2"/>
                  <c:y val="-4.750582750582750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1025-4904-B9C8-DE55E05701FF}"/>
                </c:ext>
              </c:extLst>
            </c:dLbl>
            <c:dLbl>
              <c:idx val="6"/>
              <c:layout>
                <c:manualLayout>
                  <c:x val="-4.6033890113636934E-2"/>
                  <c:y val="-3.818181818181828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1025-4904-B9C8-DE55E05701FF}"/>
                </c:ext>
              </c:extLst>
            </c:dLbl>
            <c:dLbl>
              <c:idx val="8"/>
              <c:layout>
                <c:manualLayout>
                  <c:x val="-5.0553663320670322E-2"/>
                  <c:y val="5.039627039627080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6-1025-4904-B9C8-DE55E05701FF}"/>
                </c:ext>
              </c:extLst>
            </c:dLbl>
            <c:dLbl>
              <c:idx val="9"/>
              <c:layout>
                <c:manualLayout>
                  <c:x val="-4.3774003510119897E-2"/>
                  <c:y val="3.641025641025644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1025-4904-B9C8-DE55E05701FF}"/>
                </c:ext>
              </c:extLst>
            </c:dLbl>
            <c:spPr>
              <a:noFill/>
              <a:ln>
                <a:noFill/>
              </a:ln>
              <a:effectLst/>
            </c:spPr>
            <c:txPr>
              <a:bodyPr/>
              <a:lstStyle/>
              <a:p>
                <a:pPr>
                  <a:defRPr b="1"/>
                </a:pPr>
                <a:endParaRPr lang="bg-BG"/>
              </a:p>
            </c:txPr>
            <c:dLblPos val="t"/>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'za BP 2018'!$A$145:$A$154</c:f>
              <c:strCache>
                <c:ptCount val="10"/>
                <c:pt idx="0">
                  <c:v>Обраб. и необраб. нерудни суровини</c:v>
                </c:pt>
                <c:pt idx="1">
                  <c:v>Нефт и нефтопродукти</c:v>
                </c:pt>
                <c:pt idx="2">
                  <c:v>Руди и метални отпадъци</c:v>
                </c:pt>
                <c:pt idx="3">
                  <c:v>Изделия на черна и цв.металургия</c:v>
                </c:pt>
                <c:pt idx="4">
                  <c:v>Твърди минерални горива</c:v>
                </c:pt>
                <c:pt idx="5">
                  <c:v>Машини, трансп.с-ва, фабр.изделия</c:v>
                </c:pt>
                <c:pt idx="6">
                  <c:v>Химически вещества и продукти</c:v>
                </c:pt>
                <c:pt idx="7">
                  <c:v>Хранителни продукти и фуражи</c:v>
                </c:pt>
                <c:pt idx="8">
                  <c:v>Торове</c:v>
                </c:pt>
                <c:pt idx="9">
                  <c:v>Селскост.продукти и живи животни</c:v>
                </c:pt>
              </c:strCache>
            </c:strRef>
          </c:cat>
          <c:val>
            <c:numRef>
              <c:f>'za BP 2018'!$B$145:$B$154</c:f>
              <c:numCache>
                <c:formatCode>#,##0.00</c:formatCode>
                <c:ptCount val="10"/>
                <c:pt idx="0">
                  <c:v>1251.5807709999999</c:v>
                </c:pt>
                <c:pt idx="1">
                  <c:v>684.50748899999996</c:v>
                </c:pt>
                <c:pt idx="2">
                  <c:v>668.135357</c:v>
                </c:pt>
                <c:pt idx="3">
                  <c:v>491.346363</c:v>
                </c:pt>
                <c:pt idx="4">
                  <c:v>1375.3300439999998</c:v>
                </c:pt>
                <c:pt idx="5">
                  <c:v>588.12234000000001</c:v>
                </c:pt>
                <c:pt idx="6">
                  <c:v>490.57373899999823</c:v>
                </c:pt>
                <c:pt idx="7">
                  <c:v>423.623582</c:v>
                </c:pt>
                <c:pt idx="8">
                  <c:v>127.77456900000038</c:v>
                </c:pt>
                <c:pt idx="9">
                  <c:v>100.13912000000002</c:v>
                </c:pt>
              </c:numCache>
            </c:numRef>
          </c:val>
          <c:smooth val="0"/>
          <c:extLst>
            <c:ext xmlns:c16="http://schemas.microsoft.com/office/drawing/2014/chart" uri="{C3380CC4-5D6E-409C-BE32-E72D297353CC}">
              <c16:uniqueId val="{00000008-1025-4904-B9C8-DE55E05701FF}"/>
            </c:ext>
          </c:extLst>
        </c:ser>
        <c:ser>
          <c:idx val="1"/>
          <c:order val="1"/>
          <c:tx>
            <c:strRef>
              <c:f>'za BP 2018'!$E$143:$G$143</c:f>
              <c:strCache>
                <c:ptCount val="1"/>
                <c:pt idx="0">
                  <c:v>очакван отчет 2017</c:v>
                </c:pt>
              </c:strCache>
            </c:strRef>
          </c:tx>
          <c:dLbls>
            <c:dLbl>
              <c:idx val="0"/>
              <c:layout>
                <c:manualLayout>
                  <c:x val="-6.2113072269572092E-2"/>
                  <c:y val="-2.242424242424268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9-1025-4904-B9C8-DE55E05701FF}"/>
                </c:ext>
              </c:extLst>
            </c:dLbl>
            <c:dLbl>
              <c:idx val="1"/>
              <c:layout>
                <c:manualLayout>
                  <c:x val="-4.4033979441438435E-2"/>
                  <c:y val="-3.641025641025644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A-1025-4904-B9C8-DE55E05701FF}"/>
                </c:ext>
              </c:extLst>
            </c:dLbl>
            <c:dLbl>
              <c:idx val="2"/>
              <c:layout>
                <c:manualLayout>
                  <c:x val="-4.8553752648471386E-2"/>
                  <c:y val="-3.1748251748251709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B-1025-4904-B9C8-DE55E05701FF}"/>
                </c:ext>
              </c:extLst>
            </c:dLbl>
            <c:dLbl>
              <c:idx val="3"/>
              <c:layout>
                <c:manualLayout>
                  <c:x val="-4.8293776717153479E-2"/>
                  <c:y val="-5.5058275058275083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C-1025-4904-B9C8-DE55E05701FF}"/>
                </c:ext>
              </c:extLst>
            </c:dLbl>
            <c:dLbl>
              <c:idx val="4"/>
              <c:layout>
                <c:manualLayout>
                  <c:x val="-5.5073436527703933E-2"/>
                  <c:y val="5.6829469742855555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D-1025-4904-B9C8-DE55E05701FF}"/>
                </c:ext>
              </c:extLst>
            </c:dLbl>
            <c:dLbl>
              <c:idx val="8"/>
              <c:layout>
                <c:manualLayout>
                  <c:x val="-4.8293776717153479E-2"/>
                  <c:y val="-5.0396270396270801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E-1025-4904-B9C8-DE55E05701FF}"/>
                </c:ext>
              </c:extLst>
            </c:dLbl>
            <c:dLbl>
              <c:idx val="9"/>
              <c:layout>
                <c:manualLayout>
                  <c:x val="-3.4734457096052836E-2"/>
                  <c:y val="-4.5734265734265762E-2"/>
                </c:manualLayout>
              </c:layout>
              <c:dLblPos val="r"/>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F-1025-4904-B9C8-DE55E05701FF}"/>
                </c:ext>
              </c:extLst>
            </c:dLbl>
            <c:spPr>
              <a:noFill/>
              <a:ln>
                <a:noFill/>
              </a:ln>
              <a:effectLst/>
            </c:spPr>
            <c:txPr>
              <a:bodyPr/>
              <a:lstStyle/>
              <a:p>
                <a:pPr>
                  <a:defRPr b="1"/>
                </a:pPr>
                <a:endParaRPr lang="bg-BG"/>
              </a:p>
            </c:txPr>
            <c:dLblPos val="b"/>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'za BP 2018'!$A$145:$A$154</c:f>
              <c:strCache>
                <c:ptCount val="10"/>
                <c:pt idx="0">
                  <c:v>Обраб. и необраб. нерудни суровини</c:v>
                </c:pt>
                <c:pt idx="1">
                  <c:v>Нефт и нефтопродукти</c:v>
                </c:pt>
                <c:pt idx="2">
                  <c:v>Руди и метални отпадъци</c:v>
                </c:pt>
                <c:pt idx="3">
                  <c:v>Изделия на черна и цв.металургия</c:v>
                </c:pt>
                <c:pt idx="4">
                  <c:v>Твърди минерални горива</c:v>
                </c:pt>
                <c:pt idx="5">
                  <c:v>Машини, трансп.с-ва, фабр.изделия</c:v>
                </c:pt>
                <c:pt idx="6">
                  <c:v>Химически вещества и продукти</c:v>
                </c:pt>
                <c:pt idx="7">
                  <c:v>Хранителни продукти и фуражи</c:v>
                </c:pt>
                <c:pt idx="8">
                  <c:v>Торове</c:v>
                </c:pt>
                <c:pt idx="9">
                  <c:v>Селскост.продукти и живи животни</c:v>
                </c:pt>
              </c:strCache>
            </c:strRef>
          </c:cat>
          <c:val>
            <c:numRef>
              <c:f>'za BP 2018'!$E$145:$E$154</c:f>
              <c:numCache>
                <c:formatCode>#,##0.00</c:formatCode>
                <c:ptCount val="10"/>
                <c:pt idx="0">
                  <c:v>1452.3050769814301</c:v>
                </c:pt>
                <c:pt idx="1">
                  <c:v>1194.4918082887075</c:v>
                </c:pt>
                <c:pt idx="2">
                  <c:v>1024.1685618892311</c:v>
                </c:pt>
                <c:pt idx="3">
                  <c:v>540.20564388691798</c:v>
                </c:pt>
                <c:pt idx="4">
                  <c:v>530.74758845669453</c:v>
                </c:pt>
                <c:pt idx="5">
                  <c:v>414.4630641467229</c:v>
                </c:pt>
                <c:pt idx="6">
                  <c:v>407.71963514778719</c:v>
                </c:pt>
                <c:pt idx="7">
                  <c:v>349.01307980447899</c:v>
                </c:pt>
                <c:pt idx="8">
                  <c:v>179.02891091194007</c:v>
                </c:pt>
                <c:pt idx="9">
                  <c:v>157.85663048609496</c:v>
                </c:pt>
              </c:numCache>
            </c:numRef>
          </c:val>
          <c:smooth val="0"/>
          <c:extLst>
            <c:ext xmlns:c16="http://schemas.microsoft.com/office/drawing/2014/chart" uri="{C3380CC4-5D6E-409C-BE32-E72D297353CC}">
              <c16:uniqueId val="{00000010-1025-4904-B9C8-DE55E05701FF}"/>
            </c:ext>
          </c:extLst>
        </c:ser>
        <c:dLbls>
          <c:showLegendKey val="0"/>
          <c:showVal val="0"/>
          <c:showCatName val="0"/>
          <c:showSerName val="0"/>
          <c:showPercent val="0"/>
          <c:showBubbleSize val="0"/>
        </c:dLbls>
        <c:marker val="1"/>
        <c:smooth val="0"/>
        <c:axId val="178630656"/>
        <c:axId val="178632192"/>
      </c:lineChart>
      <c:catAx>
        <c:axId val="178630656"/>
        <c:scaling>
          <c:orientation val="minMax"/>
        </c:scaling>
        <c:delete val="0"/>
        <c:axPos val="b"/>
        <c:numFmt formatCode="General" sourceLinked="1"/>
        <c:majorTickMark val="none"/>
        <c:minorTickMark val="none"/>
        <c:tickLblPos val="nextTo"/>
        <c:txPr>
          <a:bodyPr/>
          <a:lstStyle/>
          <a:p>
            <a:pPr>
              <a:defRPr baseline="0"/>
            </a:pPr>
            <a:endParaRPr lang="bg-BG"/>
          </a:p>
        </c:txPr>
        <c:crossAx val="178632192"/>
        <c:crossesAt val="0"/>
        <c:auto val="1"/>
        <c:lblAlgn val="ctr"/>
        <c:lblOffset val="100"/>
        <c:noMultiLvlLbl val="0"/>
      </c:catAx>
      <c:valAx>
        <c:axId val="178632192"/>
        <c:scaling>
          <c:orientation val="minMax"/>
        </c:scaling>
        <c:delete val="0"/>
        <c:axPos val="l"/>
        <c:majorGridlines/>
        <c:numFmt formatCode="#,##0.00" sourceLinked="1"/>
        <c:majorTickMark val="none"/>
        <c:minorTickMark val="none"/>
        <c:tickLblPos val="nextTo"/>
        <c:spPr>
          <a:ln w="9525">
            <a:noFill/>
          </a:ln>
        </c:spPr>
        <c:crossAx val="178630656"/>
        <c:crosses val="autoZero"/>
        <c:crossBetween val="between"/>
      </c:valAx>
    </c:plotArea>
    <c:legend>
      <c:legendPos val="b"/>
      <c:overlay val="0"/>
      <c:txPr>
        <a:bodyPr/>
        <a:lstStyle/>
        <a:p>
          <a:pPr>
            <a:defRPr b="1"/>
          </a:pPr>
          <a:endParaRPr lang="bg-BG"/>
        </a:p>
      </c:txPr>
    </c:legend>
    <c:plotVisOnly val="1"/>
    <c:dispBlanksAs val="gap"/>
    <c:showDLblsOverMax val="0"/>
  </c:chart>
  <c:txPr>
    <a:bodyPr/>
    <a:lstStyle/>
    <a:p>
      <a:pPr>
        <a:defRPr sz="850" baseline="0">
          <a:latin typeface="Calibri" pitchFamily="34" charset="0"/>
        </a:defRPr>
      </a:pPr>
      <a:endParaRPr lang="bg-BG"/>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bg-BG" sz="1200"/>
              <a:t>Структура на приходите за 201</a:t>
            </a:r>
            <a:r>
              <a:rPr lang="en-US" sz="1200"/>
              <a:t>7</a:t>
            </a:r>
            <a:r>
              <a:rPr lang="bg-BG" sz="1200"/>
              <a:t> г.</a:t>
            </a:r>
          </a:p>
        </c:rich>
      </c:tx>
      <c:overlay val="0"/>
    </c:title>
    <c:autoTitleDeleted val="0"/>
    <c:view3D>
      <c:rotX val="30"/>
      <c:rotY val="0"/>
      <c:rAngAx val="0"/>
    </c:view3D>
    <c:floor>
      <c:thickness val="0"/>
    </c:floor>
    <c:sideWall>
      <c:thickness val="0"/>
    </c:sideWall>
    <c:backWall>
      <c:thickness val="0"/>
    </c:backWall>
    <c:plotArea>
      <c:layout>
        <c:manualLayout>
          <c:layoutTarget val="inner"/>
          <c:xMode val="edge"/>
          <c:yMode val="edge"/>
          <c:x val="7.8673171675956791E-2"/>
          <c:y val="0.23693159530154945"/>
          <c:w val="0.80383754796298157"/>
          <c:h val="0.70250050186924307"/>
        </c:manualLayout>
      </c:layout>
      <c:pie3DChart>
        <c:varyColors val="1"/>
        <c:ser>
          <c:idx val="0"/>
          <c:order val="0"/>
          <c:explosion val="25"/>
          <c:dLbls>
            <c:dLbl>
              <c:idx val="0"/>
              <c:layout>
                <c:manualLayout>
                  <c:x val="8.5532084154880075E-2"/>
                  <c:y val="-7.4677507254436561E-3"/>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B304-4F8C-BA93-76306A14910D}"/>
                </c:ext>
              </c:extLst>
            </c:dLbl>
            <c:dLbl>
              <c:idx val="1"/>
              <c:tx>
                <c:rich>
                  <a:bodyPr/>
                  <a:lstStyle/>
                  <a:p>
                    <a:r>
                      <a:rPr lang="bg-BG"/>
                      <a:t>ТР дейност
0,14%</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B304-4F8C-BA93-76306A14910D}"/>
                </c:ext>
              </c:extLst>
            </c:dLbl>
            <c:dLbl>
              <c:idx val="2"/>
              <c:tx>
                <c:rich>
                  <a:bodyPr/>
                  <a:lstStyle/>
                  <a:p>
                    <a:r>
                      <a:rPr lang="bg-BG"/>
                      <a:t>спедиция
0,01%</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2-B304-4F8C-BA93-76306A14910D}"/>
                </c:ext>
              </c:extLst>
            </c:dLbl>
            <c:dLbl>
              <c:idx val="3"/>
              <c:layout>
                <c:manualLayout>
                  <c:x val="0.2291779116963992"/>
                  <c:y val="-7.7836340678069091E-2"/>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3-B304-4F8C-BA93-76306A14910D}"/>
                </c:ext>
              </c:extLst>
            </c:dLbl>
            <c:dLbl>
              <c:idx val="4"/>
              <c:layout>
                <c:manualLayout>
                  <c:x val="0.2796303300515377"/>
                  <c:y val="1.6934706731792694E-3"/>
                </c:manualLayout>
              </c:layout>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4-B304-4F8C-BA93-76306A14910D}"/>
                </c:ext>
              </c:extLst>
            </c:dLbl>
            <c:spPr>
              <a:noFill/>
              <a:ln>
                <a:noFill/>
              </a:ln>
              <a:effectLst/>
            </c:spPr>
            <c:showLegendKey val="0"/>
            <c:showVal val="0"/>
            <c:showCatName val="1"/>
            <c:showSerName val="0"/>
            <c:showPercent val="1"/>
            <c:showBubbleSize val="0"/>
            <c:showLeaderLines val="1"/>
            <c:extLst>
              <c:ext xmlns:c15="http://schemas.microsoft.com/office/drawing/2012/chart" uri="{CE6537A1-D6FC-4f65-9D91-7224C49458BB}"/>
            </c:extLst>
          </c:dLbls>
          <c:cat>
            <c:strRef>
              <c:f>'Graf прих'!$A$4:$A$8</c:f>
              <c:strCache>
                <c:ptCount val="5"/>
                <c:pt idx="0">
                  <c:v>превоз на товари</c:v>
                </c:pt>
                <c:pt idx="1">
                  <c:v>ТР дейност</c:v>
                </c:pt>
                <c:pt idx="2">
                  <c:v>спедиция</c:v>
                </c:pt>
                <c:pt idx="3">
                  <c:v>др. приходи от експл. Д - ст</c:v>
                </c:pt>
                <c:pt idx="4">
                  <c:v>       Други приходи</c:v>
                </c:pt>
              </c:strCache>
            </c:strRef>
          </c:cat>
          <c:val>
            <c:numRef>
              <c:f>'Graf прих'!$B$4:$B$8</c:f>
              <c:numCache>
                <c:formatCode>#,##0</c:formatCode>
                <c:ptCount val="5"/>
                <c:pt idx="0">
                  <c:v>95978</c:v>
                </c:pt>
                <c:pt idx="1">
                  <c:v>153</c:v>
                </c:pt>
                <c:pt idx="2">
                  <c:v>8</c:v>
                </c:pt>
                <c:pt idx="3">
                  <c:v>1192</c:v>
                </c:pt>
                <c:pt idx="4">
                  <c:v>12103</c:v>
                </c:pt>
              </c:numCache>
            </c:numRef>
          </c:val>
          <c:extLst>
            <c:ext xmlns:c16="http://schemas.microsoft.com/office/drawing/2014/chart" uri="{C3380CC4-5D6E-409C-BE32-E72D297353CC}">
              <c16:uniqueId val="{00000002-D927-43F5-A492-B4A5B57CCB51}"/>
            </c:ext>
          </c:extLst>
        </c:ser>
        <c:dLbls>
          <c:showLegendKey val="0"/>
          <c:showVal val="0"/>
          <c:showCatName val="1"/>
          <c:showSerName val="0"/>
          <c:showPercent val="1"/>
          <c:showBubbleSize val="0"/>
          <c:showLeaderLines val="1"/>
        </c:dLbls>
      </c:pie3DChart>
    </c:plotArea>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lang="en-US" sz="900"/>
            </a:pPr>
            <a:r>
              <a:rPr lang="bg-BG" sz="900"/>
              <a:t>Структура на разходите по икономически елементи за  201</a:t>
            </a:r>
            <a:r>
              <a:rPr lang="en-US" sz="900"/>
              <a:t>7</a:t>
            </a:r>
            <a:r>
              <a:rPr lang="bg-BG" sz="900"/>
              <a:t> г.</a:t>
            </a:r>
          </a:p>
        </c:rich>
      </c:tx>
      <c:layout>
        <c:manualLayout>
          <c:xMode val="edge"/>
          <c:yMode val="edge"/>
          <c:x val="0.13964637819482201"/>
          <c:y val="2.7397260273972612E-2"/>
        </c:manualLayout>
      </c:layout>
      <c:overlay val="0"/>
    </c:title>
    <c:autoTitleDeleted val="0"/>
    <c:view3D>
      <c:rotX val="30"/>
      <c:rotY val="0"/>
      <c:rAngAx val="0"/>
    </c:view3D>
    <c:floor>
      <c:thickness val="0"/>
    </c:floor>
    <c:sideWall>
      <c:thickness val="0"/>
    </c:sideWall>
    <c:backWall>
      <c:thickness val="0"/>
    </c:backWall>
    <c:plotArea>
      <c:layout/>
      <c:pie3DChart>
        <c:varyColors val="1"/>
        <c:ser>
          <c:idx val="0"/>
          <c:order val="0"/>
          <c:explosion val="25"/>
          <c:dLbls>
            <c:dLbl>
              <c:idx val="2"/>
              <c:tx>
                <c:rich>
                  <a:bodyPr/>
                  <a:lstStyle/>
                  <a:p>
                    <a:r>
                      <a:rPr lang="bg-BG" sz="900"/>
                      <a:t>външни услуги
9%</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D927-43F5-A492-B4A5B57CCB51}"/>
                </c:ext>
              </c:extLst>
            </c:dLbl>
            <c:dLbl>
              <c:idx val="5"/>
              <c:layout>
                <c:manualLayout>
                  <c:x val="0.11275350123219342"/>
                  <c:y val="-2.4515488572524446E-2"/>
                </c:manualLayout>
              </c:layout>
              <c:tx>
                <c:rich>
                  <a:bodyPr/>
                  <a:lstStyle/>
                  <a:p>
                    <a:r>
                      <a:rPr lang="bg-BG"/>
                      <a:t>други разходи
3%</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D927-43F5-A492-B4A5B57CCB51}"/>
                </c:ext>
              </c:extLst>
            </c:dLbl>
            <c:spPr>
              <a:noFill/>
              <a:ln>
                <a:noFill/>
              </a:ln>
              <a:effectLst/>
            </c:spPr>
            <c:txPr>
              <a:bodyPr/>
              <a:lstStyle/>
              <a:p>
                <a:pPr>
                  <a:defRPr lang="en-US" sz="900"/>
                </a:pPr>
                <a:endParaRPr lang="bg-BG"/>
              </a:p>
            </c:txPr>
            <c:showLegendKey val="0"/>
            <c:showVal val="0"/>
            <c:showCatName val="1"/>
            <c:showSerName val="0"/>
            <c:showPercent val="1"/>
            <c:showBubbleSize val="0"/>
            <c:showLeaderLines val="1"/>
            <c:extLst>
              <c:ext xmlns:c15="http://schemas.microsoft.com/office/drawing/2012/chart" uri="{CE6537A1-D6FC-4f65-9D91-7224C49458BB}"/>
            </c:extLst>
          </c:dLbls>
          <c:cat>
            <c:strRef>
              <c:f>Graf!$A$4:$A$9</c:f>
              <c:strCache>
                <c:ptCount val="6"/>
                <c:pt idx="0">
                  <c:v>материали, вода, горива, ел. енергия, топлоенергия</c:v>
                </c:pt>
                <c:pt idx="1">
                  <c:v>възнаграждения и соц. осигуровки</c:v>
                </c:pt>
                <c:pt idx="2">
                  <c:v>външни услуги</c:v>
                </c:pt>
                <c:pt idx="3">
                  <c:v>жп инфраструктура</c:v>
                </c:pt>
                <c:pt idx="4">
                  <c:v>амортизации</c:v>
                </c:pt>
                <c:pt idx="5">
                  <c:v>други разходи</c:v>
                </c:pt>
              </c:strCache>
            </c:strRef>
          </c:cat>
          <c:val>
            <c:numRef>
              <c:f>Graf!$B$4:$B$9</c:f>
              <c:numCache>
                <c:formatCode>#,##0</c:formatCode>
                <c:ptCount val="6"/>
                <c:pt idx="0">
                  <c:v>25087</c:v>
                </c:pt>
                <c:pt idx="1">
                  <c:v>47546</c:v>
                </c:pt>
                <c:pt idx="2">
                  <c:v>9126</c:v>
                </c:pt>
                <c:pt idx="3">
                  <c:v>13071</c:v>
                </c:pt>
                <c:pt idx="4">
                  <c:v>6173</c:v>
                </c:pt>
                <c:pt idx="5">
                  <c:v>2321</c:v>
                </c:pt>
              </c:numCache>
            </c:numRef>
          </c:val>
          <c:extLst>
            <c:ext xmlns:c16="http://schemas.microsoft.com/office/drawing/2014/chart" uri="{C3380CC4-5D6E-409C-BE32-E72D297353CC}">
              <c16:uniqueId val="{00000002-D927-43F5-A492-B4A5B57CCB51}"/>
            </c:ext>
          </c:extLst>
        </c:ser>
        <c:dLbls>
          <c:showLegendKey val="0"/>
          <c:showVal val="0"/>
          <c:showCatName val="1"/>
          <c:showSerName val="0"/>
          <c:showPercent val="1"/>
          <c:showBubbleSize val="0"/>
          <c:showLeaderLines val="1"/>
        </c:dLbls>
      </c:pie3DChart>
    </c:plotArea>
    <c:plotVisOnly val="1"/>
    <c:dispBlanksAs val="zero"/>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lang="en-US" sz="900">
                <a:latin typeface="+mn-lt"/>
              </a:defRPr>
            </a:pPr>
            <a:r>
              <a:rPr lang="bg-BG" sz="900">
                <a:latin typeface="+mn-lt"/>
              </a:rPr>
              <a:t>Структура на разходите по икономически елементи за </a:t>
            </a:r>
            <a:r>
              <a:rPr lang="en-US" sz="900">
                <a:latin typeface="+mn-lt"/>
              </a:rPr>
              <a:t> </a:t>
            </a:r>
            <a:r>
              <a:rPr lang="bg-BG" sz="900">
                <a:latin typeface="+mn-lt"/>
              </a:rPr>
              <a:t>201</a:t>
            </a:r>
            <a:r>
              <a:rPr lang="en-US" sz="900">
                <a:latin typeface="+mn-lt"/>
              </a:rPr>
              <a:t>6</a:t>
            </a:r>
            <a:r>
              <a:rPr lang="bg-BG" sz="900">
                <a:latin typeface="+mn-lt"/>
              </a:rPr>
              <a:t> г.</a:t>
            </a:r>
          </a:p>
        </c:rich>
      </c:tx>
      <c:overlay val="0"/>
    </c:title>
    <c:autoTitleDeleted val="0"/>
    <c:view3D>
      <c:rotX val="30"/>
      <c:rotY val="0"/>
      <c:rAngAx val="0"/>
    </c:view3D>
    <c:floor>
      <c:thickness val="0"/>
    </c:floor>
    <c:sideWall>
      <c:thickness val="0"/>
    </c:sideWall>
    <c:backWall>
      <c:thickness val="0"/>
    </c:backWall>
    <c:plotArea>
      <c:layout/>
      <c:pie3DChart>
        <c:varyColors val="1"/>
        <c:ser>
          <c:idx val="0"/>
          <c:order val="0"/>
          <c:explosion val="25"/>
          <c:dLbls>
            <c:dLbl>
              <c:idx val="0"/>
              <c:layout>
                <c:manualLayout>
                  <c:x val="4.4218731452539441E-2"/>
                  <c:y val="-2.0586278459378656E-2"/>
                </c:manualLayout>
              </c:layout>
              <c:tx>
                <c:rich>
                  <a:bodyPr/>
                  <a:lstStyle/>
                  <a:p>
                    <a:r>
                      <a:rPr lang="bg-BG"/>
                      <a:t>материали, вода, горива, ел. енергия, топлоенергия
24%</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BAFB-4AC2-9197-43DE5288F7A0}"/>
                </c:ext>
              </c:extLst>
            </c:dLbl>
            <c:dLbl>
              <c:idx val="1"/>
              <c:tx>
                <c:rich>
                  <a:bodyPr/>
                  <a:lstStyle/>
                  <a:p>
                    <a:r>
                      <a:rPr lang="bg-BG"/>
                      <a:t>възнаграждения и соц. осигуровки
45%</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0-7FF2-403D-9357-E51E413F6B05}"/>
                </c:ext>
              </c:extLst>
            </c:dLbl>
            <c:dLbl>
              <c:idx val="2"/>
              <c:layout>
                <c:manualLayout>
                  <c:x val="1.8400137168783776E-2"/>
                  <c:y val="0.17653604345968391"/>
                </c:manualLayout>
              </c:layout>
              <c:tx>
                <c:rich>
                  <a:bodyPr/>
                  <a:lstStyle/>
                  <a:p>
                    <a:r>
                      <a:rPr lang="bg-BG"/>
                      <a:t>външни услуги
99%</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BAFB-4AC2-9197-43DE5288F7A0}"/>
                </c:ext>
              </c:extLst>
            </c:dLbl>
            <c:dLbl>
              <c:idx val="3"/>
              <c:tx>
                <c:rich>
                  <a:bodyPr/>
                  <a:lstStyle/>
                  <a:p>
                    <a:r>
                      <a:rPr lang="bg-BG"/>
                      <a:t>жп инфраструктура
13%</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1-7FF2-403D-9357-E51E413F6B05}"/>
                </c:ext>
              </c:extLst>
            </c:dLbl>
            <c:dLbl>
              <c:idx val="5"/>
              <c:layout>
                <c:manualLayout>
                  <c:x val="0.10985227983404017"/>
                  <c:y val="7.9696605720896013E-3"/>
                </c:manualLayout>
              </c:layout>
              <c:tx>
                <c:rich>
                  <a:bodyPr/>
                  <a:lstStyle/>
                  <a:p>
                    <a:r>
                      <a:rPr lang="bg-BG"/>
                      <a:t>други разходи
3%</a:t>
                    </a:r>
                  </a:p>
                </c:rich>
              </c:tx>
              <c:showLegendKey val="0"/>
              <c:showVal val="0"/>
              <c:showCatName val="1"/>
              <c:showSerName val="0"/>
              <c:showPercent val="1"/>
              <c:showBubbleSize val="0"/>
              <c:extLst>
                <c:ext xmlns:c15="http://schemas.microsoft.com/office/drawing/2012/chart" uri="{CE6537A1-D6FC-4f65-9D91-7224C49458BB}"/>
                <c:ext xmlns:c16="http://schemas.microsoft.com/office/drawing/2014/chart" uri="{C3380CC4-5D6E-409C-BE32-E72D297353CC}">
                  <c16:uniqueId val="{00000002-BAFB-4AC2-9197-43DE5288F7A0}"/>
                </c:ext>
              </c:extLst>
            </c:dLbl>
            <c:spPr>
              <a:noFill/>
              <a:ln>
                <a:noFill/>
              </a:ln>
              <a:effectLst/>
            </c:spPr>
            <c:txPr>
              <a:bodyPr/>
              <a:lstStyle/>
              <a:p>
                <a:pPr>
                  <a:defRPr lang="en-US" sz="900"/>
                </a:pPr>
                <a:endParaRPr lang="bg-BG"/>
              </a:p>
            </c:txPr>
            <c:showLegendKey val="0"/>
            <c:showVal val="0"/>
            <c:showCatName val="1"/>
            <c:showSerName val="0"/>
            <c:showPercent val="1"/>
            <c:showBubbleSize val="0"/>
            <c:showLeaderLines val="1"/>
            <c:extLst>
              <c:ext xmlns:c15="http://schemas.microsoft.com/office/drawing/2012/chart" uri="{CE6537A1-D6FC-4f65-9D91-7224C49458BB}"/>
            </c:extLst>
          </c:dLbls>
          <c:cat>
            <c:strRef>
              <c:f>Graf!$A$4:$A$9</c:f>
              <c:strCache>
                <c:ptCount val="6"/>
                <c:pt idx="0">
                  <c:v>материали, вода, горива, ел. енергия, топлоенергия</c:v>
                </c:pt>
                <c:pt idx="1">
                  <c:v>възнаграждения и соц. осигуровки</c:v>
                </c:pt>
                <c:pt idx="2">
                  <c:v>външни услуги</c:v>
                </c:pt>
                <c:pt idx="3">
                  <c:v>жп инфраструктура</c:v>
                </c:pt>
                <c:pt idx="4">
                  <c:v>амортизации</c:v>
                </c:pt>
                <c:pt idx="5">
                  <c:v>други разходи</c:v>
                </c:pt>
              </c:strCache>
            </c:strRef>
          </c:cat>
          <c:val>
            <c:numRef>
              <c:f>Graf!$D$4:$D$9</c:f>
              <c:numCache>
                <c:formatCode>#,##0</c:formatCode>
                <c:ptCount val="6"/>
                <c:pt idx="0">
                  <c:v>23526</c:v>
                </c:pt>
                <c:pt idx="1">
                  <c:v>43933</c:v>
                </c:pt>
                <c:pt idx="2">
                  <c:v>8059</c:v>
                </c:pt>
                <c:pt idx="3">
                  <c:v>13289</c:v>
                </c:pt>
                <c:pt idx="4">
                  <c:v>4821</c:v>
                </c:pt>
                <c:pt idx="5">
                  <c:v>2360</c:v>
                </c:pt>
              </c:numCache>
            </c:numRef>
          </c:val>
          <c:extLst>
            <c:ext xmlns:c16="http://schemas.microsoft.com/office/drawing/2014/chart" uri="{C3380CC4-5D6E-409C-BE32-E72D297353CC}">
              <c16:uniqueId val="{00000003-BAFB-4AC2-9197-43DE5288F7A0}"/>
            </c:ext>
          </c:extLst>
        </c:ser>
        <c:dLbls>
          <c:showLegendKey val="0"/>
          <c:showVal val="0"/>
          <c:showCatName val="1"/>
          <c:showSerName val="0"/>
          <c:showPercent val="1"/>
          <c:showBubbleSize val="0"/>
          <c:showLeaderLines val="1"/>
        </c:dLbls>
      </c:pie3DChart>
    </c:plotArea>
    <c:plotVisOnly val="1"/>
    <c:dispBlanksAs val="zero"/>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F9D486E9-7BB9-4C0F-A5D3-570CE968C53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21</Pages>
  <Words>8525</Words>
  <Characters>48594</Characters>
  <Application>Microsoft Office Word</Application>
  <DocSecurity>0</DocSecurity>
  <Lines>404</Lines>
  <Paragraphs>114</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bdz</Company>
  <LinksUpToDate>false</LinksUpToDate>
  <CharactersWithSpaces>57005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Dobrinca Antcheva</cp:lastModifiedBy>
  <cp:revision>2</cp:revision>
  <cp:lastPrinted>2018-04-26T08:23:00Z</cp:lastPrinted>
  <dcterms:created xsi:type="dcterms:W3CDTF">2018-04-27T09:41:00Z</dcterms:created>
  <dcterms:modified xsi:type="dcterms:W3CDTF">2018-04-27T09:41:00Z</dcterms:modified>
</cp:coreProperties>
</file>