
<file path=[Content_Types].xml><?xml version="1.0" encoding="utf-8"?>
<Types xmlns="http://schemas.openxmlformats.org/package/2006/content-types">
  <Default Extension="png" ContentType="image/png"/>
  <Default Extension="emf" ContentType="image/x-emf"/>
  <Default Extension="xls" ContentType="application/vnd.ms-excel"/>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8.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3.xml" ContentType="application/vnd.openxmlformats-officedocument.themeOverride+xml"/>
  <Override PartName="/word/charts/chart9.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4.xml" ContentType="application/vnd.openxmlformats-officedocument.themeOverride+xml"/>
  <Override PartName="/word/charts/chart10.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5.xml" ContentType="application/vnd.openxmlformats-officedocument.themeOverride+xml"/>
  <Override PartName="/word/charts/chart11.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2.xml" ContentType="application/vnd.openxmlformats-officedocument.drawingml.chart+xml"/>
  <Override PartName="/word/charts/style10.xml" ContentType="application/vnd.ms-office.chartstyle+xml"/>
  <Override PartName="/word/charts/colors10.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26F78" w:rsidRPr="00797519" w:rsidRDefault="00026F78" w:rsidP="00026F78">
      <w:pPr>
        <w:pStyle w:val="Subtitle"/>
        <w:spacing w:after="120" w:line="240" w:lineRule="auto"/>
        <w:ind w:left="0" w:right="0"/>
        <w:jc w:val="center"/>
        <w:rPr>
          <w:color w:val="0088CC"/>
          <w:spacing w:val="60"/>
          <w:w w:val="90"/>
          <w:sz w:val="52"/>
          <w:szCs w:val="72"/>
          <w:lang w:val="bg-BG"/>
          <w14:shadow w14:blurRad="50800" w14:dist="38100" w14:dir="2700000" w14:sx="100000" w14:sy="100000" w14:kx="0" w14:ky="0" w14:algn="tl">
            <w14:srgbClr w14:val="000000">
              <w14:alpha w14:val="60000"/>
            </w14:srgbClr>
          </w14:shadow>
        </w:rPr>
      </w:pPr>
      <w:bookmarkStart w:id="0" w:name="_GoBack"/>
      <w:bookmarkEnd w:id="0"/>
    </w:p>
    <w:p w:rsidR="00026F78" w:rsidRPr="00797519" w:rsidRDefault="00026F78" w:rsidP="00026F78">
      <w:pPr>
        <w:spacing w:after="120"/>
        <w:jc w:val="center"/>
        <w:rPr>
          <w:b/>
          <w:i/>
          <w:smallCaps/>
          <w:color w:val="333399"/>
          <w:spacing w:val="20"/>
          <w:sz w:val="50"/>
          <w:szCs w:val="50"/>
          <w:u w:val="single"/>
          <w14:shadow w14:blurRad="50800" w14:dist="38100" w14:dir="2700000" w14:sx="100000" w14:sy="100000" w14:kx="0" w14:ky="0" w14:algn="tl">
            <w14:srgbClr w14:val="000000">
              <w14:alpha w14:val="60000"/>
            </w14:srgbClr>
          </w14:shadow>
        </w:rPr>
      </w:pPr>
      <w:r w:rsidRPr="00797519">
        <w:rPr>
          <w:b/>
          <w:i/>
          <w:smallCaps/>
          <w:color w:val="333399"/>
          <w:spacing w:val="20"/>
          <w:sz w:val="50"/>
          <w:szCs w:val="50"/>
          <w:u w:val="single"/>
          <w14:shadow w14:blurRad="50800" w14:dist="38100" w14:dir="2700000" w14:sx="100000" w14:sy="100000" w14:kx="0" w14:ky="0" w14:algn="tl">
            <w14:srgbClr w14:val="000000">
              <w14:alpha w14:val="60000"/>
            </w14:srgbClr>
          </w14:shadow>
        </w:rPr>
        <w:t>„Пристанищен комплекс – Русе” ЕАД</w:t>
      </w:r>
    </w:p>
    <w:p w:rsidR="00026F78" w:rsidRPr="00797519" w:rsidRDefault="00026F78" w:rsidP="00026F78">
      <w:pPr>
        <w:spacing w:after="120"/>
        <w:jc w:val="center"/>
        <w:rPr>
          <w:b/>
          <w:smallCaps/>
          <w:color w:val="333399"/>
          <w:spacing w:val="20"/>
          <w:sz w:val="48"/>
          <w:szCs w:val="48"/>
          <w14:shadow w14:blurRad="50800" w14:dist="38100" w14:dir="2700000" w14:sx="100000" w14:sy="100000" w14:kx="0" w14:ky="0" w14:algn="tl">
            <w14:srgbClr w14:val="000000">
              <w14:alpha w14:val="60000"/>
            </w14:srgbClr>
          </w14:shadow>
        </w:rPr>
      </w:pPr>
    </w:p>
    <w:p w:rsidR="00026F78" w:rsidRPr="00703E65" w:rsidRDefault="00797519" w:rsidP="00026F78">
      <w:pPr>
        <w:spacing w:after="120"/>
        <w:jc w:val="center"/>
        <w:rPr>
          <w:b/>
          <w:color w:val="000080"/>
          <w:sz w:val="70"/>
          <w:szCs w:val="70"/>
        </w:rPr>
      </w:pPr>
      <w:r w:rsidRPr="00703E65">
        <w:rPr>
          <w:b/>
          <w:noProof/>
          <w:color w:val="000080"/>
          <w:sz w:val="70"/>
          <w:szCs w:val="70"/>
          <w:lang w:eastAsia="bg-BG"/>
        </w:rPr>
        <w:drawing>
          <wp:inline distT="0" distB="0" distL="0" distR="0">
            <wp:extent cx="1181100" cy="1228725"/>
            <wp:effectExtent l="0" t="0" r="0" b="0"/>
            <wp:docPr id="3" name="Картина 2" descr="logo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1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81100" cy="1228725"/>
                    </a:xfrm>
                    <a:prstGeom prst="rect">
                      <a:avLst/>
                    </a:prstGeom>
                    <a:noFill/>
                    <a:ln>
                      <a:noFill/>
                    </a:ln>
                  </pic:spPr>
                </pic:pic>
              </a:graphicData>
            </a:graphic>
          </wp:inline>
        </w:drawing>
      </w:r>
    </w:p>
    <w:p w:rsidR="00026F78" w:rsidRPr="00797519" w:rsidRDefault="00026F78" w:rsidP="00026F78">
      <w:pPr>
        <w:spacing w:after="120"/>
        <w:jc w:val="center"/>
        <w:rPr>
          <w:b/>
          <w:smallCaps/>
          <w:color w:val="333399"/>
          <w:spacing w:val="20"/>
          <w:sz w:val="48"/>
          <w:szCs w:val="48"/>
          <w14:shadow w14:blurRad="50800" w14:dist="38100" w14:dir="2700000" w14:sx="100000" w14:sy="100000" w14:kx="0" w14:ky="0" w14:algn="tl">
            <w14:srgbClr w14:val="000000">
              <w14:alpha w14:val="60000"/>
            </w14:srgbClr>
          </w14:shadow>
        </w:rPr>
      </w:pPr>
    </w:p>
    <w:p w:rsidR="00026F78" w:rsidRPr="00797519" w:rsidRDefault="00026F78" w:rsidP="00026F78">
      <w:pPr>
        <w:spacing w:after="120"/>
        <w:jc w:val="center"/>
        <w:rPr>
          <w:b/>
          <w:smallCaps/>
          <w:color w:val="333399"/>
          <w:spacing w:val="20"/>
          <w:sz w:val="48"/>
          <w:szCs w:val="48"/>
          <w14:shadow w14:blurRad="50800" w14:dist="38100" w14:dir="2700000" w14:sx="100000" w14:sy="100000" w14:kx="0" w14:ky="0" w14:algn="tl">
            <w14:srgbClr w14:val="000000">
              <w14:alpha w14:val="60000"/>
            </w14:srgbClr>
          </w14:shadow>
        </w:rPr>
      </w:pPr>
    </w:p>
    <w:p w:rsidR="00026F78" w:rsidRPr="00797519" w:rsidRDefault="00026F78" w:rsidP="00026F78">
      <w:pPr>
        <w:spacing w:after="120"/>
        <w:jc w:val="center"/>
        <w:rPr>
          <w:b/>
          <w:smallCaps/>
          <w:color w:val="333399"/>
          <w:spacing w:val="20"/>
          <w:sz w:val="60"/>
          <w:szCs w:val="60"/>
          <w14:shadow w14:blurRad="50800" w14:dist="38100" w14:dir="2700000" w14:sx="100000" w14:sy="100000" w14:kx="0" w14:ky="0" w14:algn="tl">
            <w14:srgbClr w14:val="000000">
              <w14:alpha w14:val="60000"/>
            </w14:srgbClr>
          </w14:shadow>
        </w:rPr>
      </w:pPr>
      <w:r w:rsidRPr="00797519">
        <w:rPr>
          <w:b/>
          <w:smallCaps/>
          <w:color w:val="333399"/>
          <w:spacing w:val="20"/>
          <w:sz w:val="60"/>
          <w:szCs w:val="60"/>
          <w14:shadow w14:blurRad="50800" w14:dist="38100" w14:dir="2700000" w14:sx="100000" w14:sy="100000" w14:kx="0" w14:ky="0" w14:algn="tl">
            <w14:srgbClr w14:val="000000">
              <w14:alpha w14:val="60000"/>
            </w14:srgbClr>
          </w14:shadow>
        </w:rPr>
        <w:t>Годишен анализ на дейността</w:t>
      </w:r>
    </w:p>
    <w:p w:rsidR="00026F78" w:rsidRPr="00797519" w:rsidRDefault="00026F78" w:rsidP="00026F78">
      <w:pPr>
        <w:spacing w:after="120"/>
        <w:jc w:val="center"/>
        <w:rPr>
          <w:b/>
          <w:smallCaps/>
          <w:color w:val="333399"/>
          <w:spacing w:val="20"/>
          <w:sz w:val="48"/>
          <w:szCs w:val="48"/>
          <w14:shadow w14:blurRad="50800" w14:dist="38100" w14:dir="2700000" w14:sx="100000" w14:sy="100000" w14:kx="0" w14:ky="0" w14:algn="tl">
            <w14:srgbClr w14:val="000000">
              <w14:alpha w14:val="60000"/>
            </w14:srgbClr>
          </w14:shadow>
        </w:rPr>
      </w:pPr>
    </w:p>
    <w:p w:rsidR="00026F78" w:rsidRPr="00797519" w:rsidRDefault="00026F78" w:rsidP="00026F78">
      <w:pPr>
        <w:spacing w:after="120"/>
        <w:jc w:val="center"/>
        <w:rPr>
          <w:b/>
          <w:smallCaps/>
          <w:color w:val="333399"/>
          <w:spacing w:val="20"/>
          <w:sz w:val="48"/>
          <w:szCs w:val="48"/>
          <w14:shadow w14:blurRad="50800" w14:dist="38100" w14:dir="2700000" w14:sx="100000" w14:sy="100000" w14:kx="0" w14:ky="0" w14:algn="tl">
            <w14:srgbClr w14:val="000000">
              <w14:alpha w14:val="60000"/>
            </w14:srgbClr>
          </w14:shadow>
        </w:rPr>
      </w:pPr>
    </w:p>
    <w:p w:rsidR="00026F78" w:rsidRPr="00797519" w:rsidRDefault="00F840A3" w:rsidP="00026F78">
      <w:pPr>
        <w:spacing w:after="120"/>
        <w:jc w:val="center"/>
        <w:rPr>
          <w:b/>
          <w:smallCaps/>
          <w:color w:val="333399"/>
          <w:spacing w:val="20"/>
          <w:sz w:val="48"/>
          <w:szCs w:val="48"/>
          <w14:shadow w14:blurRad="50800" w14:dist="38100" w14:dir="2700000" w14:sx="100000" w14:sy="100000" w14:kx="0" w14:ky="0" w14:algn="tl">
            <w14:srgbClr w14:val="000000">
              <w14:alpha w14:val="60000"/>
            </w14:srgbClr>
          </w14:shadow>
        </w:rPr>
      </w:pPr>
      <w:r w:rsidRPr="00797519">
        <w:rPr>
          <w:b/>
          <w:smallCaps/>
          <w:color w:val="333399"/>
          <w:spacing w:val="20"/>
          <w:sz w:val="48"/>
          <w:szCs w:val="48"/>
          <w14:shadow w14:blurRad="50800" w14:dist="38100" w14:dir="2700000" w14:sx="100000" w14:sy="100000" w14:kx="0" w14:ky="0" w14:algn="tl">
            <w14:srgbClr w14:val="000000">
              <w14:alpha w14:val="60000"/>
            </w14:srgbClr>
          </w14:shadow>
        </w:rPr>
        <w:t>за 20</w:t>
      </w:r>
      <w:r w:rsidRPr="00797519">
        <w:rPr>
          <w:b/>
          <w:smallCaps/>
          <w:color w:val="333399"/>
          <w:spacing w:val="20"/>
          <w:sz w:val="48"/>
          <w:szCs w:val="48"/>
          <w:lang w:val="ru-RU"/>
          <w14:shadow w14:blurRad="50800" w14:dist="38100" w14:dir="2700000" w14:sx="100000" w14:sy="100000" w14:kx="0" w14:ky="0" w14:algn="tl">
            <w14:srgbClr w14:val="000000">
              <w14:alpha w14:val="60000"/>
            </w14:srgbClr>
          </w14:shadow>
        </w:rPr>
        <w:t>1</w:t>
      </w:r>
      <w:r w:rsidR="00C46CE6">
        <w:rPr>
          <w:b/>
          <w:smallCaps/>
          <w:color w:val="333399"/>
          <w:spacing w:val="20"/>
          <w:sz w:val="48"/>
          <w:szCs w:val="48"/>
          <w14:shadow w14:blurRad="50800" w14:dist="38100" w14:dir="2700000" w14:sx="100000" w14:sy="100000" w14:kx="0" w14:ky="0" w14:algn="tl">
            <w14:srgbClr w14:val="000000">
              <w14:alpha w14:val="60000"/>
            </w14:srgbClr>
          </w14:shadow>
        </w:rPr>
        <w:t>7</w:t>
      </w:r>
      <w:r w:rsidR="00026F78" w:rsidRPr="00797519">
        <w:rPr>
          <w:b/>
          <w:smallCaps/>
          <w:color w:val="333399"/>
          <w:spacing w:val="20"/>
          <w:sz w:val="48"/>
          <w:szCs w:val="48"/>
          <w14:shadow w14:blurRad="50800" w14:dist="38100" w14:dir="2700000" w14:sx="100000" w14:sy="100000" w14:kx="0" w14:ky="0" w14:algn="tl">
            <w14:srgbClr w14:val="000000">
              <w14:alpha w14:val="60000"/>
            </w14:srgbClr>
          </w14:shadow>
        </w:rPr>
        <w:t xml:space="preserve"> г.</w:t>
      </w:r>
    </w:p>
    <w:p w:rsidR="00035766" w:rsidRDefault="00035766" w:rsidP="00026F78">
      <w:pPr>
        <w:spacing w:after="120"/>
        <w:jc w:val="center"/>
        <w:rPr>
          <w:b/>
          <w:color w:val="000080"/>
          <w:sz w:val="70"/>
          <w:szCs w:val="70"/>
        </w:rPr>
      </w:pPr>
    </w:p>
    <w:p w:rsidR="00904217" w:rsidRDefault="00904217" w:rsidP="00026F78">
      <w:pPr>
        <w:spacing w:after="120"/>
        <w:jc w:val="center"/>
        <w:rPr>
          <w:b/>
          <w:color w:val="000080"/>
          <w:sz w:val="70"/>
          <w:szCs w:val="70"/>
        </w:rPr>
      </w:pPr>
    </w:p>
    <w:p w:rsidR="00904217" w:rsidRPr="00904217" w:rsidRDefault="00904217" w:rsidP="00026F78">
      <w:pPr>
        <w:spacing w:after="120"/>
        <w:jc w:val="center"/>
        <w:rPr>
          <w:b/>
          <w:color w:val="000080"/>
          <w:sz w:val="52"/>
          <w:szCs w:val="70"/>
        </w:rPr>
      </w:pPr>
    </w:p>
    <w:p w:rsidR="00026F78" w:rsidRPr="00703E65" w:rsidRDefault="00026F78" w:rsidP="00B22555">
      <w:pPr>
        <w:spacing w:after="120"/>
        <w:jc w:val="center"/>
        <w:rPr>
          <w:i/>
        </w:rPr>
      </w:pPr>
    </w:p>
    <w:p w:rsidR="00B25FBA" w:rsidRPr="00B25FBA" w:rsidRDefault="00026F78" w:rsidP="00B25FBA">
      <w:pPr>
        <w:pStyle w:val="BodyText"/>
        <w:spacing w:after="120"/>
        <w:jc w:val="center"/>
        <w:rPr>
          <w:rFonts w:ascii="Monotype Corsiva" w:hAnsi="Monotype Corsiva"/>
          <w:sz w:val="22"/>
          <w:szCs w:val="22"/>
          <w:lang w:val="ru-RU"/>
        </w:rPr>
      </w:pPr>
      <w:r w:rsidRPr="00703E65">
        <w:rPr>
          <w:rFonts w:ascii="Monotype Corsiva" w:hAnsi="Monotype Corsiva"/>
          <w:sz w:val="22"/>
          <w:szCs w:val="22"/>
        </w:rPr>
        <w:t xml:space="preserve"> </w:t>
      </w:r>
      <w:r w:rsidR="00B25FBA" w:rsidRPr="00B25FBA">
        <w:rPr>
          <w:rFonts w:ascii="Monotype Corsiva" w:hAnsi="Monotype Corsiva"/>
          <w:sz w:val="22"/>
          <w:szCs w:val="22"/>
        </w:rPr>
        <w:t xml:space="preserve">„Пристанищен комплекс – Русе” ЕАД е сертифициран по стандарта </w:t>
      </w:r>
      <w:r w:rsidR="00B25FBA" w:rsidRPr="00B25FBA">
        <w:rPr>
          <w:rFonts w:ascii="Monotype Corsiva" w:hAnsi="Monotype Corsiva"/>
          <w:sz w:val="22"/>
          <w:szCs w:val="22"/>
          <w:lang w:val="en-US"/>
        </w:rPr>
        <w:t>ISO</w:t>
      </w:r>
      <w:r w:rsidR="00B25FBA" w:rsidRPr="00B25FBA">
        <w:rPr>
          <w:rFonts w:ascii="Monotype Corsiva" w:hAnsi="Monotype Corsiva"/>
          <w:sz w:val="22"/>
          <w:szCs w:val="22"/>
          <w:lang w:val="ru-RU"/>
        </w:rPr>
        <w:t xml:space="preserve"> 9001:200</w:t>
      </w:r>
      <w:r w:rsidR="00B25FBA" w:rsidRPr="00832A06">
        <w:rPr>
          <w:rFonts w:ascii="Monotype Corsiva" w:hAnsi="Monotype Corsiva"/>
          <w:sz w:val="22"/>
          <w:szCs w:val="22"/>
        </w:rPr>
        <w:t>8</w:t>
      </w:r>
      <w:r w:rsidR="00B25FBA" w:rsidRPr="00B25FBA">
        <w:rPr>
          <w:rFonts w:ascii="Monotype Corsiva" w:hAnsi="Monotype Corsiva"/>
          <w:sz w:val="22"/>
          <w:szCs w:val="22"/>
        </w:rPr>
        <w:t xml:space="preserve"> от „ТЮФ - Рейнланд България“ ЕООД</w:t>
      </w:r>
      <w:r w:rsidR="00B25FBA" w:rsidRPr="00B25FBA">
        <w:rPr>
          <w:rFonts w:ascii="Monotype Corsiva" w:hAnsi="Monotype Corsiva"/>
          <w:sz w:val="22"/>
          <w:szCs w:val="22"/>
          <w:lang w:val="ru-RU"/>
        </w:rPr>
        <w:t>.</w:t>
      </w:r>
    </w:p>
    <w:p w:rsidR="000E03DA" w:rsidRPr="00904217" w:rsidRDefault="000E03DA" w:rsidP="00893A01">
      <w:pPr>
        <w:pStyle w:val="BodyText"/>
        <w:spacing w:after="120"/>
        <w:jc w:val="center"/>
        <w:rPr>
          <w:rFonts w:ascii="Monotype Corsiva" w:hAnsi="Monotype Corsiva"/>
          <w:sz w:val="18"/>
          <w:szCs w:val="22"/>
          <w:lang w:val="ru-RU"/>
        </w:rPr>
      </w:pPr>
    </w:p>
    <w:p w:rsidR="00B22555" w:rsidRPr="00797519" w:rsidRDefault="00797519" w:rsidP="00B42C52">
      <w:pPr>
        <w:pStyle w:val="Subtitle"/>
        <w:spacing w:after="120" w:line="240" w:lineRule="auto"/>
        <w:ind w:left="0" w:right="0"/>
        <w:jc w:val="center"/>
        <w:rPr>
          <w:i w:val="0"/>
          <w:color w:val="0088CC"/>
          <w:spacing w:val="60"/>
          <w:w w:val="90"/>
          <w:sz w:val="24"/>
          <w:szCs w:val="24"/>
          <w:lang w:val="bg-BG"/>
          <w14:shadow w14:blurRad="50800" w14:dist="38100" w14:dir="2700000" w14:sx="100000" w14:sy="100000" w14:kx="0" w14:ky="0" w14:algn="tl">
            <w14:srgbClr w14:val="000000">
              <w14:alpha w14:val="60000"/>
            </w14:srgbClr>
          </w14:shadow>
        </w:rPr>
      </w:pPr>
      <w:r w:rsidRPr="00B25FBA">
        <w:rPr>
          <w:rFonts w:eastAsia="SimSun"/>
          <w:noProof/>
          <w:spacing w:val="0"/>
          <w:kern w:val="0"/>
          <w:sz w:val="24"/>
          <w:szCs w:val="24"/>
          <w:lang w:val="bg-BG" w:eastAsia="bg-BG"/>
        </w:rPr>
        <w:drawing>
          <wp:inline distT="0" distB="0" distL="0" distR="0">
            <wp:extent cx="1081944" cy="552321"/>
            <wp:effectExtent l="0" t="0" r="4445" b="635"/>
            <wp:docPr id="4" name="Картина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8999" cy="555922"/>
                    </a:xfrm>
                    <a:prstGeom prst="rect">
                      <a:avLst/>
                    </a:prstGeom>
                    <a:noFill/>
                  </pic:spPr>
                </pic:pic>
              </a:graphicData>
            </a:graphic>
          </wp:inline>
        </w:drawing>
      </w:r>
    </w:p>
    <w:p w:rsidR="00026F78" w:rsidRPr="00703E65" w:rsidRDefault="00026F78" w:rsidP="00026F78">
      <w:pPr>
        <w:pStyle w:val="BodyText"/>
        <w:rPr>
          <w:lang w:eastAsia="en-US"/>
        </w:rPr>
      </w:pPr>
    </w:p>
    <w:p w:rsidR="00026F78" w:rsidRPr="00703E65" w:rsidRDefault="00026F78" w:rsidP="00026F78">
      <w:pPr>
        <w:pStyle w:val="BodyText"/>
        <w:rPr>
          <w:lang w:eastAsia="en-US"/>
        </w:rPr>
      </w:pPr>
    </w:p>
    <w:p w:rsidR="00B22555" w:rsidRPr="00797519" w:rsidRDefault="00B22555" w:rsidP="00B42C52">
      <w:pPr>
        <w:pStyle w:val="Subtitle"/>
        <w:spacing w:after="120" w:line="240" w:lineRule="auto"/>
        <w:ind w:left="0" w:right="0"/>
        <w:jc w:val="center"/>
        <w:rPr>
          <w:color w:val="0088CC"/>
          <w:spacing w:val="60"/>
          <w:w w:val="90"/>
          <w:sz w:val="24"/>
          <w:szCs w:val="24"/>
          <w:u w:val="single"/>
          <w:lang w:val="bg-BG"/>
          <w14:shadow w14:blurRad="50800" w14:dist="38100" w14:dir="2700000" w14:sx="100000" w14:sy="100000" w14:kx="0" w14:ky="0" w14:algn="tl">
            <w14:srgbClr w14:val="000000">
              <w14:alpha w14:val="60000"/>
            </w14:srgbClr>
          </w14:shadow>
        </w:rPr>
      </w:pPr>
    </w:p>
    <w:p w:rsidR="00E22AC9" w:rsidRPr="00797519" w:rsidRDefault="00E22AC9" w:rsidP="00B42C52">
      <w:pPr>
        <w:pStyle w:val="Subtitle"/>
        <w:spacing w:after="120" w:line="240" w:lineRule="auto"/>
        <w:ind w:left="0" w:right="0"/>
        <w:jc w:val="center"/>
        <w:rPr>
          <w:color w:val="0088CC"/>
          <w:spacing w:val="60"/>
          <w:w w:val="90"/>
          <w:sz w:val="60"/>
          <w:szCs w:val="60"/>
          <w:u w:val="single"/>
          <w:lang w:val="bg-BG"/>
          <w14:shadow w14:blurRad="50800" w14:dist="38100" w14:dir="2700000" w14:sx="100000" w14:sy="100000" w14:kx="0" w14:ky="0" w14:algn="tl">
            <w14:srgbClr w14:val="000000">
              <w14:alpha w14:val="60000"/>
            </w14:srgbClr>
          </w14:shadow>
        </w:rPr>
      </w:pPr>
      <w:r w:rsidRPr="00797519">
        <w:rPr>
          <w:color w:val="0088CC"/>
          <w:spacing w:val="60"/>
          <w:w w:val="90"/>
          <w:sz w:val="60"/>
          <w:szCs w:val="60"/>
          <w:u w:val="single"/>
          <w:lang w:val="bg-BG"/>
          <w14:shadow w14:blurRad="50800" w14:dist="38100" w14:dir="2700000" w14:sx="100000" w14:sy="100000" w14:kx="0" w14:ky="0" w14:algn="tl">
            <w14:srgbClr w14:val="000000">
              <w14:alpha w14:val="60000"/>
            </w14:srgbClr>
          </w14:shadow>
        </w:rPr>
        <w:t>СЪДЪРЖАНИЕ:</w:t>
      </w:r>
    </w:p>
    <w:p w:rsidR="00593E75" w:rsidRDefault="00593E75" w:rsidP="00B42C52">
      <w:pPr>
        <w:pStyle w:val="BodyTextIndent"/>
        <w:spacing w:after="120"/>
        <w:rPr>
          <w:rFonts w:ascii="Arial" w:hAnsi="Arial" w:cs="Arial"/>
          <w:sz w:val="26"/>
          <w:szCs w:val="26"/>
          <w:u w:val="single"/>
        </w:rPr>
      </w:pPr>
    </w:p>
    <w:p w:rsidR="009B762E" w:rsidRPr="00703E65" w:rsidRDefault="009B762E" w:rsidP="00B42C52">
      <w:pPr>
        <w:pStyle w:val="BodyTextIndent"/>
        <w:spacing w:after="120"/>
        <w:rPr>
          <w:rFonts w:ascii="Arial" w:hAnsi="Arial" w:cs="Arial"/>
          <w:sz w:val="26"/>
          <w:szCs w:val="26"/>
          <w:u w:val="single"/>
        </w:rPr>
      </w:pPr>
    </w:p>
    <w:p w:rsidR="003B0E56" w:rsidRDefault="003B0E56" w:rsidP="003B0E56"/>
    <w:p w:rsidR="009E108A" w:rsidRPr="0023037D" w:rsidRDefault="001A2DC3">
      <w:pPr>
        <w:pStyle w:val="TOC1"/>
        <w:rPr>
          <w:rFonts w:ascii="Calibri" w:eastAsia="Times New Roman" w:hAnsi="Calibri"/>
          <w:noProof/>
          <w:sz w:val="20"/>
          <w:szCs w:val="22"/>
          <w:lang w:eastAsia="bg-BG"/>
        </w:rPr>
      </w:pPr>
      <w:r w:rsidRPr="009E108A">
        <w:rPr>
          <w:szCs w:val="28"/>
        </w:rPr>
        <w:fldChar w:fldCharType="begin"/>
      </w:r>
      <w:r w:rsidRPr="009E108A">
        <w:rPr>
          <w:szCs w:val="28"/>
        </w:rPr>
        <w:instrText xml:space="preserve"> TOC \o "1-3" \h \z \u </w:instrText>
      </w:r>
      <w:r w:rsidRPr="009E108A">
        <w:rPr>
          <w:szCs w:val="28"/>
        </w:rPr>
        <w:fldChar w:fldCharType="separate"/>
      </w:r>
      <w:hyperlink w:anchor="_Toc477959762" w:history="1">
        <w:r w:rsidR="009E108A" w:rsidRPr="009E108A">
          <w:rPr>
            <w:rStyle w:val="Hyperlink"/>
            <w:smallCaps/>
            <w:noProof/>
            <w:sz w:val="22"/>
          </w:rPr>
          <w:t>I.</w:t>
        </w:r>
        <w:r w:rsidR="009E108A" w:rsidRPr="0023037D">
          <w:rPr>
            <w:rFonts w:ascii="Calibri" w:eastAsia="Times New Roman" w:hAnsi="Calibri"/>
            <w:noProof/>
            <w:sz w:val="20"/>
            <w:szCs w:val="22"/>
            <w:lang w:eastAsia="bg-BG"/>
          </w:rPr>
          <w:tab/>
        </w:r>
        <w:r w:rsidR="009E108A" w:rsidRPr="009E108A">
          <w:rPr>
            <w:rStyle w:val="Hyperlink"/>
            <w:noProof/>
            <w:sz w:val="22"/>
          </w:rPr>
          <w:t>АНАЛИЗ НА ОПЕРАТИВНАТА ДЕЙНОСТ</w:t>
        </w:r>
        <w:r w:rsidR="009E108A" w:rsidRPr="009E108A">
          <w:rPr>
            <w:noProof/>
            <w:webHidden/>
            <w:sz w:val="22"/>
          </w:rPr>
          <w:tab/>
        </w:r>
        <w:r w:rsidR="009E108A" w:rsidRPr="009E108A">
          <w:rPr>
            <w:noProof/>
            <w:webHidden/>
            <w:sz w:val="22"/>
          </w:rPr>
          <w:fldChar w:fldCharType="begin"/>
        </w:r>
        <w:r w:rsidR="009E108A" w:rsidRPr="009E108A">
          <w:rPr>
            <w:noProof/>
            <w:webHidden/>
            <w:sz w:val="22"/>
          </w:rPr>
          <w:instrText xml:space="preserve"> PAGEREF _Toc477959762 \h </w:instrText>
        </w:r>
        <w:r w:rsidR="009E108A" w:rsidRPr="009E108A">
          <w:rPr>
            <w:noProof/>
            <w:webHidden/>
            <w:sz w:val="22"/>
          </w:rPr>
        </w:r>
        <w:r w:rsidR="009E108A" w:rsidRPr="009E108A">
          <w:rPr>
            <w:noProof/>
            <w:webHidden/>
            <w:sz w:val="22"/>
          </w:rPr>
          <w:fldChar w:fldCharType="separate"/>
        </w:r>
        <w:r w:rsidR="006312E4">
          <w:rPr>
            <w:noProof/>
            <w:webHidden/>
            <w:sz w:val="22"/>
          </w:rPr>
          <w:t>2</w:t>
        </w:r>
        <w:r w:rsidR="009E108A" w:rsidRPr="009E108A">
          <w:rPr>
            <w:noProof/>
            <w:webHidden/>
            <w:sz w:val="22"/>
          </w:rPr>
          <w:fldChar w:fldCharType="end"/>
        </w:r>
      </w:hyperlink>
    </w:p>
    <w:p w:rsidR="009E108A" w:rsidRPr="0023037D" w:rsidRDefault="006908A9" w:rsidP="009E108A">
      <w:pPr>
        <w:pStyle w:val="TOC2"/>
        <w:tabs>
          <w:tab w:val="right" w:leader="dot" w:pos="9713"/>
        </w:tabs>
        <w:ind w:left="0"/>
        <w:rPr>
          <w:rFonts w:ascii="Calibri" w:eastAsia="Times New Roman" w:hAnsi="Calibri"/>
          <w:noProof/>
          <w:sz w:val="20"/>
          <w:szCs w:val="22"/>
          <w:lang w:eastAsia="bg-BG"/>
        </w:rPr>
      </w:pPr>
      <w:hyperlink w:anchor="_Toc477959763" w:history="1">
        <w:r w:rsidR="009E108A" w:rsidRPr="009E108A">
          <w:rPr>
            <w:rStyle w:val="Hyperlink"/>
            <w:i/>
            <w:noProof/>
            <w:sz w:val="22"/>
          </w:rPr>
          <w:t>1) Анализ на товарооборота за 20</w:t>
        </w:r>
        <w:r w:rsidR="009E108A" w:rsidRPr="009E108A">
          <w:rPr>
            <w:rStyle w:val="Hyperlink"/>
            <w:i/>
            <w:noProof/>
            <w:sz w:val="22"/>
            <w:lang w:val="ru-RU"/>
          </w:rPr>
          <w:t>1</w:t>
        </w:r>
        <w:r w:rsidR="00F278DE">
          <w:rPr>
            <w:rStyle w:val="Hyperlink"/>
            <w:i/>
            <w:noProof/>
            <w:sz w:val="22"/>
          </w:rPr>
          <w:t>7</w:t>
        </w:r>
        <w:r w:rsidR="009E108A" w:rsidRPr="009E108A">
          <w:rPr>
            <w:rStyle w:val="Hyperlink"/>
            <w:i/>
            <w:noProof/>
            <w:sz w:val="22"/>
          </w:rPr>
          <w:t xml:space="preserve"> г.</w:t>
        </w:r>
        <w:r w:rsidR="009E108A" w:rsidRPr="009E108A">
          <w:rPr>
            <w:noProof/>
            <w:webHidden/>
            <w:sz w:val="22"/>
          </w:rPr>
          <w:tab/>
        </w:r>
        <w:r w:rsidR="009E108A" w:rsidRPr="009E108A">
          <w:rPr>
            <w:noProof/>
            <w:webHidden/>
            <w:sz w:val="22"/>
          </w:rPr>
          <w:fldChar w:fldCharType="begin"/>
        </w:r>
        <w:r w:rsidR="009E108A" w:rsidRPr="009E108A">
          <w:rPr>
            <w:noProof/>
            <w:webHidden/>
            <w:sz w:val="22"/>
          </w:rPr>
          <w:instrText xml:space="preserve"> PAGEREF _Toc477959763 \h </w:instrText>
        </w:r>
        <w:r w:rsidR="009E108A" w:rsidRPr="009E108A">
          <w:rPr>
            <w:noProof/>
            <w:webHidden/>
            <w:sz w:val="22"/>
          </w:rPr>
        </w:r>
        <w:r w:rsidR="009E108A" w:rsidRPr="009E108A">
          <w:rPr>
            <w:noProof/>
            <w:webHidden/>
            <w:sz w:val="22"/>
          </w:rPr>
          <w:fldChar w:fldCharType="separate"/>
        </w:r>
        <w:r w:rsidR="006312E4">
          <w:rPr>
            <w:noProof/>
            <w:webHidden/>
            <w:sz w:val="22"/>
          </w:rPr>
          <w:t>2</w:t>
        </w:r>
        <w:r w:rsidR="009E108A" w:rsidRPr="009E108A">
          <w:rPr>
            <w:noProof/>
            <w:webHidden/>
            <w:sz w:val="22"/>
          </w:rPr>
          <w:fldChar w:fldCharType="end"/>
        </w:r>
      </w:hyperlink>
    </w:p>
    <w:p w:rsidR="009E108A" w:rsidRPr="0023037D" w:rsidRDefault="006908A9" w:rsidP="009E108A">
      <w:pPr>
        <w:pStyle w:val="TOC2"/>
        <w:tabs>
          <w:tab w:val="right" w:leader="dot" w:pos="9713"/>
        </w:tabs>
        <w:ind w:left="0"/>
        <w:rPr>
          <w:rFonts w:ascii="Calibri" w:eastAsia="Times New Roman" w:hAnsi="Calibri"/>
          <w:noProof/>
          <w:sz w:val="20"/>
          <w:szCs w:val="22"/>
          <w:lang w:eastAsia="bg-BG"/>
        </w:rPr>
      </w:pPr>
      <w:hyperlink w:anchor="_Toc477959765" w:history="1">
        <w:r w:rsidR="009E108A" w:rsidRPr="009E108A">
          <w:rPr>
            <w:rStyle w:val="Hyperlink"/>
            <w:i/>
            <w:noProof/>
            <w:sz w:val="22"/>
          </w:rPr>
          <w:t>2) Капацитет и степен на натовареност на мощностите, технологично проблемни места</w:t>
        </w:r>
        <w:r w:rsidR="009E108A" w:rsidRPr="009E108A">
          <w:rPr>
            <w:noProof/>
            <w:webHidden/>
            <w:sz w:val="22"/>
          </w:rPr>
          <w:tab/>
        </w:r>
        <w:r w:rsidR="009E108A" w:rsidRPr="009E108A">
          <w:rPr>
            <w:noProof/>
            <w:webHidden/>
            <w:sz w:val="22"/>
          </w:rPr>
          <w:fldChar w:fldCharType="begin"/>
        </w:r>
        <w:r w:rsidR="009E108A" w:rsidRPr="009E108A">
          <w:rPr>
            <w:noProof/>
            <w:webHidden/>
            <w:sz w:val="22"/>
          </w:rPr>
          <w:instrText xml:space="preserve"> PAGEREF _Toc477959765 \h </w:instrText>
        </w:r>
        <w:r w:rsidR="009E108A" w:rsidRPr="009E108A">
          <w:rPr>
            <w:noProof/>
            <w:webHidden/>
            <w:sz w:val="22"/>
          </w:rPr>
        </w:r>
        <w:r w:rsidR="009E108A" w:rsidRPr="009E108A">
          <w:rPr>
            <w:noProof/>
            <w:webHidden/>
            <w:sz w:val="22"/>
          </w:rPr>
          <w:fldChar w:fldCharType="separate"/>
        </w:r>
        <w:r w:rsidR="006312E4">
          <w:rPr>
            <w:noProof/>
            <w:webHidden/>
            <w:sz w:val="22"/>
          </w:rPr>
          <w:t>5</w:t>
        </w:r>
        <w:r w:rsidR="009E108A" w:rsidRPr="009E108A">
          <w:rPr>
            <w:noProof/>
            <w:webHidden/>
            <w:sz w:val="22"/>
          </w:rPr>
          <w:fldChar w:fldCharType="end"/>
        </w:r>
      </w:hyperlink>
    </w:p>
    <w:p w:rsidR="009E108A" w:rsidRPr="0023037D" w:rsidRDefault="006908A9" w:rsidP="009E108A">
      <w:pPr>
        <w:pStyle w:val="TOC2"/>
        <w:tabs>
          <w:tab w:val="right" w:leader="dot" w:pos="9713"/>
        </w:tabs>
        <w:ind w:left="0"/>
        <w:rPr>
          <w:rFonts w:ascii="Calibri" w:eastAsia="Times New Roman" w:hAnsi="Calibri"/>
          <w:noProof/>
          <w:sz w:val="20"/>
          <w:szCs w:val="22"/>
          <w:lang w:eastAsia="bg-BG"/>
        </w:rPr>
      </w:pPr>
      <w:hyperlink w:anchor="_Toc477959767" w:history="1">
        <w:r w:rsidR="009E108A" w:rsidRPr="009E108A">
          <w:rPr>
            <w:rStyle w:val="Hyperlink"/>
            <w:i/>
            <w:noProof/>
            <w:sz w:val="22"/>
          </w:rPr>
          <w:t>3) Пазарен анализ – клиенти, доставчици, конкуренти, маркетингова политика</w:t>
        </w:r>
        <w:r w:rsidR="009E108A" w:rsidRPr="009E108A">
          <w:rPr>
            <w:noProof/>
            <w:webHidden/>
            <w:sz w:val="22"/>
          </w:rPr>
          <w:tab/>
        </w:r>
        <w:r w:rsidR="009E108A" w:rsidRPr="009E108A">
          <w:rPr>
            <w:noProof/>
            <w:webHidden/>
            <w:sz w:val="22"/>
          </w:rPr>
          <w:fldChar w:fldCharType="begin"/>
        </w:r>
        <w:r w:rsidR="009E108A" w:rsidRPr="009E108A">
          <w:rPr>
            <w:noProof/>
            <w:webHidden/>
            <w:sz w:val="22"/>
          </w:rPr>
          <w:instrText xml:space="preserve"> PAGEREF _Toc477959767 \h </w:instrText>
        </w:r>
        <w:r w:rsidR="009E108A" w:rsidRPr="009E108A">
          <w:rPr>
            <w:noProof/>
            <w:webHidden/>
            <w:sz w:val="22"/>
          </w:rPr>
        </w:r>
        <w:r w:rsidR="009E108A" w:rsidRPr="009E108A">
          <w:rPr>
            <w:noProof/>
            <w:webHidden/>
            <w:sz w:val="22"/>
          </w:rPr>
          <w:fldChar w:fldCharType="separate"/>
        </w:r>
        <w:r w:rsidR="006312E4">
          <w:rPr>
            <w:noProof/>
            <w:webHidden/>
            <w:sz w:val="22"/>
          </w:rPr>
          <w:t>7</w:t>
        </w:r>
        <w:r w:rsidR="009E108A" w:rsidRPr="009E108A">
          <w:rPr>
            <w:noProof/>
            <w:webHidden/>
            <w:sz w:val="22"/>
          </w:rPr>
          <w:fldChar w:fldCharType="end"/>
        </w:r>
      </w:hyperlink>
    </w:p>
    <w:p w:rsidR="009E108A" w:rsidRPr="0023037D" w:rsidRDefault="006908A9" w:rsidP="009E108A">
      <w:pPr>
        <w:pStyle w:val="TOC2"/>
        <w:tabs>
          <w:tab w:val="right" w:leader="dot" w:pos="9713"/>
        </w:tabs>
        <w:ind w:left="0"/>
        <w:rPr>
          <w:rFonts w:ascii="Calibri" w:eastAsia="Times New Roman" w:hAnsi="Calibri"/>
          <w:noProof/>
          <w:sz w:val="20"/>
          <w:szCs w:val="22"/>
          <w:lang w:eastAsia="bg-BG"/>
        </w:rPr>
      </w:pPr>
      <w:hyperlink w:anchor="_Toc477959768" w:history="1">
        <w:r w:rsidR="009E108A" w:rsidRPr="009E108A">
          <w:rPr>
            <w:rStyle w:val="Hyperlink"/>
            <w:i/>
            <w:noProof/>
            <w:sz w:val="22"/>
          </w:rPr>
          <w:t>4)  Изпълнение на инвестиционната програма</w:t>
        </w:r>
        <w:r w:rsidR="009E108A" w:rsidRPr="009E108A">
          <w:rPr>
            <w:noProof/>
            <w:webHidden/>
            <w:sz w:val="22"/>
          </w:rPr>
          <w:tab/>
        </w:r>
        <w:r w:rsidR="009E108A" w:rsidRPr="009E108A">
          <w:rPr>
            <w:noProof/>
            <w:webHidden/>
            <w:sz w:val="22"/>
          </w:rPr>
          <w:fldChar w:fldCharType="begin"/>
        </w:r>
        <w:r w:rsidR="009E108A" w:rsidRPr="009E108A">
          <w:rPr>
            <w:noProof/>
            <w:webHidden/>
            <w:sz w:val="22"/>
          </w:rPr>
          <w:instrText xml:space="preserve"> PAGEREF _Toc477959768 \h </w:instrText>
        </w:r>
        <w:r w:rsidR="009E108A" w:rsidRPr="009E108A">
          <w:rPr>
            <w:noProof/>
            <w:webHidden/>
            <w:sz w:val="22"/>
          </w:rPr>
        </w:r>
        <w:r w:rsidR="009E108A" w:rsidRPr="009E108A">
          <w:rPr>
            <w:noProof/>
            <w:webHidden/>
            <w:sz w:val="22"/>
          </w:rPr>
          <w:fldChar w:fldCharType="separate"/>
        </w:r>
        <w:r w:rsidR="006312E4">
          <w:rPr>
            <w:noProof/>
            <w:webHidden/>
            <w:sz w:val="22"/>
          </w:rPr>
          <w:t>10</w:t>
        </w:r>
        <w:r w:rsidR="009E108A" w:rsidRPr="009E108A">
          <w:rPr>
            <w:noProof/>
            <w:webHidden/>
            <w:sz w:val="22"/>
          </w:rPr>
          <w:fldChar w:fldCharType="end"/>
        </w:r>
      </w:hyperlink>
    </w:p>
    <w:p w:rsidR="009E108A" w:rsidRPr="0023037D" w:rsidRDefault="006908A9" w:rsidP="009E108A">
      <w:pPr>
        <w:pStyle w:val="TOC2"/>
        <w:tabs>
          <w:tab w:val="right" w:leader="dot" w:pos="9713"/>
        </w:tabs>
        <w:ind w:left="0"/>
        <w:rPr>
          <w:rFonts w:ascii="Calibri" w:eastAsia="Times New Roman" w:hAnsi="Calibri"/>
          <w:noProof/>
          <w:sz w:val="20"/>
          <w:szCs w:val="22"/>
          <w:lang w:eastAsia="bg-BG"/>
        </w:rPr>
      </w:pPr>
      <w:hyperlink w:anchor="_Toc477959769" w:history="1">
        <w:r w:rsidR="009E108A" w:rsidRPr="009E108A">
          <w:rPr>
            <w:rStyle w:val="Hyperlink"/>
            <w:i/>
            <w:noProof/>
            <w:sz w:val="22"/>
          </w:rPr>
          <w:t>5) Основни проблеми и рискове през 201</w:t>
        </w:r>
        <w:r w:rsidR="00F278DE">
          <w:rPr>
            <w:rStyle w:val="Hyperlink"/>
            <w:i/>
            <w:noProof/>
            <w:sz w:val="22"/>
          </w:rPr>
          <w:t>7</w:t>
        </w:r>
        <w:r w:rsidR="009E108A" w:rsidRPr="009E108A">
          <w:rPr>
            <w:rStyle w:val="Hyperlink"/>
            <w:i/>
            <w:noProof/>
            <w:sz w:val="22"/>
          </w:rPr>
          <w:t xml:space="preserve"> г.</w:t>
        </w:r>
        <w:r w:rsidR="009E108A" w:rsidRPr="009E108A">
          <w:rPr>
            <w:noProof/>
            <w:webHidden/>
            <w:sz w:val="22"/>
          </w:rPr>
          <w:tab/>
        </w:r>
        <w:r w:rsidR="009E108A" w:rsidRPr="009E108A">
          <w:rPr>
            <w:noProof/>
            <w:webHidden/>
            <w:sz w:val="22"/>
          </w:rPr>
          <w:fldChar w:fldCharType="begin"/>
        </w:r>
        <w:r w:rsidR="009E108A" w:rsidRPr="009E108A">
          <w:rPr>
            <w:noProof/>
            <w:webHidden/>
            <w:sz w:val="22"/>
          </w:rPr>
          <w:instrText xml:space="preserve"> PAGEREF _Toc477959769 \h </w:instrText>
        </w:r>
        <w:r w:rsidR="009E108A" w:rsidRPr="009E108A">
          <w:rPr>
            <w:noProof/>
            <w:webHidden/>
            <w:sz w:val="22"/>
          </w:rPr>
        </w:r>
        <w:r w:rsidR="009E108A" w:rsidRPr="009E108A">
          <w:rPr>
            <w:noProof/>
            <w:webHidden/>
            <w:sz w:val="22"/>
          </w:rPr>
          <w:fldChar w:fldCharType="separate"/>
        </w:r>
        <w:r w:rsidR="006312E4">
          <w:rPr>
            <w:noProof/>
            <w:webHidden/>
            <w:sz w:val="22"/>
          </w:rPr>
          <w:t>10</w:t>
        </w:r>
        <w:r w:rsidR="009E108A" w:rsidRPr="009E108A">
          <w:rPr>
            <w:noProof/>
            <w:webHidden/>
            <w:sz w:val="22"/>
          </w:rPr>
          <w:fldChar w:fldCharType="end"/>
        </w:r>
      </w:hyperlink>
    </w:p>
    <w:p w:rsidR="009E108A" w:rsidRPr="009E108A" w:rsidRDefault="009E108A">
      <w:pPr>
        <w:pStyle w:val="TOC1"/>
        <w:rPr>
          <w:rStyle w:val="Hyperlink"/>
          <w:noProof/>
          <w:sz w:val="22"/>
        </w:rPr>
      </w:pPr>
    </w:p>
    <w:p w:rsidR="009E108A" w:rsidRPr="0023037D" w:rsidRDefault="006908A9">
      <w:pPr>
        <w:pStyle w:val="TOC1"/>
        <w:rPr>
          <w:rFonts w:ascii="Calibri" w:eastAsia="Times New Roman" w:hAnsi="Calibri"/>
          <w:noProof/>
          <w:sz w:val="20"/>
          <w:szCs w:val="22"/>
          <w:lang w:eastAsia="bg-BG"/>
        </w:rPr>
      </w:pPr>
      <w:hyperlink w:anchor="_Toc477959771" w:history="1">
        <w:r w:rsidR="009E108A" w:rsidRPr="009E108A">
          <w:rPr>
            <w:rStyle w:val="Hyperlink"/>
            <w:noProof/>
            <w:sz w:val="22"/>
          </w:rPr>
          <w:t>II.</w:t>
        </w:r>
        <w:r w:rsidR="009E108A" w:rsidRPr="0023037D">
          <w:rPr>
            <w:rFonts w:ascii="Calibri" w:eastAsia="Times New Roman" w:hAnsi="Calibri"/>
            <w:noProof/>
            <w:sz w:val="20"/>
            <w:szCs w:val="22"/>
            <w:lang w:eastAsia="bg-BG"/>
          </w:rPr>
          <w:tab/>
        </w:r>
        <w:r w:rsidR="009E108A" w:rsidRPr="009E108A">
          <w:rPr>
            <w:rStyle w:val="Hyperlink"/>
            <w:noProof/>
            <w:sz w:val="22"/>
          </w:rPr>
          <w:t>ФИНАНСОВ АНАЛИЗ</w:t>
        </w:r>
        <w:r w:rsidR="009E108A" w:rsidRPr="009E108A">
          <w:rPr>
            <w:noProof/>
            <w:webHidden/>
            <w:sz w:val="22"/>
          </w:rPr>
          <w:tab/>
        </w:r>
        <w:r w:rsidR="009E108A" w:rsidRPr="009E108A">
          <w:rPr>
            <w:noProof/>
            <w:webHidden/>
            <w:sz w:val="22"/>
          </w:rPr>
          <w:fldChar w:fldCharType="begin"/>
        </w:r>
        <w:r w:rsidR="009E108A" w:rsidRPr="009E108A">
          <w:rPr>
            <w:noProof/>
            <w:webHidden/>
            <w:sz w:val="22"/>
          </w:rPr>
          <w:instrText xml:space="preserve"> PAGEREF _Toc477959771 \h </w:instrText>
        </w:r>
        <w:r w:rsidR="009E108A" w:rsidRPr="009E108A">
          <w:rPr>
            <w:noProof/>
            <w:webHidden/>
            <w:sz w:val="22"/>
          </w:rPr>
        </w:r>
        <w:r w:rsidR="009E108A" w:rsidRPr="009E108A">
          <w:rPr>
            <w:noProof/>
            <w:webHidden/>
            <w:sz w:val="22"/>
          </w:rPr>
          <w:fldChar w:fldCharType="separate"/>
        </w:r>
        <w:r w:rsidR="006312E4">
          <w:rPr>
            <w:noProof/>
            <w:webHidden/>
            <w:sz w:val="22"/>
          </w:rPr>
          <w:t>11</w:t>
        </w:r>
        <w:r w:rsidR="009E108A" w:rsidRPr="009E108A">
          <w:rPr>
            <w:noProof/>
            <w:webHidden/>
            <w:sz w:val="22"/>
          </w:rPr>
          <w:fldChar w:fldCharType="end"/>
        </w:r>
      </w:hyperlink>
    </w:p>
    <w:p w:rsidR="009E108A" w:rsidRPr="003A0A11" w:rsidRDefault="00AD0C2E">
      <w:pPr>
        <w:pStyle w:val="TOC2"/>
        <w:tabs>
          <w:tab w:val="right" w:leader="dot" w:pos="9713"/>
        </w:tabs>
        <w:rPr>
          <w:rFonts w:ascii="Calibri" w:eastAsia="Times New Roman" w:hAnsi="Calibri"/>
          <w:noProof/>
          <w:sz w:val="22"/>
          <w:szCs w:val="22"/>
          <w:lang w:eastAsia="bg-BG"/>
        </w:rPr>
      </w:pPr>
      <w:r w:rsidRPr="003A0A11">
        <w:rPr>
          <w:noProof/>
          <w:sz w:val="22"/>
          <w:szCs w:val="22"/>
        </w:rPr>
        <w:t xml:space="preserve">1) </w:t>
      </w:r>
      <w:hyperlink w:anchor="_Toc477959772" w:history="1">
        <w:r w:rsidR="009E108A" w:rsidRPr="003A0A11">
          <w:rPr>
            <w:rStyle w:val="Hyperlink"/>
            <w:i/>
            <w:noProof/>
            <w:sz w:val="22"/>
            <w:szCs w:val="22"/>
          </w:rPr>
          <w:t>Финансови резултати от дейността</w:t>
        </w:r>
        <w:r w:rsidR="009E108A" w:rsidRPr="003A0A11">
          <w:rPr>
            <w:noProof/>
            <w:webHidden/>
            <w:sz w:val="22"/>
            <w:szCs w:val="22"/>
          </w:rPr>
          <w:tab/>
        </w:r>
        <w:r w:rsidR="009E108A" w:rsidRPr="003A0A11">
          <w:rPr>
            <w:noProof/>
            <w:webHidden/>
            <w:sz w:val="22"/>
            <w:szCs w:val="22"/>
          </w:rPr>
          <w:fldChar w:fldCharType="begin"/>
        </w:r>
        <w:r w:rsidR="009E108A" w:rsidRPr="003A0A11">
          <w:rPr>
            <w:noProof/>
            <w:webHidden/>
            <w:sz w:val="22"/>
            <w:szCs w:val="22"/>
          </w:rPr>
          <w:instrText xml:space="preserve"> PAGEREF _Toc477959772 \h </w:instrText>
        </w:r>
        <w:r w:rsidR="009E108A" w:rsidRPr="003A0A11">
          <w:rPr>
            <w:noProof/>
            <w:webHidden/>
            <w:sz w:val="22"/>
            <w:szCs w:val="22"/>
          </w:rPr>
        </w:r>
        <w:r w:rsidR="009E108A" w:rsidRPr="003A0A11">
          <w:rPr>
            <w:noProof/>
            <w:webHidden/>
            <w:sz w:val="22"/>
            <w:szCs w:val="22"/>
          </w:rPr>
          <w:fldChar w:fldCharType="separate"/>
        </w:r>
        <w:r w:rsidR="006312E4">
          <w:rPr>
            <w:noProof/>
            <w:webHidden/>
            <w:sz w:val="22"/>
            <w:szCs w:val="22"/>
          </w:rPr>
          <w:t>11</w:t>
        </w:r>
        <w:r w:rsidR="009E108A" w:rsidRPr="003A0A11">
          <w:rPr>
            <w:noProof/>
            <w:webHidden/>
            <w:sz w:val="22"/>
            <w:szCs w:val="22"/>
          </w:rPr>
          <w:fldChar w:fldCharType="end"/>
        </w:r>
      </w:hyperlink>
    </w:p>
    <w:p w:rsidR="009E108A" w:rsidRPr="003A0A11" w:rsidRDefault="00AD0C2E">
      <w:pPr>
        <w:pStyle w:val="TOC2"/>
        <w:tabs>
          <w:tab w:val="right" w:leader="dot" w:pos="9713"/>
        </w:tabs>
        <w:rPr>
          <w:rFonts w:ascii="Calibri" w:eastAsia="Times New Roman" w:hAnsi="Calibri"/>
          <w:noProof/>
          <w:sz w:val="22"/>
          <w:szCs w:val="22"/>
          <w:lang w:eastAsia="bg-BG"/>
        </w:rPr>
      </w:pPr>
      <w:r w:rsidRPr="003A0A11">
        <w:rPr>
          <w:noProof/>
          <w:sz w:val="22"/>
          <w:szCs w:val="22"/>
        </w:rPr>
        <w:t xml:space="preserve">2) </w:t>
      </w:r>
      <w:hyperlink w:anchor="_Toc477959773" w:history="1">
        <w:r w:rsidR="009E108A" w:rsidRPr="003A0A11">
          <w:rPr>
            <w:rStyle w:val="Hyperlink"/>
            <w:i/>
            <w:noProof/>
            <w:sz w:val="22"/>
            <w:szCs w:val="22"/>
          </w:rPr>
          <w:t>Финансови коефициенти</w:t>
        </w:r>
        <w:r w:rsidR="009E108A" w:rsidRPr="003A0A11">
          <w:rPr>
            <w:noProof/>
            <w:webHidden/>
            <w:sz w:val="22"/>
            <w:szCs w:val="22"/>
          </w:rPr>
          <w:tab/>
        </w:r>
        <w:r w:rsidR="009E108A" w:rsidRPr="003A0A11">
          <w:rPr>
            <w:noProof/>
            <w:webHidden/>
            <w:sz w:val="22"/>
            <w:szCs w:val="22"/>
          </w:rPr>
          <w:fldChar w:fldCharType="begin"/>
        </w:r>
        <w:r w:rsidR="009E108A" w:rsidRPr="003A0A11">
          <w:rPr>
            <w:noProof/>
            <w:webHidden/>
            <w:sz w:val="22"/>
            <w:szCs w:val="22"/>
          </w:rPr>
          <w:instrText xml:space="preserve"> PAGEREF _Toc477959773 \h </w:instrText>
        </w:r>
        <w:r w:rsidR="009E108A" w:rsidRPr="003A0A11">
          <w:rPr>
            <w:noProof/>
            <w:webHidden/>
            <w:sz w:val="22"/>
            <w:szCs w:val="22"/>
          </w:rPr>
        </w:r>
        <w:r w:rsidR="009E108A" w:rsidRPr="003A0A11">
          <w:rPr>
            <w:noProof/>
            <w:webHidden/>
            <w:sz w:val="22"/>
            <w:szCs w:val="22"/>
          </w:rPr>
          <w:fldChar w:fldCharType="separate"/>
        </w:r>
        <w:r w:rsidR="006312E4">
          <w:rPr>
            <w:noProof/>
            <w:webHidden/>
            <w:sz w:val="22"/>
            <w:szCs w:val="22"/>
          </w:rPr>
          <w:t>13</w:t>
        </w:r>
        <w:r w:rsidR="009E108A" w:rsidRPr="003A0A11">
          <w:rPr>
            <w:noProof/>
            <w:webHidden/>
            <w:sz w:val="22"/>
            <w:szCs w:val="22"/>
          </w:rPr>
          <w:fldChar w:fldCharType="end"/>
        </w:r>
      </w:hyperlink>
    </w:p>
    <w:p w:rsidR="009E108A" w:rsidRPr="003A0A11" w:rsidRDefault="00AD0C2E">
      <w:pPr>
        <w:pStyle w:val="TOC2"/>
        <w:tabs>
          <w:tab w:val="right" w:leader="dot" w:pos="9713"/>
        </w:tabs>
        <w:rPr>
          <w:rFonts w:ascii="Calibri" w:eastAsia="Times New Roman" w:hAnsi="Calibri"/>
          <w:noProof/>
          <w:sz w:val="22"/>
          <w:szCs w:val="22"/>
          <w:lang w:eastAsia="bg-BG"/>
        </w:rPr>
      </w:pPr>
      <w:r w:rsidRPr="003A0A11">
        <w:rPr>
          <w:noProof/>
          <w:sz w:val="22"/>
          <w:szCs w:val="22"/>
        </w:rPr>
        <w:t xml:space="preserve">3) </w:t>
      </w:r>
      <w:hyperlink w:anchor="_Toc477959774" w:history="1">
        <w:r w:rsidR="009E108A" w:rsidRPr="003A0A11">
          <w:rPr>
            <w:rStyle w:val="Hyperlink"/>
            <w:i/>
            <w:noProof/>
            <w:sz w:val="22"/>
            <w:szCs w:val="22"/>
          </w:rPr>
          <w:t>Финансов резултат,  основни видове приходи и разходи за дейността.</w:t>
        </w:r>
        <w:r w:rsidR="009E108A" w:rsidRPr="003A0A11">
          <w:rPr>
            <w:noProof/>
            <w:webHidden/>
            <w:sz w:val="22"/>
            <w:szCs w:val="22"/>
          </w:rPr>
          <w:tab/>
        </w:r>
        <w:r w:rsidR="009E108A" w:rsidRPr="003A0A11">
          <w:rPr>
            <w:noProof/>
            <w:webHidden/>
            <w:sz w:val="22"/>
            <w:szCs w:val="22"/>
          </w:rPr>
          <w:fldChar w:fldCharType="begin"/>
        </w:r>
        <w:r w:rsidR="009E108A" w:rsidRPr="003A0A11">
          <w:rPr>
            <w:noProof/>
            <w:webHidden/>
            <w:sz w:val="22"/>
            <w:szCs w:val="22"/>
          </w:rPr>
          <w:instrText xml:space="preserve"> PAGEREF _Toc477959774 \h </w:instrText>
        </w:r>
        <w:r w:rsidR="009E108A" w:rsidRPr="003A0A11">
          <w:rPr>
            <w:noProof/>
            <w:webHidden/>
            <w:sz w:val="22"/>
            <w:szCs w:val="22"/>
          </w:rPr>
        </w:r>
        <w:r w:rsidR="009E108A" w:rsidRPr="003A0A11">
          <w:rPr>
            <w:noProof/>
            <w:webHidden/>
            <w:sz w:val="22"/>
            <w:szCs w:val="22"/>
          </w:rPr>
          <w:fldChar w:fldCharType="separate"/>
        </w:r>
        <w:r w:rsidR="006312E4">
          <w:rPr>
            <w:noProof/>
            <w:webHidden/>
            <w:sz w:val="22"/>
            <w:szCs w:val="22"/>
          </w:rPr>
          <w:t>16</w:t>
        </w:r>
        <w:r w:rsidR="009E108A" w:rsidRPr="003A0A11">
          <w:rPr>
            <w:noProof/>
            <w:webHidden/>
            <w:sz w:val="22"/>
            <w:szCs w:val="22"/>
          </w:rPr>
          <w:fldChar w:fldCharType="end"/>
        </w:r>
      </w:hyperlink>
    </w:p>
    <w:p w:rsidR="009E108A" w:rsidRPr="003A0A11" w:rsidRDefault="00AD0C2E">
      <w:pPr>
        <w:pStyle w:val="TOC2"/>
        <w:tabs>
          <w:tab w:val="right" w:leader="dot" w:pos="9713"/>
        </w:tabs>
        <w:rPr>
          <w:rFonts w:ascii="Calibri" w:eastAsia="Times New Roman" w:hAnsi="Calibri"/>
          <w:noProof/>
          <w:sz w:val="22"/>
          <w:szCs w:val="22"/>
          <w:lang w:eastAsia="bg-BG"/>
        </w:rPr>
      </w:pPr>
      <w:r w:rsidRPr="003A0A11">
        <w:rPr>
          <w:noProof/>
          <w:sz w:val="22"/>
          <w:szCs w:val="22"/>
        </w:rPr>
        <w:t xml:space="preserve">4) </w:t>
      </w:r>
      <w:hyperlink w:anchor="_Toc477959775" w:history="1">
        <w:r w:rsidR="009E108A" w:rsidRPr="003A0A11">
          <w:rPr>
            <w:rStyle w:val="Hyperlink"/>
            <w:i/>
            <w:noProof/>
            <w:sz w:val="22"/>
            <w:szCs w:val="22"/>
          </w:rPr>
          <w:t>Приходи и разходи по основни видове дейности (Центрове на печалбата).</w:t>
        </w:r>
        <w:r w:rsidR="009E108A" w:rsidRPr="003A0A11">
          <w:rPr>
            <w:noProof/>
            <w:webHidden/>
            <w:sz w:val="22"/>
            <w:szCs w:val="22"/>
          </w:rPr>
          <w:tab/>
        </w:r>
        <w:r w:rsidR="009E108A" w:rsidRPr="003A0A11">
          <w:rPr>
            <w:noProof/>
            <w:webHidden/>
            <w:sz w:val="22"/>
            <w:szCs w:val="22"/>
          </w:rPr>
          <w:fldChar w:fldCharType="begin"/>
        </w:r>
        <w:r w:rsidR="009E108A" w:rsidRPr="003A0A11">
          <w:rPr>
            <w:noProof/>
            <w:webHidden/>
            <w:sz w:val="22"/>
            <w:szCs w:val="22"/>
          </w:rPr>
          <w:instrText xml:space="preserve"> PAGEREF _Toc477959775 \h </w:instrText>
        </w:r>
        <w:r w:rsidR="009E108A" w:rsidRPr="003A0A11">
          <w:rPr>
            <w:noProof/>
            <w:webHidden/>
            <w:sz w:val="22"/>
            <w:szCs w:val="22"/>
          </w:rPr>
        </w:r>
        <w:r w:rsidR="009E108A" w:rsidRPr="003A0A11">
          <w:rPr>
            <w:noProof/>
            <w:webHidden/>
            <w:sz w:val="22"/>
            <w:szCs w:val="22"/>
          </w:rPr>
          <w:fldChar w:fldCharType="separate"/>
        </w:r>
        <w:r w:rsidR="006312E4">
          <w:rPr>
            <w:noProof/>
            <w:webHidden/>
            <w:sz w:val="22"/>
            <w:szCs w:val="22"/>
          </w:rPr>
          <w:t>19</w:t>
        </w:r>
        <w:r w:rsidR="009E108A" w:rsidRPr="003A0A11">
          <w:rPr>
            <w:noProof/>
            <w:webHidden/>
            <w:sz w:val="22"/>
            <w:szCs w:val="22"/>
          </w:rPr>
          <w:fldChar w:fldCharType="end"/>
        </w:r>
      </w:hyperlink>
    </w:p>
    <w:p w:rsidR="009E108A" w:rsidRPr="003A0A11" w:rsidRDefault="00AD0C2E">
      <w:pPr>
        <w:pStyle w:val="TOC2"/>
        <w:tabs>
          <w:tab w:val="right" w:leader="dot" w:pos="9713"/>
        </w:tabs>
        <w:rPr>
          <w:rFonts w:ascii="Calibri" w:eastAsia="Times New Roman" w:hAnsi="Calibri"/>
          <w:noProof/>
          <w:sz w:val="22"/>
          <w:szCs w:val="22"/>
          <w:lang w:eastAsia="bg-BG"/>
        </w:rPr>
      </w:pPr>
      <w:r w:rsidRPr="003A0A11">
        <w:rPr>
          <w:noProof/>
          <w:sz w:val="22"/>
          <w:szCs w:val="22"/>
        </w:rPr>
        <w:t xml:space="preserve">5) </w:t>
      </w:r>
      <w:hyperlink w:anchor="_Toc477959776" w:history="1">
        <w:r w:rsidR="009E108A" w:rsidRPr="003A0A11">
          <w:rPr>
            <w:rStyle w:val="Hyperlink"/>
            <w:i/>
            <w:noProof/>
            <w:sz w:val="22"/>
            <w:szCs w:val="22"/>
          </w:rPr>
          <w:t>Анализ на финансовите и извънредни приходи и разходи.</w:t>
        </w:r>
        <w:r w:rsidR="009E108A" w:rsidRPr="003A0A11">
          <w:rPr>
            <w:noProof/>
            <w:webHidden/>
            <w:sz w:val="22"/>
            <w:szCs w:val="22"/>
          </w:rPr>
          <w:tab/>
        </w:r>
        <w:r w:rsidR="009E108A" w:rsidRPr="003A0A11">
          <w:rPr>
            <w:noProof/>
            <w:webHidden/>
            <w:sz w:val="22"/>
            <w:szCs w:val="22"/>
          </w:rPr>
          <w:fldChar w:fldCharType="begin"/>
        </w:r>
        <w:r w:rsidR="009E108A" w:rsidRPr="003A0A11">
          <w:rPr>
            <w:noProof/>
            <w:webHidden/>
            <w:sz w:val="22"/>
            <w:szCs w:val="22"/>
          </w:rPr>
          <w:instrText xml:space="preserve"> PAGEREF _Toc477959776 \h </w:instrText>
        </w:r>
        <w:r w:rsidR="009E108A" w:rsidRPr="003A0A11">
          <w:rPr>
            <w:noProof/>
            <w:webHidden/>
            <w:sz w:val="22"/>
            <w:szCs w:val="22"/>
          </w:rPr>
        </w:r>
        <w:r w:rsidR="009E108A" w:rsidRPr="003A0A11">
          <w:rPr>
            <w:noProof/>
            <w:webHidden/>
            <w:sz w:val="22"/>
            <w:szCs w:val="22"/>
          </w:rPr>
          <w:fldChar w:fldCharType="separate"/>
        </w:r>
        <w:r w:rsidR="006312E4">
          <w:rPr>
            <w:noProof/>
            <w:webHidden/>
            <w:sz w:val="22"/>
            <w:szCs w:val="22"/>
          </w:rPr>
          <w:t>20</w:t>
        </w:r>
        <w:r w:rsidR="009E108A" w:rsidRPr="003A0A11">
          <w:rPr>
            <w:noProof/>
            <w:webHidden/>
            <w:sz w:val="22"/>
            <w:szCs w:val="22"/>
          </w:rPr>
          <w:fldChar w:fldCharType="end"/>
        </w:r>
      </w:hyperlink>
    </w:p>
    <w:p w:rsidR="009E108A" w:rsidRPr="003A0A11" w:rsidRDefault="00AD0C2E">
      <w:pPr>
        <w:pStyle w:val="TOC2"/>
        <w:tabs>
          <w:tab w:val="right" w:leader="dot" w:pos="9713"/>
        </w:tabs>
        <w:rPr>
          <w:rFonts w:ascii="Calibri" w:eastAsia="Times New Roman" w:hAnsi="Calibri"/>
          <w:noProof/>
          <w:sz w:val="22"/>
          <w:szCs w:val="22"/>
          <w:lang w:eastAsia="bg-BG"/>
        </w:rPr>
      </w:pPr>
      <w:r w:rsidRPr="003A0A11">
        <w:rPr>
          <w:noProof/>
          <w:sz w:val="22"/>
          <w:szCs w:val="22"/>
        </w:rPr>
        <w:t xml:space="preserve">6) </w:t>
      </w:r>
      <w:hyperlink w:anchor="_Toc477959777" w:history="1">
        <w:r w:rsidR="009E108A" w:rsidRPr="003A0A11">
          <w:rPr>
            <w:rStyle w:val="Hyperlink"/>
            <w:i/>
            <w:noProof/>
            <w:sz w:val="22"/>
            <w:szCs w:val="22"/>
          </w:rPr>
          <w:t>Анализ на промените в Баланса на дружеството</w:t>
        </w:r>
        <w:r w:rsidR="009E108A" w:rsidRPr="003A0A11">
          <w:rPr>
            <w:noProof/>
            <w:webHidden/>
            <w:sz w:val="22"/>
            <w:szCs w:val="22"/>
          </w:rPr>
          <w:tab/>
        </w:r>
        <w:r w:rsidR="009E108A" w:rsidRPr="003A0A11">
          <w:rPr>
            <w:noProof/>
            <w:webHidden/>
            <w:sz w:val="22"/>
            <w:szCs w:val="22"/>
          </w:rPr>
          <w:fldChar w:fldCharType="begin"/>
        </w:r>
        <w:r w:rsidR="009E108A" w:rsidRPr="003A0A11">
          <w:rPr>
            <w:noProof/>
            <w:webHidden/>
            <w:sz w:val="22"/>
            <w:szCs w:val="22"/>
          </w:rPr>
          <w:instrText xml:space="preserve"> PAGEREF _Toc477959777 \h </w:instrText>
        </w:r>
        <w:r w:rsidR="009E108A" w:rsidRPr="003A0A11">
          <w:rPr>
            <w:noProof/>
            <w:webHidden/>
            <w:sz w:val="22"/>
            <w:szCs w:val="22"/>
          </w:rPr>
        </w:r>
        <w:r w:rsidR="009E108A" w:rsidRPr="003A0A11">
          <w:rPr>
            <w:noProof/>
            <w:webHidden/>
            <w:sz w:val="22"/>
            <w:szCs w:val="22"/>
          </w:rPr>
          <w:fldChar w:fldCharType="separate"/>
        </w:r>
        <w:r w:rsidR="006312E4">
          <w:rPr>
            <w:noProof/>
            <w:webHidden/>
            <w:sz w:val="22"/>
            <w:szCs w:val="22"/>
          </w:rPr>
          <w:t>20</w:t>
        </w:r>
        <w:r w:rsidR="009E108A" w:rsidRPr="003A0A11">
          <w:rPr>
            <w:noProof/>
            <w:webHidden/>
            <w:sz w:val="22"/>
            <w:szCs w:val="22"/>
          </w:rPr>
          <w:fldChar w:fldCharType="end"/>
        </w:r>
      </w:hyperlink>
    </w:p>
    <w:p w:rsidR="009E108A" w:rsidRPr="003A0A11" w:rsidRDefault="009E108A">
      <w:pPr>
        <w:pStyle w:val="TOC3"/>
        <w:rPr>
          <w:rStyle w:val="Hyperlink"/>
          <w:noProof/>
          <w:sz w:val="22"/>
          <w:szCs w:val="22"/>
        </w:rPr>
      </w:pPr>
    </w:p>
    <w:p w:rsidR="009E108A" w:rsidRPr="003A0A11" w:rsidRDefault="00AD0C2E">
      <w:pPr>
        <w:pStyle w:val="TOC3"/>
        <w:rPr>
          <w:rFonts w:ascii="Calibri" w:eastAsia="Times New Roman" w:hAnsi="Calibri"/>
          <w:noProof/>
          <w:sz w:val="22"/>
          <w:szCs w:val="22"/>
          <w:lang w:eastAsia="bg-BG"/>
        </w:rPr>
      </w:pPr>
      <w:r w:rsidRPr="003A0A11">
        <w:rPr>
          <w:noProof/>
          <w:sz w:val="22"/>
          <w:szCs w:val="22"/>
        </w:rPr>
        <w:t>6.1.</w:t>
      </w:r>
      <w:hyperlink w:anchor="_Toc477959778" w:history="1">
        <w:r w:rsidR="009E108A" w:rsidRPr="003A0A11">
          <w:rPr>
            <w:rStyle w:val="Hyperlink"/>
            <w:noProof/>
            <w:sz w:val="22"/>
            <w:szCs w:val="22"/>
          </w:rPr>
          <w:t>Актив.</w:t>
        </w:r>
        <w:r w:rsidR="009E108A" w:rsidRPr="003A0A11">
          <w:rPr>
            <w:noProof/>
            <w:webHidden/>
            <w:sz w:val="22"/>
            <w:szCs w:val="22"/>
          </w:rPr>
          <w:tab/>
        </w:r>
        <w:r w:rsidR="009E108A" w:rsidRPr="003A0A11">
          <w:rPr>
            <w:noProof/>
            <w:webHidden/>
            <w:sz w:val="22"/>
            <w:szCs w:val="22"/>
          </w:rPr>
          <w:fldChar w:fldCharType="begin"/>
        </w:r>
        <w:r w:rsidR="009E108A" w:rsidRPr="003A0A11">
          <w:rPr>
            <w:noProof/>
            <w:webHidden/>
            <w:sz w:val="22"/>
            <w:szCs w:val="22"/>
          </w:rPr>
          <w:instrText xml:space="preserve"> PAGEREF _Toc477959778 \h </w:instrText>
        </w:r>
        <w:r w:rsidR="009E108A" w:rsidRPr="003A0A11">
          <w:rPr>
            <w:noProof/>
            <w:webHidden/>
            <w:sz w:val="22"/>
            <w:szCs w:val="22"/>
          </w:rPr>
        </w:r>
        <w:r w:rsidR="009E108A" w:rsidRPr="003A0A11">
          <w:rPr>
            <w:noProof/>
            <w:webHidden/>
            <w:sz w:val="22"/>
            <w:szCs w:val="22"/>
          </w:rPr>
          <w:fldChar w:fldCharType="separate"/>
        </w:r>
        <w:r w:rsidR="006312E4">
          <w:rPr>
            <w:noProof/>
            <w:webHidden/>
            <w:sz w:val="22"/>
            <w:szCs w:val="22"/>
          </w:rPr>
          <w:t>20</w:t>
        </w:r>
        <w:r w:rsidR="009E108A" w:rsidRPr="003A0A11">
          <w:rPr>
            <w:noProof/>
            <w:webHidden/>
            <w:sz w:val="22"/>
            <w:szCs w:val="22"/>
          </w:rPr>
          <w:fldChar w:fldCharType="end"/>
        </w:r>
      </w:hyperlink>
    </w:p>
    <w:p w:rsidR="009E108A" w:rsidRPr="003A0A11" w:rsidRDefault="00AD0C2E">
      <w:pPr>
        <w:pStyle w:val="TOC3"/>
        <w:rPr>
          <w:rFonts w:ascii="Calibri" w:eastAsia="Times New Roman" w:hAnsi="Calibri"/>
          <w:noProof/>
          <w:sz w:val="22"/>
          <w:szCs w:val="22"/>
          <w:lang w:eastAsia="bg-BG"/>
        </w:rPr>
      </w:pPr>
      <w:r w:rsidRPr="003A0A11">
        <w:rPr>
          <w:noProof/>
          <w:sz w:val="22"/>
          <w:szCs w:val="22"/>
        </w:rPr>
        <w:t>6.2.</w:t>
      </w:r>
      <w:hyperlink w:anchor="_Toc477959779" w:history="1">
        <w:r w:rsidR="009E108A" w:rsidRPr="003A0A11">
          <w:rPr>
            <w:rStyle w:val="Hyperlink"/>
            <w:noProof/>
            <w:sz w:val="22"/>
            <w:szCs w:val="22"/>
          </w:rPr>
          <w:t>По-големи вземания от клиенти и доставчици</w:t>
        </w:r>
        <w:r w:rsidR="009E108A" w:rsidRPr="003A0A11">
          <w:rPr>
            <w:noProof/>
            <w:webHidden/>
            <w:sz w:val="22"/>
            <w:szCs w:val="22"/>
          </w:rPr>
          <w:tab/>
        </w:r>
        <w:r w:rsidR="009E108A" w:rsidRPr="003A0A11">
          <w:rPr>
            <w:noProof/>
            <w:webHidden/>
            <w:sz w:val="22"/>
            <w:szCs w:val="22"/>
          </w:rPr>
          <w:fldChar w:fldCharType="begin"/>
        </w:r>
        <w:r w:rsidR="009E108A" w:rsidRPr="003A0A11">
          <w:rPr>
            <w:noProof/>
            <w:webHidden/>
            <w:sz w:val="22"/>
            <w:szCs w:val="22"/>
          </w:rPr>
          <w:instrText xml:space="preserve"> PAGEREF _Toc477959779 \h </w:instrText>
        </w:r>
        <w:r w:rsidR="009E108A" w:rsidRPr="003A0A11">
          <w:rPr>
            <w:noProof/>
            <w:webHidden/>
            <w:sz w:val="22"/>
            <w:szCs w:val="22"/>
          </w:rPr>
        </w:r>
        <w:r w:rsidR="009E108A" w:rsidRPr="003A0A11">
          <w:rPr>
            <w:noProof/>
            <w:webHidden/>
            <w:sz w:val="22"/>
            <w:szCs w:val="22"/>
          </w:rPr>
          <w:fldChar w:fldCharType="separate"/>
        </w:r>
        <w:r w:rsidR="006312E4">
          <w:rPr>
            <w:noProof/>
            <w:webHidden/>
            <w:sz w:val="22"/>
            <w:szCs w:val="22"/>
          </w:rPr>
          <w:t>22</w:t>
        </w:r>
        <w:r w:rsidR="009E108A" w:rsidRPr="003A0A11">
          <w:rPr>
            <w:noProof/>
            <w:webHidden/>
            <w:sz w:val="22"/>
            <w:szCs w:val="22"/>
          </w:rPr>
          <w:fldChar w:fldCharType="end"/>
        </w:r>
      </w:hyperlink>
    </w:p>
    <w:p w:rsidR="009E108A" w:rsidRPr="003A0A11" w:rsidRDefault="00AD0C2E">
      <w:pPr>
        <w:pStyle w:val="TOC3"/>
        <w:rPr>
          <w:rFonts w:ascii="Calibri" w:eastAsia="Times New Roman" w:hAnsi="Calibri"/>
          <w:noProof/>
          <w:sz w:val="22"/>
          <w:szCs w:val="22"/>
          <w:lang w:eastAsia="bg-BG"/>
        </w:rPr>
      </w:pPr>
      <w:r w:rsidRPr="003A0A11">
        <w:rPr>
          <w:noProof/>
          <w:sz w:val="22"/>
          <w:szCs w:val="22"/>
        </w:rPr>
        <w:t>6.3.</w:t>
      </w:r>
      <w:hyperlink w:anchor="_Toc477959780" w:history="1">
        <w:r w:rsidR="009E108A" w:rsidRPr="003A0A11">
          <w:rPr>
            <w:rStyle w:val="Hyperlink"/>
            <w:noProof/>
            <w:sz w:val="22"/>
            <w:szCs w:val="22"/>
          </w:rPr>
          <w:t>Пасив.</w:t>
        </w:r>
        <w:r w:rsidR="009E108A" w:rsidRPr="003A0A11">
          <w:rPr>
            <w:noProof/>
            <w:webHidden/>
            <w:sz w:val="22"/>
            <w:szCs w:val="22"/>
          </w:rPr>
          <w:tab/>
        </w:r>
        <w:r w:rsidR="009E108A" w:rsidRPr="003A0A11">
          <w:rPr>
            <w:noProof/>
            <w:webHidden/>
            <w:sz w:val="22"/>
            <w:szCs w:val="22"/>
          </w:rPr>
          <w:fldChar w:fldCharType="begin"/>
        </w:r>
        <w:r w:rsidR="009E108A" w:rsidRPr="003A0A11">
          <w:rPr>
            <w:noProof/>
            <w:webHidden/>
            <w:sz w:val="22"/>
            <w:szCs w:val="22"/>
          </w:rPr>
          <w:instrText xml:space="preserve"> PAGEREF _Toc477959780 \h </w:instrText>
        </w:r>
        <w:r w:rsidR="009E108A" w:rsidRPr="003A0A11">
          <w:rPr>
            <w:noProof/>
            <w:webHidden/>
            <w:sz w:val="22"/>
            <w:szCs w:val="22"/>
          </w:rPr>
        </w:r>
        <w:r w:rsidR="009E108A" w:rsidRPr="003A0A11">
          <w:rPr>
            <w:noProof/>
            <w:webHidden/>
            <w:sz w:val="22"/>
            <w:szCs w:val="22"/>
          </w:rPr>
          <w:fldChar w:fldCharType="separate"/>
        </w:r>
        <w:r w:rsidR="006312E4">
          <w:rPr>
            <w:noProof/>
            <w:webHidden/>
            <w:sz w:val="22"/>
            <w:szCs w:val="22"/>
          </w:rPr>
          <w:t>23</w:t>
        </w:r>
        <w:r w:rsidR="009E108A" w:rsidRPr="003A0A11">
          <w:rPr>
            <w:noProof/>
            <w:webHidden/>
            <w:sz w:val="22"/>
            <w:szCs w:val="22"/>
          </w:rPr>
          <w:fldChar w:fldCharType="end"/>
        </w:r>
      </w:hyperlink>
    </w:p>
    <w:p w:rsidR="009E108A" w:rsidRPr="003A0A11" w:rsidRDefault="00AD0C2E">
      <w:pPr>
        <w:pStyle w:val="TOC3"/>
        <w:rPr>
          <w:rStyle w:val="Hyperlink"/>
          <w:noProof/>
          <w:sz w:val="22"/>
          <w:szCs w:val="22"/>
        </w:rPr>
      </w:pPr>
      <w:r w:rsidRPr="003A0A11">
        <w:rPr>
          <w:noProof/>
          <w:sz w:val="22"/>
          <w:szCs w:val="22"/>
        </w:rPr>
        <w:t>6.4.</w:t>
      </w:r>
      <w:hyperlink w:anchor="_Toc477959781" w:history="1">
        <w:r w:rsidR="009E108A" w:rsidRPr="003A0A11">
          <w:rPr>
            <w:rStyle w:val="Hyperlink"/>
            <w:noProof/>
            <w:sz w:val="22"/>
            <w:szCs w:val="22"/>
          </w:rPr>
          <w:t>По-големи задължения към клиенти и доставчици</w:t>
        </w:r>
        <w:r w:rsidR="009E108A" w:rsidRPr="003A0A11">
          <w:rPr>
            <w:noProof/>
            <w:webHidden/>
            <w:sz w:val="22"/>
            <w:szCs w:val="22"/>
          </w:rPr>
          <w:tab/>
        </w:r>
        <w:r w:rsidR="009E108A" w:rsidRPr="003A0A11">
          <w:rPr>
            <w:noProof/>
            <w:webHidden/>
            <w:sz w:val="22"/>
            <w:szCs w:val="22"/>
          </w:rPr>
          <w:fldChar w:fldCharType="begin"/>
        </w:r>
        <w:r w:rsidR="009E108A" w:rsidRPr="003A0A11">
          <w:rPr>
            <w:noProof/>
            <w:webHidden/>
            <w:sz w:val="22"/>
            <w:szCs w:val="22"/>
          </w:rPr>
          <w:instrText xml:space="preserve"> PAGEREF _Toc477959781 \h </w:instrText>
        </w:r>
        <w:r w:rsidR="009E108A" w:rsidRPr="003A0A11">
          <w:rPr>
            <w:noProof/>
            <w:webHidden/>
            <w:sz w:val="22"/>
            <w:szCs w:val="22"/>
          </w:rPr>
        </w:r>
        <w:r w:rsidR="009E108A" w:rsidRPr="003A0A11">
          <w:rPr>
            <w:noProof/>
            <w:webHidden/>
            <w:sz w:val="22"/>
            <w:szCs w:val="22"/>
          </w:rPr>
          <w:fldChar w:fldCharType="separate"/>
        </w:r>
        <w:r w:rsidR="006312E4">
          <w:rPr>
            <w:noProof/>
            <w:webHidden/>
            <w:sz w:val="22"/>
            <w:szCs w:val="22"/>
          </w:rPr>
          <w:t>24</w:t>
        </w:r>
        <w:r w:rsidR="009E108A" w:rsidRPr="003A0A11">
          <w:rPr>
            <w:noProof/>
            <w:webHidden/>
            <w:sz w:val="22"/>
            <w:szCs w:val="22"/>
          </w:rPr>
          <w:fldChar w:fldCharType="end"/>
        </w:r>
      </w:hyperlink>
    </w:p>
    <w:p w:rsidR="009E108A" w:rsidRPr="009E108A" w:rsidRDefault="009E108A" w:rsidP="009E108A">
      <w:pPr>
        <w:rPr>
          <w:noProof/>
          <w:sz w:val="22"/>
        </w:rPr>
      </w:pPr>
    </w:p>
    <w:p w:rsidR="009E108A" w:rsidRPr="0023037D" w:rsidRDefault="006908A9">
      <w:pPr>
        <w:pStyle w:val="TOC1"/>
        <w:rPr>
          <w:rFonts w:ascii="Calibri" w:eastAsia="Times New Roman" w:hAnsi="Calibri"/>
          <w:noProof/>
          <w:sz w:val="20"/>
          <w:szCs w:val="22"/>
          <w:lang w:eastAsia="bg-BG"/>
        </w:rPr>
      </w:pPr>
      <w:hyperlink w:anchor="_Toc477959782" w:history="1">
        <w:r w:rsidR="009E108A" w:rsidRPr="009E108A">
          <w:rPr>
            <w:rStyle w:val="Hyperlink"/>
            <w:noProof/>
            <w:sz w:val="22"/>
          </w:rPr>
          <w:t>III.</w:t>
        </w:r>
        <w:r w:rsidR="009E108A" w:rsidRPr="0023037D">
          <w:rPr>
            <w:rFonts w:ascii="Calibri" w:eastAsia="Times New Roman" w:hAnsi="Calibri"/>
            <w:noProof/>
            <w:sz w:val="20"/>
            <w:szCs w:val="22"/>
            <w:lang w:eastAsia="bg-BG"/>
          </w:rPr>
          <w:tab/>
        </w:r>
        <w:r w:rsidR="009E108A" w:rsidRPr="009E108A">
          <w:rPr>
            <w:rStyle w:val="Hyperlink"/>
            <w:noProof/>
            <w:sz w:val="22"/>
          </w:rPr>
          <w:t>ПАЗАРНИ ПЕРСПЕКТИВИ ЗА 201</w:t>
        </w:r>
        <w:r w:rsidR="009E108A" w:rsidRPr="009E108A">
          <w:rPr>
            <w:rStyle w:val="Hyperlink"/>
            <w:noProof/>
            <w:sz w:val="22"/>
            <w:lang w:val="en-US"/>
          </w:rPr>
          <w:t>7</w:t>
        </w:r>
        <w:r w:rsidR="009E108A" w:rsidRPr="009E108A">
          <w:rPr>
            <w:rStyle w:val="Hyperlink"/>
            <w:noProof/>
            <w:sz w:val="22"/>
          </w:rPr>
          <w:t xml:space="preserve"> г.</w:t>
        </w:r>
        <w:r w:rsidR="009E108A" w:rsidRPr="009E108A">
          <w:rPr>
            <w:noProof/>
            <w:webHidden/>
            <w:sz w:val="22"/>
          </w:rPr>
          <w:tab/>
        </w:r>
        <w:r w:rsidR="009E108A" w:rsidRPr="009E108A">
          <w:rPr>
            <w:noProof/>
            <w:webHidden/>
            <w:sz w:val="22"/>
          </w:rPr>
          <w:fldChar w:fldCharType="begin"/>
        </w:r>
        <w:r w:rsidR="009E108A" w:rsidRPr="009E108A">
          <w:rPr>
            <w:noProof/>
            <w:webHidden/>
            <w:sz w:val="22"/>
          </w:rPr>
          <w:instrText xml:space="preserve"> PAGEREF _Toc477959782 \h </w:instrText>
        </w:r>
        <w:r w:rsidR="009E108A" w:rsidRPr="009E108A">
          <w:rPr>
            <w:noProof/>
            <w:webHidden/>
            <w:sz w:val="22"/>
          </w:rPr>
        </w:r>
        <w:r w:rsidR="009E108A" w:rsidRPr="009E108A">
          <w:rPr>
            <w:noProof/>
            <w:webHidden/>
            <w:sz w:val="22"/>
          </w:rPr>
          <w:fldChar w:fldCharType="separate"/>
        </w:r>
        <w:r w:rsidR="006312E4">
          <w:rPr>
            <w:noProof/>
            <w:webHidden/>
            <w:sz w:val="22"/>
          </w:rPr>
          <w:t>24</w:t>
        </w:r>
        <w:r w:rsidR="009E108A" w:rsidRPr="009E108A">
          <w:rPr>
            <w:noProof/>
            <w:webHidden/>
            <w:sz w:val="22"/>
          </w:rPr>
          <w:fldChar w:fldCharType="end"/>
        </w:r>
      </w:hyperlink>
    </w:p>
    <w:p w:rsidR="001A2DC3" w:rsidRPr="009B762E" w:rsidRDefault="001A2DC3" w:rsidP="00D43CF8">
      <w:pPr>
        <w:spacing w:line="276" w:lineRule="auto"/>
        <w:rPr>
          <w:sz w:val="26"/>
          <w:szCs w:val="26"/>
        </w:rPr>
      </w:pPr>
      <w:r w:rsidRPr="009E108A">
        <w:rPr>
          <w:b/>
          <w:bCs/>
          <w:noProof/>
          <w:szCs w:val="28"/>
        </w:rPr>
        <w:fldChar w:fldCharType="end"/>
      </w:r>
    </w:p>
    <w:p w:rsidR="003B0E56" w:rsidRPr="009B762E" w:rsidRDefault="003B0E56" w:rsidP="009B762E">
      <w:pPr>
        <w:spacing w:line="276" w:lineRule="auto"/>
        <w:jc w:val="both"/>
        <w:rPr>
          <w:sz w:val="26"/>
          <w:szCs w:val="26"/>
        </w:rPr>
      </w:pPr>
    </w:p>
    <w:p w:rsidR="003B0E56" w:rsidRPr="009B762E" w:rsidRDefault="003B0E56" w:rsidP="009B762E">
      <w:pPr>
        <w:spacing w:line="276" w:lineRule="auto"/>
        <w:ind w:firstLine="284"/>
        <w:jc w:val="both"/>
        <w:rPr>
          <w:sz w:val="26"/>
          <w:szCs w:val="26"/>
        </w:rPr>
      </w:pPr>
    </w:p>
    <w:p w:rsidR="003B0E56" w:rsidRPr="009B762E" w:rsidRDefault="003B0E56" w:rsidP="009B762E">
      <w:pPr>
        <w:spacing w:line="276" w:lineRule="auto"/>
        <w:ind w:firstLine="284"/>
        <w:jc w:val="both"/>
        <w:rPr>
          <w:sz w:val="26"/>
          <w:szCs w:val="26"/>
        </w:rPr>
      </w:pPr>
    </w:p>
    <w:p w:rsidR="003B0E56" w:rsidRPr="009B762E" w:rsidRDefault="003B0E56" w:rsidP="009B762E">
      <w:pPr>
        <w:spacing w:line="276" w:lineRule="auto"/>
        <w:ind w:firstLine="284"/>
        <w:jc w:val="both"/>
        <w:rPr>
          <w:sz w:val="26"/>
          <w:szCs w:val="26"/>
        </w:rPr>
      </w:pPr>
    </w:p>
    <w:p w:rsidR="00FF57E5" w:rsidRDefault="00FF57E5" w:rsidP="009B762E">
      <w:pPr>
        <w:pStyle w:val="BodyTextIndent"/>
        <w:spacing w:after="120" w:line="276" w:lineRule="auto"/>
        <w:rPr>
          <w:rFonts w:ascii="Arial" w:hAnsi="Arial" w:cs="Arial"/>
          <w:sz w:val="26"/>
          <w:szCs w:val="26"/>
          <w:u w:val="single"/>
        </w:rPr>
      </w:pPr>
    </w:p>
    <w:p w:rsidR="009E108A" w:rsidRDefault="009E108A" w:rsidP="009B762E">
      <w:pPr>
        <w:pStyle w:val="BodyTextIndent"/>
        <w:spacing w:after="120" w:line="276" w:lineRule="auto"/>
        <w:rPr>
          <w:rFonts w:ascii="Arial" w:hAnsi="Arial" w:cs="Arial"/>
          <w:sz w:val="26"/>
          <w:szCs w:val="26"/>
          <w:u w:val="single"/>
        </w:rPr>
      </w:pPr>
    </w:p>
    <w:p w:rsidR="009E108A" w:rsidRDefault="009E108A" w:rsidP="009B762E">
      <w:pPr>
        <w:pStyle w:val="BodyTextIndent"/>
        <w:spacing w:after="120" w:line="276" w:lineRule="auto"/>
        <w:rPr>
          <w:rFonts w:ascii="Arial" w:hAnsi="Arial" w:cs="Arial"/>
          <w:sz w:val="26"/>
          <w:szCs w:val="26"/>
          <w:u w:val="single"/>
        </w:rPr>
      </w:pPr>
    </w:p>
    <w:p w:rsidR="009E108A" w:rsidRDefault="009E108A" w:rsidP="009B762E">
      <w:pPr>
        <w:pStyle w:val="BodyTextIndent"/>
        <w:spacing w:after="120" w:line="276" w:lineRule="auto"/>
        <w:rPr>
          <w:rFonts w:ascii="Arial" w:hAnsi="Arial" w:cs="Arial"/>
          <w:sz w:val="26"/>
          <w:szCs w:val="26"/>
          <w:u w:val="single"/>
        </w:rPr>
      </w:pPr>
    </w:p>
    <w:p w:rsidR="009E108A" w:rsidRPr="009B762E" w:rsidRDefault="009E108A" w:rsidP="009B762E">
      <w:pPr>
        <w:pStyle w:val="BodyTextIndent"/>
        <w:spacing w:after="120" w:line="276" w:lineRule="auto"/>
        <w:rPr>
          <w:rFonts w:ascii="Arial" w:hAnsi="Arial" w:cs="Arial"/>
          <w:sz w:val="26"/>
          <w:szCs w:val="26"/>
          <w:u w:val="single"/>
        </w:rPr>
      </w:pPr>
    </w:p>
    <w:p w:rsidR="00206C73" w:rsidRPr="00797519" w:rsidRDefault="00206C73" w:rsidP="00E45FBD">
      <w:pPr>
        <w:pStyle w:val="Title"/>
        <w:spacing w:after="120"/>
        <w:ind w:left="0"/>
        <w:jc w:val="left"/>
        <w:rPr>
          <w:b w:val="0"/>
          <w:bCs/>
          <w:i/>
          <w:iCs/>
          <w:color w:val="0088CC"/>
          <w:spacing w:val="40"/>
          <w:w w:val="75"/>
          <w:sz w:val="26"/>
          <w:szCs w:val="26"/>
          <w14:shadow w14:blurRad="50800" w14:dist="38100" w14:dir="2700000" w14:sx="100000" w14:sy="100000" w14:kx="0" w14:ky="0" w14:algn="tl">
            <w14:srgbClr w14:val="000000">
              <w14:alpha w14:val="60000"/>
            </w14:srgbClr>
          </w14:shadow>
        </w:rPr>
      </w:pPr>
    </w:p>
    <w:p w:rsidR="00F31285" w:rsidRPr="00797519" w:rsidRDefault="00F31285" w:rsidP="00B42C52">
      <w:pPr>
        <w:pStyle w:val="Title"/>
        <w:spacing w:after="120"/>
        <w:ind w:left="0"/>
        <w:rPr>
          <w:b w:val="0"/>
          <w:bCs/>
          <w:i/>
          <w:iCs/>
          <w:color w:val="0088CC"/>
          <w:spacing w:val="40"/>
          <w:w w:val="75"/>
          <w:sz w:val="26"/>
          <w:szCs w:val="26"/>
          <w14:shadow w14:blurRad="50800" w14:dist="38100" w14:dir="2700000" w14:sx="100000" w14:sy="100000" w14:kx="0" w14:ky="0" w14:algn="tl">
            <w14:srgbClr w14:val="000000">
              <w14:alpha w14:val="60000"/>
            </w14:srgbClr>
          </w14:shadow>
        </w:rPr>
      </w:pPr>
    </w:p>
    <w:p w:rsidR="00600A3B" w:rsidRPr="00294E92" w:rsidRDefault="00F73A77" w:rsidP="00DD76F5">
      <w:pPr>
        <w:pStyle w:val="Heading1"/>
        <w:numPr>
          <w:ilvl w:val="0"/>
          <w:numId w:val="2"/>
        </w:numPr>
        <w:spacing w:after="120"/>
        <w:ind w:left="714" w:hanging="357"/>
        <w:jc w:val="center"/>
        <w:rPr>
          <w:rFonts w:ascii="Times New Roman" w:hAnsi="Times New Roman"/>
          <w:smallCaps/>
          <w:sz w:val="28"/>
          <w:szCs w:val="28"/>
        </w:rPr>
      </w:pPr>
      <w:bookmarkStart w:id="1" w:name="_Toc288478107"/>
      <w:bookmarkStart w:id="2" w:name="_Toc477959762"/>
      <w:r w:rsidRPr="00294E92">
        <w:rPr>
          <w:rFonts w:ascii="Times New Roman" w:hAnsi="Times New Roman"/>
          <w:sz w:val="28"/>
          <w:szCs w:val="28"/>
        </w:rPr>
        <w:lastRenderedPageBreak/>
        <w:t>АНАЛИЗ НА ОПЕРАТИВНАТА ДЕЙНОСТ</w:t>
      </w:r>
      <w:bookmarkEnd w:id="1"/>
      <w:bookmarkEnd w:id="2"/>
    </w:p>
    <w:p w:rsidR="00F73A77" w:rsidRPr="003317D1" w:rsidRDefault="00E409FD" w:rsidP="00DD76F5">
      <w:pPr>
        <w:pStyle w:val="Heading2"/>
        <w:numPr>
          <w:ilvl w:val="1"/>
          <w:numId w:val="2"/>
        </w:numPr>
        <w:spacing w:after="120"/>
        <w:rPr>
          <w:rFonts w:ascii="Times New Roman" w:hAnsi="Times New Roman"/>
          <w:i/>
          <w:sz w:val="24"/>
          <w:u w:val="single"/>
        </w:rPr>
      </w:pPr>
      <w:bookmarkStart w:id="3" w:name="_Toc288478108"/>
      <w:bookmarkStart w:id="4" w:name="_Toc477959763"/>
      <w:r w:rsidRPr="003317D1">
        <w:rPr>
          <w:rFonts w:ascii="Times New Roman" w:hAnsi="Times New Roman"/>
          <w:i/>
          <w:sz w:val="24"/>
          <w:u w:val="single"/>
        </w:rPr>
        <w:t xml:space="preserve">1) </w:t>
      </w:r>
      <w:r w:rsidR="00F73A77" w:rsidRPr="003317D1">
        <w:rPr>
          <w:rFonts w:ascii="Times New Roman" w:hAnsi="Times New Roman"/>
          <w:i/>
          <w:smallCaps/>
          <w:sz w:val="24"/>
          <w:u w:val="single"/>
        </w:rPr>
        <w:t>Анализ на товарооборота за</w:t>
      </w:r>
      <w:r w:rsidR="00F73A77" w:rsidRPr="003317D1">
        <w:rPr>
          <w:rFonts w:ascii="Times New Roman" w:hAnsi="Times New Roman"/>
          <w:i/>
          <w:sz w:val="24"/>
          <w:u w:val="single"/>
        </w:rPr>
        <w:t xml:space="preserve"> 20</w:t>
      </w:r>
      <w:r w:rsidR="00F840A3" w:rsidRPr="003317D1">
        <w:rPr>
          <w:rFonts w:ascii="Times New Roman" w:hAnsi="Times New Roman"/>
          <w:i/>
          <w:sz w:val="24"/>
          <w:u w:val="single"/>
          <w:lang w:val="ru-RU"/>
        </w:rPr>
        <w:t>1</w:t>
      </w:r>
      <w:r w:rsidR="00BC1035" w:rsidRPr="003317D1">
        <w:rPr>
          <w:rFonts w:ascii="Times New Roman" w:hAnsi="Times New Roman"/>
          <w:i/>
          <w:sz w:val="24"/>
          <w:u w:val="single"/>
          <w:lang w:val="en-US"/>
        </w:rPr>
        <w:t>7</w:t>
      </w:r>
      <w:r w:rsidR="00F73A77" w:rsidRPr="003317D1">
        <w:rPr>
          <w:rFonts w:ascii="Times New Roman" w:hAnsi="Times New Roman"/>
          <w:i/>
          <w:sz w:val="24"/>
          <w:u w:val="single"/>
        </w:rPr>
        <w:t xml:space="preserve"> г.</w:t>
      </w:r>
      <w:bookmarkEnd w:id="3"/>
      <w:bookmarkEnd w:id="4"/>
    </w:p>
    <w:p w:rsidR="00C41F86" w:rsidRPr="003317D1" w:rsidRDefault="00F278DE" w:rsidP="00F83A3B">
      <w:pPr>
        <w:pStyle w:val="NormalWeb"/>
        <w:spacing w:after="120" w:afterAutospacing="0"/>
        <w:ind w:firstLine="720"/>
        <w:jc w:val="both"/>
      </w:pPr>
      <w:bookmarkStart w:id="5" w:name="_Hlk506991401"/>
      <w:r w:rsidRPr="003317D1">
        <w:t>Товарооборотът за 201</w:t>
      </w:r>
      <w:r w:rsidRPr="003317D1">
        <w:rPr>
          <w:lang w:val="en-US"/>
        </w:rPr>
        <w:t>7</w:t>
      </w:r>
      <w:r w:rsidRPr="003317D1">
        <w:t xml:space="preserve"> г. възлиза на 7</w:t>
      </w:r>
      <w:r w:rsidRPr="003317D1">
        <w:rPr>
          <w:lang w:val="en-US"/>
        </w:rPr>
        <w:t>28</w:t>
      </w:r>
      <w:r w:rsidRPr="003317D1">
        <w:t xml:space="preserve"> хил. физ. тона, като количеството спрямо 201</w:t>
      </w:r>
      <w:r w:rsidRPr="003317D1">
        <w:rPr>
          <w:lang w:val="en-US"/>
        </w:rPr>
        <w:t>6</w:t>
      </w:r>
      <w:r w:rsidRPr="003317D1">
        <w:t xml:space="preserve"> г. отбелязва ръст от </w:t>
      </w:r>
      <w:r w:rsidRPr="003317D1">
        <w:rPr>
          <w:lang w:val="en-US"/>
        </w:rPr>
        <w:t>21</w:t>
      </w:r>
      <w:r w:rsidRPr="003317D1">
        <w:t xml:space="preserve">,6 хил. физ. тона или </w:t>
      </w:r>
      <w:r w:rsidRPr="003317D1">
        <w:rPr>
          <w:lang w:val="en-US"/>
        </w:rPr>
        <w:t>3</w:t>
      </w:r>
      <w:r w:rsidRPr="003317D1">
        <w:t>,1%. Дейността на комплекса през отчетния период беше негативно повлияна от лошите климатични условия, и преразпределението на логистичните схеми на клиентите</w:t>
      </w:r>
      <w:r w:rsidR="00AA1982" w:rsidRPr="003317D1">
        <w:t>.</w:t>
      </w:r>
      <w:bookmarkEnd w:id="5"/>
    </w:p>
    <w:p w:rsidR="00C41F86" w:rsidRPr="00327A61" w:rsidRDefault="00797519" w:rsidP="00C41F86">
      <w:pPr>
        <w:pStyle w:val="NormalWeb"/>
        <w:spacing w:after="120" w:afterAutospacing="0"/>
        <w:jc w:val="center"/>
      </w:pPr>
      <w:r w:rsidRPr="003317D1">
        <w:rPr>
          <w:noProof/>
        </w:rPr>
        <w:drawing>
          <wp:inline distT="0" distB="0" distL="0" distR="0" wp14:anchorId="55EA50C1" wp14:editId="1928CE89">
            <wp:extent cx="6109970" cy="3257550"/>
            <wp:effectExtent l="0" t="0" r="0" b="0"/>
            <wp:docPr id="46" name="Ди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6635B1" w:rsidRPr="00327A61" w:rsidRDefault="006635B1" w:rsidP="00315993">
      <w:pPr>
        <w:pStyle w:val="NormalWeb"/>
        <w:spacing w:after="120" w:afterAutospacing="0"/>
        <w:ind w:firstLine="720"/>
        <w:jc w:val="both"/>
      </w:pPr>
    </w:p>
    <w:p w:rsidR="00B30715" w:rsidRPr="00327A61" w:rsidRDefault="0076119C" w:rsidP="00315993">
      <w:pPr>
        <w:pStyle w:val="NormalWeb"/>
        <w:spacing w:after="120" w:afterAutospacing="0"/>
        <w:ind w:firstLine="720"/>
        <w:jc w:val="both"/>
      </w:pPr>
      <w:bookmarkStart w:id="6" w:name="_Hlk506991470"/>
      <w:r w:rsidRPr="00327A61">
        <w:t xml:space="preserve">Що се отнася до съотношението между </w:t>
      </w:r>
      <w:r w:rsidR="00AA1982" w:rsidRPr="00327A61">
        <w:t>основните</w:t>
      </w:r>
      <w:r w:rsidRPr="00327A61">
        <w:t xml:space="preserve"> групи товари, н</w:t>
      </w:r>
      <w:r w:rsidR="00B30715" w:rsidRPr="00327A61">
        <w:t>асипните</w:t>
      </w:r>
      <w:r w:rsidR="006635B1" w:rsidRPr="00327A61">
        <w:t xml:space="preserve"> традиционно</w:t>
      </w:r>
      <w:r w:rsidR="00B30715" w:rsidRPr="00327A61">
        <w:t xml:space="preserve"> доминират в </w:t>
      </w:r>
      <w:r w:rsidR="006635B1" w:rsidRPr="00327A61">
        <w:t>обема на общия товарооборот</w:t>
      </w:r>
      <w:r w:rsidR="00B30715" w:rsidRPr="00327A61">
        <w:t>. През 201</w:t>
      </w:r>
      <w:r w:rsidR="00BC1035" w:rsidRPr="00327A61">
        <w:rPr>
          <w:lang w:val="en-US"/>
        </w:rPr>
        <w:t>7</w:t>
      </w:r>
      <w:r w:rsidR="00B30715" w:rsidRPr="00327A61">
        <w:t xml:space="preserve">г. </w:t>
      </w:r>
      <w:r w:rsidR="00BC1035" w:rsidRPr="00327A61">
        <w:t>се наблюдава намаление при генералните товари, основно от намалените през годината количества</w:t>
      </w:r>
      <w:r w:rsidR="006635B1" w:rsidRPr="00327A61">
        <w:t xml:space="preserve"> метали и</w:t>
      </w:r>
      <w:r w:rsidR="00B30715" w:rsidRPr="00327A61">
        <w:t xml:space="preserve"> интермодални транспортни единици. </w:t>
      </w:r>
      <w:r w:rsidR="00BC1035" w:rsidRPr="00327A61">
        <w:t>Делът на групата намалява</w:t>
      </w:r>
      <w:r w:rsidRPr="00327A61">
        <w:t xml:space="preserve"> </w:t>
      </w:r>
      <w:r w:rsidR="00BC1035" w:rsidRPr="00327A61">
        <w:t>на</w:t>
      </w:r>
      <w:r w:rsidRPr="00327A61">
        <w:t xml:space="preserve"> </w:t>
      </w:r>
      <w:r w:rsidR="00BC1035" w:rsidRPr="00327A61">
        <w:t>11</w:t>
      </w:r>
      <w:r w:rsidRPr="00327A61">
        <w:t>% през 201</w:t>
      </w:r>
      <w:r w:rsidR="00BC1035" w:rsidRPr="00327A61">
        <w:t>7г., спрямо 32% за 2016г.</w:t>
      </w:r>
      <w:bookmarkEnd w:id="6"/>
    </w:p>
    <w:p w:rsidR="00B30715" w:rsidRPr="00327A61" w:rsidRDefault="00797519" w:rsidP="00B30715">
      <w:pPr>
        <w:pStyle w:val="NormalWeb"/>
        <w:spacing w:after="120" w:afterAutospacing="0"/>
        <w:ind w:firstLine="720"/>
        <w:jc w:val="center"/>
      </w:pPr>
      <w:r w:rsidRPr="00327A61">
        <w:rPr>
          <w:noProof/>
        </w:rPr>
        <w:drawing>
          <wp:inline distT="0" distB="0" distL="0" distR="0">
            <wp:extent cx="4290695" cy="2247900"/>
            <wp:effectExtent l="0" t="0" r="0" b="0"/>
            <wp:docPr id="49" name="Ди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F278DE" w:rsidRPr="00327A61" w:rsidRDefault="00F278DE" w:rsidP="00F278DE">
      <w:pPr>
        <w:pStyle w:val="NormalWeb"/>
        <w:tabs>
          <w:tab w:val="left" w:pos="1134"/>
        </w:tabs>
        <w:spacing w:after="120"/>
        <w:ind w:left="851"/>
        <w:jc w:val="both"/>
      </w:pPr>
    </w:p>
    <w:p w:rsidR="00B90DE6" w:rsidRPr="00327A61" w:rsidRDefault="006635B1" w:rsidP="00F278DE">
      <w:pPr>
        <w:pStyle w:val="NormalWeb"/>
        <w:tabs>
          <w:tab w:val="left" w:pos="1134"/>
        </w:tabs>
        <w:spacing w:after="120"/>
        <w:ind w:left="851"/>
        <w:jc w:val="both"/>
      </w:pPr>
      <w:r w:rsidRPr="00327A61">
        <w:t xml:space="preserve"> </w:t>
      </w:r>
    </w:p>
    <w:p w:rsidR="008B5165" w:rsidRPr="00327A61" w:rsidRDefault="008B5165" w:rsidP="00DD76F5">
      <w:pPr>
        <w:numPr>
          <w:ilvl w:val="1"/>
          <w:numId w:val="7"/>
        </w:numPr>
        <w:spacing w:before="120" w:after="120"/>
        <w:jc w:val="both"/>
        <w:rPr>
          <w:b/>
        </w:rPr>
      </w:pPr>
      <w:r w:rsidRPr="00327A61">
        <w:rPr>
          <w:b/>
        </w:rPr>
        <w:lastRenderedPageBreak/>
        <w:t>Товарооборот по видове</w:t>
      </w:r>
      <w:r w:rsidR="000865A8" w:rsidRPr="00327A61">
        <w:rPr>
          <w:b/>
        </w:rPr>
        <w:t xml:space="preserve"> </w:t>
      </w:r>
      <w:r w:rsidRPr="00327A61">
        <w:rPr>
          <w:b/>
        </w:rPr>
        <w:t>товари</w:t>
      </w:r>
    </w:p>
    <w:tbl>
      <w:tblPr>
        <w:tblW w:w="9373" w:type="dxa"/>
        <w:jc w:val="center"/>
        <w:tblLayout w:type="fixed"/>
        <w:tblCellMar>
          <w:left w:w="70" w:type="dxa"/>
          <w:right w:w="70" w:type="dxa"/>
        </w:tblCellMar>
        <w:tblLook w:val="0000" w:firstRow="0" w:lastRow="0" w:firstColumn="0" w:lastColumn="0" w:noHBand="0" w:noVBand="0"/>
      </w:tblPr>
      <w:tblGrid>
        <w:gridCol w:w="3986"/>
        <w:gridCol w:w="1134"/>
        <w:gridCol w:w="1134"/>
        <w:gridCol w:w="992"/>
        <w:gridCol w:w="1146"/>
        <w:gridCol w:w="981"/>
      </w:tblGrid>
      <w:tr w:rsidR="00016B1B" w:rsidRPr="00327A61" w:rsidTr="006A52D1">
        <w:trPr>
          <w:trHeight w:val="356"/>
          <w:jc w:val="center"/>
        </w:trPr>
        <w:tc>
          <w:tcPr>
            <w:tcW w:w="3986" w:type="dxa"/>
            <w:tcBorders>
              <w:top w:val="single" w:sz="4" w:space="0" w:color="auto"/>
              <w:left w:val="single" w:sz="4" w:space="0" w:color="auto"/>
              <w:right w:val="single" w:sz="4" w:space="0" w:color="auto"/>
            </w:tcBorders>
            <w:shd w:val="clear" w:color="auto" w:fill="E0E0E0"/>
          </w:tcPr>
          <w:p w:rsidR="00016B1B" w:rsidRPr="00327A61" w:rsidRDefault="00016B1B" w:rsidP="00016B1B">
            <w:pPr>
              <w:keepNext/>
              <w:spacing w:before="240" w:after="60"/>
              <w:jc w:val="center"/>
              <w:outlineLvl w:val="0"/>
              <w:rPr>
                <w:rFonts w:ascii="Arial" w:eastAsia="Times New Roman" w:hAnsi="Arial" w:cs="Arial"/>
                <w:b/>
                <w:bCs/>
                <w:kern w:val="32"/>
                <w:sz w:val="32"/>
                <w:szCs w:val="20"/>
                <w:lang w:eastAsia="bg-BG"/>
              </w:rPr>
            </w:pPr>
          </w:p>
        </w:tc>
        <w:tc>
          <w:tcPr>
            <w:tcW w:w="5387" w:type="dxa"/>
            <w:gridSpan w:val="5"/>
            <w:tcBorders>
              <w:top w:val="single" w:sz="4" w:space="0" w:color="auto"/>
              <w:left w:val="nil"/>
              <w:right w:val="single" w:sz="4" w:space="0" w:color="auto"/>
            </w:tcBorders>
            <w:shd w:val="clear" w:color="auto" w:fill="E0E0E0"/>
            <w:vAlign w:val="center"/>
          </w:tcPr>
          <w:p w:rsidR="00016B1B" w:rsidRPr="00327A61" w:rsidRDefault="00016B1B" w:rsidP="00016B1B">
            <w:pPr>
              <w:jc w:val="center"/>
              <w:rPr>
                <w:rFonts w:ascii="Arial" w:eastAsia="Times New Roman" w:hAnsi="Arial" w:cs="Arial"/>
                <w:snapToGrid w:val="0"/>
                <w:color w:val="000000"/>
                <w:sz w:val="20"/>
                <w:szCs w:val="20"/>
                <w:lang w:eastAsia="en-US"/>
              </w:rPr>
            </w:pPr>
            <w:r w:rsidRPr="00327A61">
              <w:rPr>
                <w:rFonts w:ascii="Arial" w:eastAsia="Times New Roman" w:hAnsi="Arial" w:cs="Arial"/>
                <w:snapToGrid w:val="0"/>
                <w:color w:val="000000"/>
                <w:sz w:val="20"/>
                <w:szCs w:val="20"/>
                <w:lang w:eastAsia="en-US"/>
              </w:rPr>
              <w:t xml:space="preserve">ЯНУАРИ - ДЕКЕМВРИ </w:t>
            </w:r>
            <w:r w:rsidRPr="00327A61">
              <w:rPr>
                <w:rFonts w:ascii="Arial" w:eastAsia="Times New Roman" w:hAnsi="Arial" w:cs="Arial"/>
                <w:snapToGrid w:val="0"/>
                <w:color w:val="000000"/>
                <w:sz w:val="20"/>
                <w:szCs w:val="20"/>
                <w:lang w:val="ru-RU" w:eastAsia="en-US"/>
              </w:rPr>
              <w:t>20</w:t>
            </w:r>
            <w:r w:rsidRPr="00327A61">
              <w:rPr>
                <w:rFonts w:ascii="Arial" w:eastAsia="Times New Roman" w:hAnsi="Arial" w:cs="Arial"/>
                <w:snapToGrid w:val="0"/>
                <w:color w:val="000000"/>
                <w:sz w:val="20"/>
                <w:szCs w:val="20"/>
                <w:lang w:val="en-US" w:eastAsia="en-US"/>
              </w:rPr>
              <w:t>1</w:t>
            </w:r>
            <w:r w:rsidRPr="00327A61">
              <w:rPr>
                <w:rFonts w:ascii="Arial" w:eastAsia="Times New Roman" w:hAnsi="Arial" w:cs="Arial"/>
                <w:snapToGrid w:val="0"/>
                <w:color w:val="000000"/>
                <w:sz w:val="20"/>
                <w:szCs w:val="20"/>
                <w:lang w:eastAsia="en-US"/>
              </w:rPr>
              <w:t>7</w:t>
            </w:r>
          </w:p>
        </w:tc>
      </w:tr>
      <w:tr w:rsidR="00DD76F5" w:rsidRPr="00327A61" w:rsidTr="00DD76F5">
        <w:trPr>
          <w:trHeight w:val="528"/>
          <w:jc w:val="center"/>
        </w:trPr>
        <w:tc>
          <w:tcPr>
            <w:tcW w:w="3986" w:type="dxa"/>
            <w:tcBorders>
              <w:top w:val="single" w:sz="4" w:space="0" w:color="auto"/>
              <w:left w:val="single" w:sz="4" w:space="0" w:color="auto"/>
              <w:bottom w:val="single" w:sz="4" w:space="0" w:color="auto"/>
              <w:right w:val="single" w:sz="4" w:space="0" w:color="auto"/>
            </w:tcBorders>
            <w:vAlign w:val="center"/>
          </w:tcPr>
          <w:p w:rsidR="00DD76F5" w:rsidRPr="00327A61" w:rsidRDefault="00DD76F5" w:rsidP="00DD76F5">
            <w:pPr>
              <w:keepNext/>
              <w:spacing w:before="240" w:after="60"/>
              <w:jc w:val="center"/>
              <w:outlineLvl w:val="0"/>
              <w:rPr>
                <w:rFonts w:ascii="Arial" w:eastAsia="Times New Roman" w:hAnsi="Arial" w:cs="Arial"/>
                <w:b/>
                <w:bCs/>
                <w:kern w:val="32"/>
                <w:sz w:val="22"/>
                <w:szCs w:val="22"/>
                <w:lang w:eastAsia="bg-BG"/>
              </w:rPr>
            </w:pPr>
            <w:bookmarkStart w:id="7" w:name="_Toc477959764"/>
            <w:r w:rsidRPr="00327A61">
              <w:rPr>
                <w:rFonts w:ascii="Arial" w:eastAsia="Times New Roman" w:hAnsi="Arial" w:cs="Arial"/>
                <w:b/>
                <w:bCs/>
                <w:kern w:val="32"/>
                <w:sz w:val="22"/>
                <w:szCs w:val="22"/>
                <w:lang w:eastAsia="bg-BG"/>
              </w:rPr>
              <w:t>ПОКАЗАТЕЛИ</w:t>
            </w:r>
            <w:bookmarkEnd w:id="7"/>
          </w:p>
        </w:tc>
        <w:tc>
          <w:tcPr>
            <w:tcW w:w="1134" w:type="dxa"/>
            <w:tcBorders>
              <w:top w:val="single" w:sz="4" w:space="0" w:color="auto"/>
              <w:left w:val="nil"/>
              <w:bottom w:val="single" w:sz="4" w:space="0" w:color="auto"/>
              <w:right w:val="single" w:sz="4" w:space="0" w:color="auto"/>
            </w:tcBorders>
            <w:vAlign w:val="center"/>
          </w:tcPr>
          <w:p w:rsidR="00DD76F5" w:rsidRPr="00327A61" w:rsidRDefault="00DD76F5" w:rsidP="00DD76F5">
            <w:pPr>
              <w:jc w:val="center"/>
              <w:rPr>
                <w:rFonts w:ascii="Arial Narrow" w:hAnsi="Arial Narrow" w:cs="Arial"/>
                <w:sz w:val="20"/>
                <w:szCs w:val="20"/>
                <w:lang w:eastAsia="bg-BG"/>
              </w:rPr>
            </w:pPr>
            <w:r w:rsidRPr="00327A61">
              <w:rPr>
                <w:rFonts w:ascii="Arial Narrow" w:hAnsi="Arial Narrow" w:cs="Arial"/>
                <w:sz w:val="20"/>
                <w:szCs w:val="20"/>
              </w:rPr>
              <w:t>отчетен период</w:t>
            </w:r>
          </w:p>
        </w:tc>
        <w:tc>
          <w:tcPr>
            <w:tcW w:w="1134" w:type="dxa"/>
            <w:tcBorders>
              <w:top w:val="single" w:sz="4" w:space="0" w:color="auto"/>
              <w:left w:val="nil"/>
              <w:bottom w:val="single" w:sz="4" w:space="0" w:color="auto"/>
              <w:right w:val="nil"/>
            </w:tcBorders>
            <w:vAlign w:val="center"/>
          </w:tcPr>
          <w:p w:rsidR="00DD76F5" w:rsidRPr="00327A61" w:rsidRDefault="00DD76F5" w:rsidP="00DD76F5">
            <w:pPr>
              <w:jc w:val="center"/>
              <w:rPr>
                <w:rFonts w:ascii="Arial Narrow" w:hAnsi="Arial Narrow" w:cs="Arial"/>
                <w:sz w:val="20"/>
                <w:szCs w:val="20"/>
              </w:rPr>
            </w:pPr>
            <w:r w:rsidRPr="00327A61">
              <w:rPr>
                <w:rFonts w:ascii="Arial Narrow" w:hAnsi="Arial Narrow" w:cs="Arial"/>
                <w:sz w:val="20"/>
                <w:szCs w:val="20"/>
              </w:rPr>
              <w:t>бизнес план</w:t>
            </w:r>
          </w:p>
        </w:tc>
        <w:tc>
          <w:tcPr>
            <w:tcW w:w="992" w:type="dxa"/>
            <w:tcBorders>
              <w:top w:val="single" w:sz="4" w:space="0" w:color="auto"/>
              <w:left w:val="single" w:sz="4" w:space="0" w:color="auto"/>
              <w:bottom w:val="single" w:sz="4" w:space="0" w:color="auto"/>
              <w:right w:val="single" w:sz="4" w:space="0" w:color="auto"/>
            </w:tcBorders>
            <w:vAlign w:val="center"/>
          </w:tcPr>
          <w:p w:rsidR="00DD76F5" w:rsidRPr="00327A61" w:rsidRDefault="00DD76F5" w:rsidP="00DD76F5">
            <w:pPr>
              <w:jc w:val="center"/>
              <w:rPr>
                <w:rFonts w:ascii="Arial Narrow" w:hAnsi="Arial Narrow" w:cs="Arial"/>
                <w:sz w:val="20"/>
                <w:szCs w:val="20"/>
              </w:rPr>
            </w:pPr>
            <w:r w:rsidRPr="00327A61">
              <w:rPr>
                <w:rFonts w:ascii="Arial Narrow" w:hAnsi="Arial Narrow" w:cs="Arial"/>
                <w:sz w:val="20"/>
                <w:szCs w:val="20"/>
              </w:rPr>
              <w:t>1/2 (%)</w:t>
            </w:r>
          </w:p>
        </w:tc>
        <w:tc>
          <w:tcPr>
            <w:tcW w:w="1146" w:type="dxa"/>
            <w:tcBorders>
              <w:top w:val="single" w:sz="4" w:space="0" w:color="auto"/>
              <w:left w:val="nil"/>
              <w:bottom w:val="single" w:sz="4" w:space="0" w:color="auto"/>
              <w:right w:val="nil"/>
            </w:tcBorders>
            <w:vAlign w:val="center"/>
          </w:tcPr>
          <w:p w:rsidR="00DD76F5" w:rsidRPr="00327A61" w:rsidRDefault="00DD76F5" w:rsidP="00DD76F5">
            <w:pPr>
              <w:jc w:val="center"/>
              <w:rPr>
                <w:rFonts w:ascii="Arial Narrow" w:hAnsi="Arial Narrow" w:cs="Arial"/>
                <w:sz w:val="20"/>
                <w:szCs w:val="20"/>
              </w:rPr>
            </w:pPr>
            <w:r w:rsidRPr="00327A61">
              <w:rPr>
                <w:rFonts w:ascii="Arial Narrow" w:hAnsi="Arial Narrow" w:cs="Arial"/>
                <w:sz w:val="20"/>
                <w:szCs w:val="20"/>
              </w:rPr>
              <w:t>предходна година</w:t>
            </w:r>
          </w:p>
        </w:tc>
        <w:tc>
          <w:tcPr>
            <w:tcW w:w="981" w:type="dxa"/>
            <w:tcBorders>
              <w:top w:val="single" w:sz="4" w:space="0" w:color="auto"/>
              <w:left w:val="single" w:sz="4" w:space="0" w:color="auto"/>
              <w:bottom w:val="single" w:sz="4" w:space="0" w:color="auto"/>
              <w:right w:val="single" w:sz="4" w:space="0" w:color="auto"/>
            </w:tcBorders>
            <w:vAlign w:val="center"/>
          </w:tcPr>
          <w:p w:rsidR="00DD76F5" w:rsidRPr="00327A61" w:rsidRDefault="00DD76F5" w:rsidP="00DD76F5">
            <w:pPr>
              <w:jc w:val="center"/>
              <w:rPr>
                <w:rFonts w:ascii="Arial Narrow" w:hAnsi="Arial Narrow" w:cs="Arial"/>
                <w:sz w:val="20"/>
                <w:szCs w:val="20"/>
              </w:rPr>
            </w:pPr>
            <w:r w:rsidRPr="00327A61">
              <w:rPr>
                <w:rFonts w:ascii="Arial Narrow" w:hAnsi="Arial Narrow" w:cs="Arial"/>
                <w:sz w:val="20"/>
                <w:szCs w:val="20"/>
              </w:rPr>
              <w:t> 1/3 (%)</w:t>
            </w:r>
          </w:p>
        </w:tc>
      </w:tr>
      <w:tr w:rsidR="00DD76F5" w:rsidRPr="00327A61" w:rsidTr="006A52D1">
        <w:trPr>
          <w:trHeight w:val="270"/>
          <w:jc w:val="center"/>
        </w:trPr>
        <w:tc>
          <w:tcPr>
            <w:tcW w:w="3986" w:type="dxa"/>
            <w:tcBorders>
              <w:top w:val="single" w:sz="4" w:space="0" w:color="auto"/>
              <w:left w:val="single" w:sz="4" w:space="0" w:color="auto"/>
              <w:bottom w:val="single" w:sz="4" w:space="0" w:color="auto"/>
              <w:right w:val="single" w:sz="4" w:space="0" w:color="auto"/>
            </w:tcBorders>
            <w:vAlign w:val="bottom"/>
          </w:tcPr>
          <w:p w:rsidR="00DD76F5" w:rsidRPr="00327A61" w:rsidRDefault="00DD76F5" w:rsidP="00DD76F5">
            <w:pPr>
              <w:rPr>
                <w:rFonts w:ascii="Arial" w:hAnsi="Arial" w:cs="Arial"/>
                <w:b/>
                <w:sz w:val="20"/>
                <w:szCs w:val="20"/>
              </w:rPr>
            </w:pPr>
            <w:r w:rsidRPr="00327A61">
              <w:rPr>
                <w:rFonts w:ascii="Arial" w:hAnsi="Arial" w:cs="Arial"/>
                <w:b/>
                <w:sz w:val="20"/>
                <w:szCs w:val="20"/>
              </w:rPr>
              <w:t>Обработени товари  (хил. физ. тона)</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727.560</w:t>
            </w:r>
          </w:p>
        </w:tc>
        <w:tc>
          <w:tcPr>
            <w:tcW w:w="1134" w:type="dxa"/>
            <w:tcBorders>
              <w:top w:val="single" w:sz="4" w:space="0" w:color="auto"/>
              <w:left w:val="nil"/>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623.000</w:t>
            </w:r>
          </w:p>
        </w:tc>
        <w:tc>
          <w:tcPr>
            <w:tcW w:w="992" w:type="dxa"/>
            <w:tcBorders>
              <w:top w:val="single" w:sz="4" w:space="0" w:color="auto"/>
              <w:left w:val="nil"/>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16.8%</w:t>
            </w:r>
          </w:p>
        </w:tc>
        <w:tc>
          <w:tcPr>
            <w:tcW w:w="1146" w:type="dxa"/>
            <w:tcBorders>
              <w:top w:val="single" w:sz="4" w:space="0" w:color="auto"/>
              <w:left w:val="nil"/>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705.904</w:t>
            </w:r>
          </w:p>
        </w:tc>
        <w:tc>
          <w:tcPr>
            <w:tcW w:w="981" w:type="dxa"/>
            <w:tcBorders>
              <w:top w:val="single" w:sz="4" w:space="0" w:color="auto"/>
              <w:left w:val="nil"/>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3.1%</w:t>
            </w:r>
          </w:p>
        </w:tc>
      </w:tr>
      <w:tr w:rsidR="00DD76F5" w:rsidRPr="00327A61" w:rsidTr="006A52D1">
        <w:trPr>
          <w:trHeight w:val="255"/>
          <w:jc w:val="center"/>
        </w:trPr>
        <w:tc>
          <w:tcPr>
            <w:tcW w:w="3986" w:type="dxa"/>
            <w:tcBorders>
              <w:top w:val="single" w:sz="4" w:space="0" w:color="auto"/>
              <w:left w:val="single" w:sz="4" w:space="0" w:color="auto"/>
              <w:bottom w:val="single" w:sz="4" w:space="0" w:color="auto"/>
              <w:right w:val="nil"/>
            </w:tcBorders>
            <w:vAlign w:val="bottom"/>
          </w:tcPr>
          <w:p w:rsidR="00DD76F5" w:rsidRPr="00327A61" w:rsidRDefault="00DD76F5" w:rsidP="00DD76F5">
            <w:pPr>
              <w:ind w:firstLine="200"/>
              <w:rPr>
                <w:rFonts w:ascii="Arial" w:eastAsia="Times New Roman" w:hAnsi="Arial" w:cs="Arial"/>
                <w:sz w:val="20"/>
                <w:szCs w:val="20"/>
                <w:lang w:eastAsia="bg-BG"/>
              </w:rPr>
            </w:pPr>
            <w:r w:rsidRPr="00327A61">
              <w:rPr>
                <w:rFonts w:ascii="Arial" w:eastAsia="Times New Roman" w:hAnsi="Arial" w:cs="Arial"/>
                <w:sz w:val="20"/>
                <w:szCs w:val="20"/>
                <w:lang w:eastAsia="bg-BG"/>
              </w:rPr>
              <w:t xml:space="preserve">- насипни </w:t>
            </w:r>
          </w:p>
        </w:tc>
        <w:tc>
          <w:tcPr>
            <w:tcW w:w="1134" w:type="dxa"/>
            <w:tcBorders>
              <w:top w:val="nil"/>
              <w:left w:val="single" w:sz="4" w:space="0" w:color="auto"/>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645.410</w:t>
            </w:r>
          </w:p>
        </w:tc>
        <w:tc>
          <w:tcPr>
            <w:tcW w:w="1134" w:type="dxa"/>
            <w:tcBorders>
              <w:top w:val="nil"/>
              <w:left w:val="nil"/>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429.000</w:t>
            </w:r>
          </w:p>
        </w:tc>
        <w:tc>
          <w:tcPr>
            <w:tcW w:w="992" w:type="dxa"/>
            <w:tcBorders>
              <w:top w:val="nil"/>
              <w:left w:val="nil"/>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50.4%</w:t>
            </w:r>
          </w:p>
        </w:tc>
        <w:tc>
          <w:tcPr>
            <w:tcW w:w="1146" w:type="dxa"/>
            <w:tcBorders>
              <w:top w:val="nil"/>
              <w:left w:val="nil"/>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480.241</w:t>
            </w:r>
          </w:p>
        </w:tc>
        <w:tc>
          <w:tcPr>
            <w:tcW w:w="981" w:type="dxa"/>
            <w:tcBorders>
              <w:top w:val="nil"/>
              <w:left w:val="nil"/>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34.4%</w:t>
            </w:r>
          </w:p>
        </w:tc>
      </w:tr>
      <w:tr w:rsidR="00DD76F5" w:rsidRPr="00327A61" w:rsidTr="006A52D1">
        <w:trPr>
          <w:trHeight w:val="255"/>
          <w:jc w:val="center"/>
        </w:trPr>
        <w:tc>
          <w:tcPr>
            <w:tcW w:w="3986" w:type="dxa"/>
            <w:tcBorders>
              <w:top w:val="single" w:sz="4" w:space="0" w:color="auto"/>
              <w:left w:val="single" w:sz="4" w:space="0" w:color="auto"/>
              <w:bottom w:val="single" w:sz="4" w:space="0" w:color="auto"/>
              <w:right w:val="nil"/>
            </w:tcBorders>
            <w:vAlign w:val="bottom"/>
          </w:tcPr>
          <w:p w:rsidR="00DD76F5" w:rsidRPr="00327A61" w:rsidRDefault="00DD76F5" w:rsidP="00DD76F5">
            <w:pPr>
              <w:ind w:firstLine="200"/>
              <w:rPr>
                <w:rFonts w:ascii="Arial" w:eastAsia="Times New Roman" w:hAnsi="Arial" w:cs="Arial"/>
                <w:sz w:val="20"/>
                <w:szCs w:val="20"/>
                <w:lang w:eastAsia="bg-BG"/>
              </w:rPr>
            </w:pPr>
            <w:r w:rsidRPr="00327A61">
              <w:rPr>
                <w:rFonts w:ascii="Arial" w:eastAsia="Times New Roman" w:hAnsi="Arial" w:cs="Arial"/>
                <w:sz w:val="20"/>
                <w:szCs w:val="20"/>
                <w:lang w:eastAsia="bg-BG"/>
              </w:rPr>
              <w:t>- генерални</w:t>
            </w:r>
          </w:p>
        </w:tc>
        <w:tc>
          <w:tcPr>
            <w:tcW w:w="1134" w:type="dxa"/>
            <w:tcBorders>
              <w:top w:val="nil"/>
              <w:left w:val="single" w:sz="4" w:space="0" w:color="auto"/>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82.150</w:t>
            </w:r>
          </w:p>
        </w:tc>
        <w:tc>
          <w:tcPr>
            <w:tcW w:w="1134" w:type="dxa"/>
            <w:tcBorders>
              <w:top w:val="nil"/>
              <w:left w:val="nil"/>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194.000</w:t>
            </w:r>
          </w:p>
        </w:tc>
        <w:tc>
          <w:tcPr>
            <w:tcW w:w="992" w:type="dxa"/>
            <w:tcBorders>
              <w:top w:val="nil"/>
              <w:left w:val="nil"/>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-57.7%</w:t>
            </w:r>
          </w:p>
        </w:tc>
        <w:tc>
          <w:tcPr>
            <w:tcW w:w="1146" w:type="dxa"/>
            <w:tcBorders>
              <w:top w:val="nil"/>
              <w:left w:val="nil"/>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225.663</w:t>
            </w:r>
          </w:p>
        </w:tc>
        <w:tc>
          <w:tcPr>
            <w:tcW w:w="981" w:type="dxa"/>
            <w:tcBorders>
              <w:top w:val="nil"/>
              <w:left w:val="nil"/>
              <w:bottom w:val="single" w:sz="4" w:space="0" w:color="auto"/>
              <w:right w:val="single" w:sz="4" w:space="0" w:color="auto"/>
            </w:tcBorders>
            <w:shd w:val="clear" w:color="auto" w:fill="auto"/>
            <w:vAlign w:val="bottom"/>
          </w:tcPr>
          <w:p w:rsidR="00DD76F5" w:rsidRPr="00327A61" w:rsidRDefault="00DD76F5" w:rsidP="00DD76F5">
            <w:pPr>
              <w:jc w:val="right"/>
              <w:rPr>
                <w:rFonts w:ascii="Arial" w:hAnsi="Arial" w:cs="Arial"/>
                <w:sz w:val="20"/>
                <w:szCs w:val="20"/>
              </w:rPr>
            </w:pPr>
            <w:r w:rsidRPr="00327A61">
              <w:rPr>
                <w:rFonts w:ascii="Arial" w:hAnsi="Arial" w:cs="Arial"/>
                <w:sz w:val="20"/>
                <w:szCs w:val="20"/>
              </w:rPr>
              <w:t>-63.6%</w:t>
            </w:r>
          </w:p>
        </w:tc>
      </w:tr>
    </w:tbl>
    <w:p w:rsidR="00016B1B" w:rsidRPr="00327A61" w:rsidRDefault="00016B1B" w:rsidP="00016B1B">
      <w:pPr>
        <w:spacing w:before="120" w:after="120"/>
        <w:ind w:firstLine="709"/>
        <w:jc w:val="both"/>
        <w:rPr>
          <w:b/>
          <w:i/>
        </w:rPr>
      </w:pPr>
      <w:bookmarkStart w:id="8" w:name="_Hlk506992006"/>
      <w:r w:rsidRPr="00327A61">
        <w:rPr>
          <w:b/>
          <w:i/>
        </w:rPr>
        <w:t>През 2017 г. терминал Русе-изток (и Ро-Ро) съоръжението към него осъществиха обработката на всички товари за комплекса на годишна база. Портът на дружеството в град Тутракан в последните години не извършва регулярна обработка на товари. Терминалите Силистра и Русе-център са предназначени за престой на плавателни съдове на понтони и не генерират съществен оперативни резултати.</w:t>
      </w:r>
      <w:bookmarkEnd w:id="8"/>
    </w:p>
    <w:p w:rsidR="006A52D1" w:rsidRPr="00327A61" w:rsidRDefault="00DD76F5" w:rsidP="006A52D1">
      <w:pPr>
        <w:spacing w:before="120" w:after="120"/>
        <w:ind w:firstLine="709"/>
        <w:jc w:val="both"/>
        <w:rPr>
          <w:b/>
          <w:i/>
          <w:sz w:val="22"/>
        </w:rPr>
      </w:pPr>
      <w:bookmarkStart w:id="9" w:name="_Hlk506992069"/>
      <w:r w:rsidRPr="00327A61">
        <w:rPr>
          <w:rFonts w:eastAsia="Times New Roman"/>
          <w:b/>
          <w:u w:val="single"/>
          <w:lang w:eastAsia="bg-BG"/>
        </w:rPr>
        <w:t>Насипни товари</w:t>
      </w:r>
      <w:r w:rsidRPr="00327A61">
        <w:rPr>
          <w:rFonts w:eastAsia="Times New Roman"/>
          <w:lang w:eastAsia="bg-BG"/>
        </w:rPr>
        <w:t xml:space="preserve">  - през изминалата година отбелязаха тенденция за увеличение на относителния си дял в общия товарооборот за сметка на генерални стоки. Така за 2017 г. те формираха 88,7% от общия товарооборот, докато за предходната 2016 г. са зае</w:t>
      </w:r>
      <w:r w:rsidR="005A5A52" w:rsidRPr="00327A61">
        <w:rPr>
          <w:rFonts w:eastAsia="Times New Roman"/>
          <w:lang w:eastAsia="bg-BG"/>
        </w:rPr>
        <w:t>ма</w:t>
      </w:r>
      <w:r w:rsidRPr="00327A61">
        <w:rPr>
          <w:rFonts w:eastAsia="Times New Roman"/>
          <w:lang w:eastAsia="bg-BG"/>
        </w:rPr>
        <w:t>ли 68%</w:t>
      </w:r>
      <w:r w:rsidRPr="00327A61">
        <w:rPr>
          <w:rFonts w:eastAsia="Times New Roman"/>
          <w:vertAlign w:val="superscript"/>
          <w:lang w:eastAsia="bg-BG"/>
        </w:rPr>
        <w:t>-тен</w:t>
      </w:r>
      <w:r w:rsidRPr="00327A61">
        <w:rPr>
          <w:rFonts w:eastAsia="Times New Roman"/>
          <w:lang w:eastAsia="bg-BG"/>
        </w:rPr>
        <w:t xml:space="preserve"> дял. В абсолютна стойност за текущия период те нарастват с 165,</w:t>
      </w:r>
      <w:r w:rsidR="005A5A52" w:rsidRPr="00327A61">
        <w:rPr>
          <w:rFonts w:eastAsia="Times New Roman"/>
          <w:lang w:eastAsia="bg-BG"/>
        </w:rPr>
        <w:t>2</w:t>
      </w:r>
      <w:r w:rsidRPr="00327A61">
        <w:rPr>
          <w:rFonts w:eastAsia="Times New Roman"/>
          <w:lang w:eastAsia="bg-BG"/>
        </w:rPr>
        <w:t xml:space="preserve">  хил. тона или 34,4 %.  При по-големите групи насипни товари, динамиката на годишна база е следната:</w:t>
      </w:r>
    </w:p>
    <w:p w:rsidR="00016B1B" w:rsidRPr="00327A61" w:rsidRDefault="006D4135" w:rsidP="00016B1B">
      <w:pPr>
        <w:spacing w:after="120"/>
        <w:jc w:val="center"/>
        <w:rPr>
          <w:rFonts w:eastAsia="Times New Roman"/>
          <w:b/>
          <w:u w:val="single"/>
          <w:lang w:eastAsia="bg-BG"/>
        </w:rPr>
      </w:pPr>
      <w:r w:rsidRPr="00327A61">
        <w:rPr>
          <w:noProof/>
          <w:lang w:eastAsia="bg-BG"/>
        </w:rPr>
        <w:drawing>
          <wp:inline distT="0" distB="0" distL="0" distR="0" wp14:anchorId="7173F3C0" wp14:editId="28B936A1">
            <wp:extent cx="4542367" cy="2743200"/>
            <wp:effectExtent l="0" t="0" r="10795" b="0"/>
            <wp:docPr id="13" name="Диаграма 13">
              <a:extLst xmlns:a="http://schemas.openxmlformats.org/drawingml/2006/main">
                <a:ext uri="{FF2B5EF4-FFF2-40B4-BE49-F238E27FC236}">
                  <a16:creationId xmlns:a16="http://schemas.microsoft.com/office/drawing/2014/main" id="{8EAB5362-6119-457A-9CB5-16E325765C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016B1B" w:rsidRPr="00327A61" w:rsidRDefault="00016B1B" w:rsidP="00016B1B">
      <w:pPr>
        <w:numPr>
          <w:ilvl w:val="3"/>
          <w:numId w:val="1"/>
        </w:numPr>
        <w:spacing w:after="120"/>
        <w:ind w:firstLine="483"/>
        <w:jc w:val="both"/>
        <w:rPr>
          <w:rFonts w:eastAsia="Times New Roman"/>
          <w:lang w:eastAsia="bg-BG"/>
        </w:rPr>
      </w:pPr>
      <w:r w:rsidRPr="00327A61">
        <w:rPr>
          <w:rFonts w:eastAsia="Times New Roman"/>
          <w:lang w:eastAsia="bg-BG"/>
        </w:rPr>
        <w:t xml:space="preserve">Обработените количества </w:t>
      </w:r>
      <w:r w:rsidRPr="00327A61">
        <w:rPr>
          <w:rFonts w:eastAsia="Times New Roman"/>
          <w:b/>
          <w:lang w:eastAsia="bg-BG"/>
        </w:rPr>
        <w:t>въглища</w:t>
      </w:r>
      <w:r w:rsidRPr="00327A61">
        <w:rPr>
          <w:rFonts w:eastAsia="Times New Roman"/>
          <w:lang w:eastAsia="bg-BG"/>
        </w:rPr>
        <w:t xml:space="preserve"> </w:t>
      </w:r>
      <w:r w:rsidR="004F6A6C" w:rsidRPr="00327A61">
        <w:rPr>
          <w:rFonts w:eastAsia="Times New Roman"/>
          <w:lang w:eastAsia="bg-BG"/>
        </w:rPr>
        <w:t>са</w:t>
      </w:r>
      <w:r w:rsidR="006D4135" w:rsidRPr="00327A61">
        <w:rPr>
          <w:rFonts w:eastAsia="Times New Roman"/>
          <w:lang w:eastAsia="bg-BG"/>
        </w:rPr>
        <w:t xml:space="preserve"> в размер на</w:t>
      </w:r>
      <w:r w:rsidRPr="00327A61">
        <w:rPr>
          <w:rFonts w:eastAsia="Times New Roman"/>
          <w:lang w:eastAsia="bg-BG"/>
        </w:rPr>
        <w:t xml:space="preserve"> 277 хил.тона за текущата година при 214 хил.тона за предходната 2016г. (+63 хил. тона; +29%). Така  се очертава леко повишение в обработката на този основен за дружеството насипен товар.</w:t>
      </w:r>
    </w:p>
    <w:p w:rsidR="00016B1B" w:rsidRPr="00327A61" w:rsidRDefault="00016B1B" w:rsidP="00016B1B">
      <w:pPr>
        <w:numPr>
          <w:ilvl w:val="3"/>
          <w:numId w:val="1"/>
        </w:numPr>
        <w:spacing w:after="120"/>
        <w:ind w:firstLine="483"/>
        <w:jc w:val="both"/>
        <w:rPr>
          <w:rFonts w:eastAsia="Times New Roman"/>
          <w:lang w:eastAsia="bg-BG"/>
        </w:rPr>
      </w:pPr>
      <w:r w:rsidRPr="00327A61">
        <w:rPr>
          <w:rFonts w:eastAsia="Times New Roman"/>
          <w:b/>
          <w:lang w:eastAsia="bg-BG"/>
        </w:rPr>
        <w:t>Зърнените храни и фуражи значително</w:t>
      </w:r>
      <w:r w:rsidRPr="00327A61">
        <w:rPr>
          <w:rFonts w:eastAsia="Times New Roman"/>
          <w:lang w:eastAsia="bg-BG"/>
        </w:rPr>
        <w:t xml:space="preserve"> </w:t>
      </w:r>
      <w:r w:rsidRPr="00327A61">
        <w:rPr>
          <w:rFonts w:eastAsia="Times New Roman"/>
          <w:b/>
          <w:lang w:eastAsia="bg-BG"/>
        </w:rPr>
        <w:t>увеличават обема си</w:t>
      </w:r>
      <w:r w:rsidRPr="00327A61">
        <w:rPr>
          <w:rFonts w:eastAsia="Times New Roman"/>
          <w:lang w:eastAsia="bg-BG"/>
        </w:rPr>
        <w:t xml:space="preserve"> в сравнение с предходната година  с общо количество от 214,1 хил.тона, при 138 хил.тона за 2016г. Това се дължи най-вече на предприетите през годината активни мерки по привличане на клиенти, предоставящи зърно за обработка по направление износ.</w:t>
      </w:r>
    </w:p>
    <w:p w:rsidR="00016B1B" w:rsidRPr="00327A61" w:rsidRDefault="00016B1B" w:rsidP="00016B1B">
      <w:pPr>
        <w:numPr>
          <w:ilvl w:val="3"/>
          <w:numId w:val="1"/>
        </w:numPr>
        <w:spacing w:after="120"/>
        <w:ind w:firstLine="483"/>
        <w:jc w:val="both"/>
        <w:rPr>
          <w:rFonts w:eastAsia="Times New Roman"/>
          <w:lang w:eastAsia="bg-BG"/>
        </w:rPr>
      </w:pPr>
      <w:r w:rsidRPr="00327A61">
        <w:rPr>
          <w:rFonts w:eastAsia="Times New Roman"/>
          <w:b/>
          <w:lang w:eastAsia="bg-BG"/>
        </w:rPr>
        <w:t>Насипните химикали и торове</w:t>
      </w:r>
      <w:r w:rsidRPr="00327A61">
        <w:rPr>
          <w:rFonts w:eastAsia="Times New Roman"/>
          <w:lang w:eastAsia="bg-BG"/>
        </w:rPr>
        <w:t xml:space="preserve"> отчитат </w:t>
      </w:r>
      <w:r w:rsidRPr="00327A61">
        <w:rPr>
          <w:rFonts w:eastAsia="Times New Roman"/>
          <w:b/>
          <w:lang w:eastAsia="bg-BG"/>
        </w:rPr>
        <w:t xml:space="preserve">леко повишение </w:t>
      </w:r>
      <w:r w:rsidRPr="00327A61">
        <w:rPr>
          <w:rFonts w:eastAsia="Times New Roman"/>
          <w:lang w:eastAsia="bg-BG"/>
        </w:rPr>
        <w:t xml:space="preserve">– те нарастват до 47 хил.тона за текущата година при 40 хил. тона за предходната 2016г. Така се измерва увеличение от 6,8 хил.тона или 16,9%. </w:t>
      </w:r>
      <w:r w:rsidRPr="00327A61">
        <w:t xml:space="preserve">Това се дължи както на засилената конкуренция в сектора (привличане на клиенти от други пристанищни оператори), така и на някои </w:t>
      </w:r>
      <w:r w:rsidRPr="00327A61">
        <w:lastRenderedPageBreak/>
        <w:t>нормативни ограничения за съхранение на товара, поради специфични противопожарни изисквания.</w:t>
      </w:r>
    </w:p>
    <w:p w:rsidR="00016B1B" w:rsidRPr="00327A61" w:rsidRDefault="00016B1B" w:rsidP="00016B1B">
      <w:pPr>
        <w:numPr>
          <w:ilvl w:val="3"/>
          <w:numId w:val="1"/>
        </w:numPr>
        <w:spacing w:after="120"/>
        <w:ind w:firstLine="483"/>
        <w:jc w:val="both"/>
        <w:rPr>
          <w:rFonts w:eastAsia="Times New Roman"/>
          <w:lang w:eastAsia="bg-BG"/>
        </w:rPr>
      </w:pPr>
      <w:r w:rsidRPr="00327A61">
        <w:t>Количествата</w:t>
      </w:r>
      <w:r w:rsidRPr="00327A61">
        <w:rPr>
          <w:b/>
        </w:rPr>
        <w:t xml:space="preserve"> кокс </w:t>
      </w:r>
      <w:r w:rsidRPr="00327A61">
        <w:t>изостават от нивото на обработка от предходната година</w:t>
      </w:r>
      <w:r w:rsidRPr="00327A61">
        <w:rPr>
          <w:b/>
        </w:rPr>
        <w:t xml:space="preserve"> </w:t>
      </w:r>
      <w:r w:rsidRPr="00327A61">
        <w:t>– за текущата те възлизат на 20,9 хил.тона при 37,8 хил.тона към 31.12.2016г. Така се отбелязва леко изоставане от 16,8 хил.тона или -44,6%.</w:t>
      </w:r>
    </w:p>
    <w:p w:rsidR="00016B1B" w:rsidRPr="00327A61" w:rsidRDefault="00016B1B" w:rsidP="00016B1B">
      <w:pPr>
        <w:numPr>
          <w:ilvl w:val="3"/>
          <w:numId w:val="1"/>
        </w:numPr>
        <w:spacing w:after="120"/>
        <w:ind w:firstLine="483"/>
        <w:jc w:val="both"/>
        <w:rPr>
          <w:rFonts w:eastAsia="Times New Roman"/>
          <w:lang w:eastAsia="bg-BG"/>
        </w:rPr>
      </w:pPr>
      <w:r w:rsidRPr="00327A61">
        <w:rPr>
          <w:b/>
        </w:rPr>
        <w:t>Нарастване се отбелязва при обработката на глина</w:t>
      </w:r>
      <w:r w:rsidRPr="00327A61">
        <w:t>. За текущата година са обработени 35 хил.тона, докато за 2016г. количествата са възлизали на 21,8 хил.тона (+13,5 хил. тона или 61,8%).</w:t>
      </w:r>
    </w:p>
    <w:p w:rsidR="00016B1B" w:rsidRPr="00327A61" w:rsidRDefault="00016B1B" w:rsidP="00016B1B">
      <w:pPr>
        <w:numPr>
          <w:ilvl w:val="3"/>
          <w:numId w:val="1"/>
        </w:numPr>
        <w:spacing w:after="120"/>
        <w:ind w:firstLine="483"/>
        <w:jc w:val="both"/>
      </w:pPr>
      <w:r w:rsidRPr="00327A61">
        <w:t>Обработката на</w:t>
      </w:r>
      <w:r w:rsidRPr="00327A61">
        <w:rPr>
          <w:b/>
        </w:rPr>
        <w:t xml:space="preserve"> инертни материали </w:t>
      </w:r>
      <w:r w:rsidRPr="00327A61">
        <w:t xml:space="preserve">отбелязва </w:t>
      </w:r>
      <w:r w:rsidRPr="00327A61">
        <w:rPr>
          <w:b/>
        </w:rPr>
        <w:t>спад</w:t>
      </w:r>
      <w:r w:rsidRPr="00327A61">
        <w:t xml:space="preserve"> на количествата - с 13,1 хил.тона за текущата година, при 15 хил.тона за 2016г. (-1,9 хил.тона; -12,9%). </w:t>
      </w:r>
    </w:p>
    <w:p w:rsidR="006635B1" w:rsidRPr="00327A61" w:rsidRDefault="006635B1" w:rsidP="00016B1B">
      <w:pPr>
        <w:spacing w:after="120"/>
        <w:ind w:left="426"/>
        <w:jc w:val="both"/>
      </w:pPr>
    </w:p>
    <w:p w:rsidR="00DD76F5" w:rsidRPr="00327A61" w:rsidRDefault="00DD76F5" w:rsidP="00DD76F5">
      <w:pPr>
        <w:spacing w:after="120"/>
        <w:ind w:firstLine="709"/>
        <w:jc w:val="both"/>
        <w:rPr>
          <w:rFonts w:eastAsia="Times New Roman"/>
          <w:lang w:eastAsia="bg-BG"/>
        </w:rPr>
      </w:pPr>
      <w:r w:rsidRPr="00327A61">
        <w:rPr>
          <w:rFonts w:eastAsia="Times New Roman"/>
          <w:b/>
          <w:u w:val="single"/>
          <w:lang w:eastAsia="bg-BG"/>
        </w:rPr>
        <w:t>Генерални товари</w:t>
      </w:r>
      <w:r w:rsidRPr="00327A61">
        <w:rPr>
          <w:rFonts w:eastAsia="Times New Roman"/>
          <w:lang w:eastAsia="bg-BG"/>
        </w:rPr>
        <w:t xml:space="preserve"> </w:t>
      </w:r>
      <w:r w:rsidRPr="00327A61">
        <w:rPr>
          <w:rFonts w:eastAsia="Times New Roman"/>
          <w:b/>
          <w:lang w:eastAsia="bg-BG"/>
        </w:rPr>
        <w:t>–</w:t>
      </w:r>
      <w:r w:rsidRPr="00327A61">
        <w:rPr>
          <w:rFonts w:eastAsia="Times New Roman"/>
          <w:lang w:eastAsia="bg-BG"/>
        </w:rPr>
        <w:t xml:space="preserve"> </w:t>
      </w:r>
      <w:r w:rsidRPr="00327A61">
        <w:rPr>
          <w:rFonts w:eastAsia="Times New Roman"/>
          <w:b/>
          <w:lang w:eastAsia="bg-BG"/>
        </w:rPr>
        <w:t>през 2017г. те демонстрираха тенденция за намаление на относителния си</w:t>
      </w:r>
      <w:r w:rsidRPr="00327A61">
        <w:rPr>
          <w:rFonts w:eastAsia="Times New Roman"/>
          <w:lang w:eastAsia="bg-BG"/>
        </w:rPr>
        <w:t xml:space="preserve">  </w:t>
      </w:r>
      <w:r w:rsidRPr="00327A61">
        <w:rPr>
          <w:rFonts w:eastAsia="Times New Roman"/>
          <w:b/>
          <w:lang w:eastAsia="bg-BG"/>
        </w:rPr>
        <w:t>дял</w:t>
      </w:r>
      <w:r w:rsidRPr="00327A61">
        <w:rPr>
          <w:rFonts w:eastAsia="Times New Roman"/>
          <w:lang w:eastAsia="bg-BG"/>
        </w:rPr>
        <w:t xml:space="preserve"> в съвкупния товарооборот. </w:t>
      </w:r>
      <w:r w:rsidRPr="00327A61">
        <w:t xml:space="preserve">Той достигна 11,3% към края на 2017г., при 32% за предходната година. В абсолютна стойност се </w:t>
      </w:r>
      <w:r w:rsidRPr="00327A61">
        <w:rPr>
          <w:b/>
        </w:rPr>
        <w:t>отчита значително намаление от 143,4 хил.физ.тона или 63,6%</w:t>
      </w:r>
      <w:r w:rsidRPr="00327A61">
        <w:t>. Динамиката при основните групи генерални товари на годишна база е следната:</w:t>
      </w:r>
    </w:p>
    <w:p w:rsidR="00760855" w:rsidRPr="00327A61" w:rsidRDefault="0015204C" w:rsidP="00760855">
      <w:pPr>
        <w:spacing w:after="120"/>
        <w:ind w:left="426"/>
        <w:jc w:val="center"/>
        <w:rPr>
          <w:sz w:val="26"/>
          <w:szCs w:val="26"/>
        </w:rPr>
      </w:pPr>
      <w:r w:rsidRPr="00327A61">
        <w:rPr>
          <w:noProof/>
          <w:lang w:eastAsia="bg-BG"/>
        </w:rPr>
        <w:drawing>
          <wp:inline distT="0" distB="0" distL="0" distR="0" wp14:anchorId="1043AEF0" wp14:editId="42B2768D">
            <wp:extent cx="4542367" cy="2743200"/>
            <wp:effectExtent l="0" t="0" r="10795" b="0"/>
            <wp:docPr id="5" name="Диаграма 5">
              <a:extLst xmlns:a="http://schemas.openxmlformats.org/drawingml/2006/main">
                <a:ext uri="{FF2B5EF4-FFF2-40B4-BE49-F238E27FC236}">
                  <a16:creationId xmlns:a16="http://schemas.microsoft.com/office/drawing/2014/main" id="{ED3EC2B1-F895-4D7F-82B7-24CE5D2CB0B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081E16" w:rsidRPr="00327A61" w:rsidRDefault="00081E16" w:rsidP="00081E16">
      <w:pPr>
        <w:numPr>
          <w:ilvl w:val="3"/>
          <w:numId w:val="1"/>
        </w:numPr>
        <w:spacing w:after="120"/>
        <w:ind w:firstLine="483"/>
        <w:jc w:val="both"/>
        <w:rPr>
          <w:rFonts w:eastAsia="Times New Roman"/>
          <w:lang w:eastAsia="bg-BG"/>
        </w:rPr>
      </w:pPr>
      <w:r w:rsidRPr="00327A61">
        <w:rPr>
          <w:b/>
        </w:rPr>
        <w:t>Метали:</w:t>
      </w:r>
      <w:r w:rsidRPr="00327A61">
        <w:t xml:space="preserve"> 29,7 хил.тона за отчетния период при 90 хил.тона за 2016г. – </w:t>
      </w:r>
      <w:r w:rsidRPr="00327A61">
        <w:rPr>
          <w:b/>
        </w:rPr>
        <w:t>отчита се значително намаление от -60,3 хил.тона или -67%</w:t>
      </w:r>
      <w:r w:rsidRPr="00327A61">
        <w:t xml:space="preserve">. </w:t>
      </w:r>
    </w:p>
    <w:p w:rsidR="00016B1B" w:rsidRPr="00327A61" w:rsidRDefault="00016B1B" w:rsidP="00016B1B">
      <w:pPr>
        <w:numPr>
          <w:ilvl w:val="3"/>
          <w:numId w:val="1"/>
        </w:numPr>
        <w:spacing w:after="120"/>
        <w:ind w:firstLine="483"/>
        <w:jc w:val="both"/>
        <w:rPr>
          <w:rFonts w:eastAsia="Times New Roman"/>
          <w:lang w:eastAsia="bg-BG"/>
        </w:rPr>
      </w:pPr>
      <w:r w:rsidRPr="00327A61">
        <w:rPr>
          <w:b/>
        </w:rPr>
        <w:t xml:space="preserve">Претоварването на интермодални единици </w:t>
      </w:r>
      <w:r w:rsidRPr="00327A61">
        <w:t xml:space="preserve">(трейлери и контейнери) отчита обща обработка за текущата година в размер на 22 хил.тона, равняващи се на </w:t>
      </w:r>
      <w:r w:rsidRPr="00327A61">
        <w:rPr>
          <w:b/>
        </w:rPr>
        <w:t xml:space="preserve">2 082 </w:t>
      </w:r>
      <w:r w:rsidRPr="00327A61">
        <w:rPr>
          <w:b/>
          <w:lang w:val="en-US"/>
        </w:rPr>
        <w:t>TEU</w:t>
      </w:r>
      <w:r w:rsidRPr="00327A61">
        <w:t>. По този начин значително е намалено</w:t>
      </w:r>
      <w:r w:rsidRPr="00327A61">
        <w:rPr>
          <w:b/>
        </w:rPr>
        <w:t xml:space="preserve"> </w:t>
      </w:r>
      <w:r w:rsidRPr="00327A61">
        <w:t>количеството от предходния период, когато тази обработка е възлязла на 90 хил.тона (-69 хил.тона; -76%). Този вид товари се наложиха през 2016г. като регулярна част от товарооборота на дружеството.</w:t>
      </w:r>
    </w:p>
    <w:p w:rsidR="00016B1B" w:rsidRPr="00327A61" w:rsidRDefault="00016B1B" w:rsidP="00016B1B">
      <w:pPr>
        <w:numPr>
          <w:ilvl w:val="3"/>
          <w:numId w:val="1"/>
        </w:numPr>
        <w:spacing w:after="120"/>
        <w:ind w:firstLine="483"/>
        <w:jc w:val="both"/>
        <w:rPr>
          <w:rFonts w:eastAsia="Times New Roman"/>
          <w:lang w:eastAsia="bg-BG"/>
        </w:rPr>
      </w:pPr>
      <w:r w:rsidRPr="00327A61">
        <w:t>При</w:t>
      </w:r>
      <w:r w:rsidRPr="00327A61">
        <w:rPr>
          <w:b/>
        </w:rPr>
        <w:t xml:space="preserve"> опакованите химикали и торове </w:t>
      </w:r>
      <w:r w:rsidRPr="00327A61">
        <w:t>дружеството отбелязва значително намаление в обработените количества</w:t>
      </w:r>
      <w:r w:rsidRPr="00327A61">
        <w:rPr>
          <w:b/>
        </w:rPr>
        <w:t xml:space="preserve">. </w:t>
      </w:r>
      <w:r w:rsidRPr="00327A61">
        <w:t>Те се редуцират до 1 хил.тона при 17 хил.тона за предходната 2016г. (-16  хил.тона, -93%).</w:t>
      </w:r>
    </w:p>
    <w:p w:rsidR="00016B1B" w:rsidRPr="004E615A" w:rsidRDefault="00016B1B" w:rsidP="00016B1B">
      <w:pPr>
        <w:numPr>
          <w:ilvl w:val="3"/>
          <w:numId w:val="1"/>
        </w:numPr>
        <w:spacing w:after="120"/>
        <w:ind w:firstLine="483"/>
        <w:jc w:val="both"/>
      </w:pPr>
      <w:r w:rsidRPr="00327A61">
        <w:rPr>
          <w:b/>
        </w:rPr>
        <w:t xml:space="preserve">Машини и техника – </w:t>
      </w:r>
      <w:r w:rsidRPr="00327A61">
        <w:t>обработени</w:t>
      </w:r>
      <w:r w:rsidRPr="00327A61">
        <w:rPr>
          <w:b/>
        </w:rPr>
        <w:t xml:space="preserve"> </w:t>
      </w:r>
      <w:r w:rsidRPr="00327A61">
        <w:t xml:space="preserve">са 16,6 хил. т. за 2017 г. при 13,2 хил. т. към 31.12.2016 г., тоест отчита се леко увеличение в сравнение с предходната година в размер на 3,3 хил. тона. </w:t>
      </w:r>
      <w:r w:rsidRPr="00327A61">
        <w:rPr>
          <w:i/>
        </w:rPr>
        <w:t>Тук следва да се отбележи, че количествата преминали през Ро-Ро терминала (и отчетени отделно), са също машини и техника. Така съвкупния обем в тази група възлиза на над 2</w:t>
      </w:r>
      <w:r w:rsidR="00BD33DD" w:rsidRPr="00327A61">
        <w:rPr>
          <w:i/>
        </w:rPr>
        <w:t>4</w:t>
      </w:r>
      <w:r w:rsidRPr="00327A61">
        <w:rPr>
          <w:i/>
        </w:rPr>
        <w:t xml:space="preserve"> хил. тона.</w:t>
      </w:r>
      <w:bookmarkEnd w:id="9"/>
      <w:r w:rsidRPr="00327A61">
        <w:rPr>
          <w:i/>
        </w:rPr>
        <w:t xml:space="preserve"> </w:t>
      </w:r>
    </w:p>
    <w:p w:rsidR="004E615A" w:rsidRPr="00327A61" w:rsidRDefault="004E615A" w:rsidP="004E615A">
      <w:pPr>
        <w:spacing w:after="120"/>
        <w:ind w:left="426"/>
        <w:jc w:val="both"/>
      </w:pPr>
    </w:p>
    <w:p w:rsidR="004E615A" w:rsidRPr="00327A61" w:rsidRDefault="004E615A" w:rsidP="004E615A">
      <w:pPr>
        <w:numPr>
          <w:ilvl w:val="1"/>
          <w:numId w:val="1"/>
        </w:numPr>
        <w:spacing w:before="240" w:after="120"/>
        <w:jc w:val="both"/>
        <w:rPr>
          <w:b/>
        </w:rPr>
      </w:pPr>
      <w:r w:rsidRPr="00327A61">
        <w:rPr>
          <w:b/>
        </w:rPr>
        <w:t>Товарооборот по направления</w:t>
      </w:r>
    </w:p>
    <w:p w:rsidR="006A0D21" w:rsidRPr="00327A61" w:rsidRDefault="00BD33DD" w:rsidP="00251767">
      <w:pPr>
        <w:spacing w:after="120"/>
        <w:ind w:firstLine="426"/>
      </w:pPr>
      <w:r w:rsidRPr="00327A61">
        <w:rPr>
          <w:noProof/>
          <w:lang w:eastAsia="bg-BG"/>
        </w:rPr>
        <w:drawing>
          <wp:inline distT="0" distB="0" distL="0" distR="0" wp14:anchorId="20F0DC8C" wp14:editId="5349B0BD">
            <wp:extent cx="2781300" cy="2247900"/>
            <wp:effectExtent l="0" t="0" r="0" b="0"/>
            <wp:docPr id="15" name="Диаграма 15">
              <a:extLst xmlns:a="http://schemas.openxmlformats.org/drawingml/2006/main">
                <a:ext uri="{FF2B5EF4-FFF2-40B4-BE49-F238E27FC236}">
                  <a16:creationId xmlns:a16="http://schemas.microsoft.com/office/drawing/2014/main" id="{48B135F8-1708-4786-BE28-3E711CF75A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Pr="00327A61">
        <w:rPr>
          <w:noProof/>
          <w:lang w:eastAsia="bg-BG"/>
        </w:rPr>
        <w:drawing>
          <wp:inline distT="0" distB="0" distL="0" distR="0" wp14:anchorId="4C43FE2F" wp14:editId="7C385885">
            <wp:extent cx="2828925" cy="2247900"/>
            <wp:effectExtent l="0" t="0" r="9525" b="0"/>
            <wp:docPr id="18" name="Диаграма 18">
              <a:extLst xmlns:a="http://schemas.openxmlformats.org/drawingml/2006/main">
                <a:ext uri="{FF2B5EF4-FFF2-40B4-BE49-F238E27FC236}">
                  <a16:creationId xmlns:a16="http://schemas.microsoft.com/office/drawing/2014/main" id="{7197CBAE-60AB-4E45-B3FE-D47902179AC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016B1B" w:rsidRPr="00327A61" w:rsidRDefault="00016B1B" w:rsidP="00016B1B">
      <w:pPr>
        <w:spacing w:after="120"/>
        <w:ind w:firstLine="720"/>
        <w:jc w:val="both"/>
        <w:rPr>
          <w:rFonts w:eastAsia="Times New Roman"/>
          <w:lang w:eastAsia="bg-BG"/>
        </w:rPr>
      </w:pPr>
      <w:bookmarkStart w:id="10" w:name="_Hlk506992148"/>
      <w:r w:rsidRPr="00327A61">
        <w:rPr>
          <w:rFonts w:eastAsia="Times New Roman"/>
          <w:b/>
          <w:lang w:eastAsia="bg-BG"/>
        </w:rPr>
        <w:t>Вносът</w:t>
      </w:r>
      <w:r w:rsidRPr="00327A61">
        <w:rPr>
          <w:rFonts w:eastAsia="Times New Roman"/>
          <w:lang w:eastAsia="bg-BG"/>
        </w:rPr>
        <w:t xml:space="preserve"> генерира съществен дял в общия товарооборот, като за 2016г. той е 66%, а за 2017г. – 81%. Въпреки вече трайно редуцираните обеми, въглищата са основната стока от внос и заемат 40% от него. Опакованите и насипни химикали и торове възлизат на 46 хил.тона или 8% от вноса. Близо 31% са зърнените храни и фуражи, 2% заемат интермодалните единици, а коксът съставлява 3% от вноса. Останалите по-големи обеми са внесени метали, глина, машини и техника и др.</w:t>
      </w:r>
    </w:p>
    <w:p w:rsidR="00016B1B" w:rsidRPr="00327A61" w:rsidRDefault="00016B1B" w:rsidP="00016B1B">
      <w:pPr>
        <w:spacing w:after="120"/>
        <w:ind w:firstLine="720"/>
        <w:jc w:val="both"/>
        <w:rPr>
          <w:rFonts w:eastAsia="Times New Roman"/>
          <w:lang w:eastAsia="bg-BG"/>
        </w:rPr>
      </w:pPr>
      <w:bookmarkStart w:id="11" w:name="_Hlk506992205"/>
      <w:bookmarkEnd w:id="10"/>
      <w:r w:rsidRPr="00327A61">
        <w:rPr>
          <w:rFonts w:eastAsia="Times New Roman"/>
          <w:b/>
          <w:lang w:eastAsia="bg-BG"/>
        </w:rPr>
        <w:t>В износът,</w:t>
      </w:r>
      <w:r w:rsidRPr="00327A61">
        <w:rPr>
          <w:rFonts w:eastAsia="Times New Roman"/>
          <w:lang w:eastAsia="bg-BG"/>
        </w:rPr>
        <w:t xml:space="preserve"> много съществена част формират зърнените храни (42%) и металите (13%). С 13%</w:t>
      </w:r>
      <w:r w:rsidRPr="00327A61">
        <w:rPr>
          <w:rFonts w:eastAsia="Times New Roman"/>
          <w:vertAlign w:val="superscript"/>
          <w:lang w:eastAsia="bg-BG"/>
        </w:rPr>
        <w:t>-тен</w:t>
      </w:r>
      <w:r w:rsidRPr="00327A61">
        <w:rPr>
          <w:rFonts w:eastAsia="Times New Roman"/>
          <w:lang w:eastAsia="bg-BG"/>
        </w:rPr>
        <w:t xml:space="preserve"> дял по това направление се отличава обработката на интермодални транспортни единици.</w:t>
      </w:r>
    </w:p>
    <w:p w:rsidR="00016B1B" w:rsidRPr="00327A61" w:rsidRDefault="00016B1B" w:rsidP="00016B1B">
      <w:pPr>
        <w:spacing w:after="120"/>
        <w:ind w:firstLine="709"/>
        <w:jc w:val="both"/>
        <w:rPr>
          <w:rFonts w:eastAsia="Times New Roman"/>
          <w:lang w:eastAsia="bg-BG"/>
        </w:rPr>
      </w:pPr>
      <w:r w:rsidRPr="00327A61">
        <w:rPr>
          <w:rFonts w:eastAsia="Times New Roman"/>
          <w:lang w:eastAsia="bg-BG"/>
        </w:rPr>
        <w:t>Обработката по други направления (крайбрежно, трансборд) се увеличават от 31 хил.тона за 2016г. на 60 хил.тона за 2017</w:t>
      </w:r>
      <w:bookmarkEnd w:id="11"/>
      <w:r w:rsidRPr="00327A61">
        <w:rPr>
          <w:rFonts w:eastAsia="Times New Roman"/>
          <w:lang w:eastAsia="bg-BG"/>
        </w:rPr>
        <w:t xml:space="preserve">г. </w:t>
      </w:r>
    </w:p>
    <w:p w:rsidR="00016B1B" w:rsidRPr="00327A61" w:rsidRDefault="00016B1B" w:rsidP="00016B1B">
      <w:pPr>
        <w:spacing w:after="120"/>
        <w:ind w:firstLine="720"/>
        <w:jc w:val="both"/>
        <w:rPr>
          <w:b/>
        </w:rPr>
      </w:pPr>
    </w:p>
    <w:p w:rsidR="00BD33DD" w:rsidRPr="00327A61" w:rsidRDefault="00016B1B" w:rsidP="00BD33DD">
      <w:pPr>
        <w:pStyle w:val="Heading2"/>
        <w:numPr>
          <w:ilvl w:val="1"/>
          <w:numId w:val="2"/>
        </w:numPr>
        <w:spacing w:after="120"/>
        <w:rPr>
          <w:rFonts w:ascii="Times New Roman" w:hAnsi="Times New Roman"/>
          <w:i/>
          <w:smallCaps/>
          <w:sz w:val="24"/>
          <w:u w:val="single"/>
        </w:rPr>
      </w:pPr>
      <w:bookmarkStart w:id="12" w:name="_Toc477959765"/>
      <w:r w:rsidRPr="00327A61">
        <w:rPr>
          <w:rFonts w:ascii="Times New Roman" w:hAnsi="Times New Roman"/>
          <w:i/>
          <w:sz w:val="24"/>
          <w:u w:val="single"/>
        </w:rPr>
        <w:t xml:space="preserve">2) </w:t>
      </w:r>
      <w:r w:rsidRPr="00327A61">
        <w:rPr>
          <w:rFonts w:ascii="Times New Roman" w:hAnsi="Times New Roman"/>
          <w:i/>
          <w:smallCaps/>
          <w:sz w:val="24"/>
          <w:u w:val="single"/>
        </w:rPr>
        <w:t xml:space="preserve">Капацитет и степен на натовареност на мощностите, </w:t>
      </w:r>
    </w:p>
    <w:p w:rsidR="00016B1B" w:rsidRPr="00327A61" w:rsidRDefault="00016B1B" w:rsidP="00BD33DD">
      <w:pPr>
        <w:pStyle w:val="Heading2"/>
        <w:numPr>
          <w:ilvl w:val="1"/>
          <w:numId w:val="2"/>
        </w:numPr>
        <w:spacing w:after="120"/>
        <w:rPr>
          <w:rFonts w:ascii="Times New Roman" w:hAnsi="Times New Roman"/>
          <w:i/>
          <w:sz w:val="24"/>
          <w:u w:val="single"/>
        </w:rPr>
      </w:pPr>
      <w:r w:rsidRPr="00327A61">
        <w:rPr>
          <w:rFonts w:ascii="Times New Roman" w:hAnsi="Times New Roman"/>
          <w:i/>
          <w:smallCaps/>
          <w:sz w:val="24"/>
          <w:u w:val="single"/>
        </w:rPr>
        <w:t>технологично проблемни места</w:t>
      </w:r>
      <w:bookmarkEnd w:id="12"/>
    </w:p>
    <w:p w:rsidR="00016B1B" w:rsidRPr="00327A61" w:rsidRDefault="00016B1B" w:rsidP="00016B1B">
      <w:pPr>
        <w:pStyle w:val="BodyTextIndent"/>
        <w:spacing w:after="120"/>
        <w:ind w:firstLine="709"/>
      </w:pPr>
      <w:r w:rsidRPr="00327A61">
        <w:t xml:space="preserve">В следствие на свития пазар на речни пристанищни услуги, както и при липса на перспективи за туристическия поток се счита, че Русе-център, Тутракан и Силистра работят на нищожен процент от капацитета си, като не успяват да покрият и разходите за дейността си. </w:t>
      </w:r>
    </w:p>
    <w:p w:rsidR="00B870BC" w:rsidRPr="00327A61" w:rsidRDefault="00016B1B" w:rsidP="00016B1B">
      <w:pPr>
        <w:pStyle w:val="BodyTextIndent"/>
        <w:spacing w:after="240"/>
        <w:ind w:firstLine="709"/>
      </w:pPr>
      <w:r w:rsidRPr="00327A61">
        <w:t xml:space="preserve">Терминал Русе-изток има капацитет за обработка на около 2 млн.тона годишно и следователно работи на една четвърт от възможностите си. </w:t>
      </w:r>
      <w:r w:rsidR="00B870BC" w:rsidRPr="00327A61">
        <w:t xml:space="preserve"> </w:t>
      </w:r>
    </w:p>
    <w:tbl>
      <w:tblPr>
        <w:tblW w:w="99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2268"/>
        <w:gridCol w:w="1843"/>
        <w:gridCol w:w="1559"/>
        <w:gridCol w:w="1422"/>
      </w:tblGrid>
      <w:tr w:rsidR="006F7F6A" w:rsidRPr="00327A61" w:rsidTr="006F7F6A">
        <w:trPr>
          <w:trHeight w:val="525"/>
        </w:trPr>
        <w:tc>
          <w:tcPr>
            <w:tcW w:w="2835" w:type="dxa"/>
            <w:vMerge w:val="restart"/>
            <w:shd w:val="solid" w:color="C0C0C0" w:fill="FFFFFF"/>
            <w:noWrap/>
          </w:tcPr>
          <w:p w:rsidR="006F7F6A" w:rsidRPr="00327A61" w:rsidRDefault="006F7F6A" w:rsidP="005A5A52">
            <w:pPr>
              <w:jc w:val="center"/>
              <w:rPr>
                <w:rFonts w:ascii="Arial" w:eastAsia="Times New Roman" w:hAnsi="Arial" w:cs="Arial"/>
                <w:sz w:val="20"/>
                <w:szCs w:val="20"/>
                <w:lang w:eastAsia="bg-BG"/>
              </w:rPr>
            </w:pPr>
          </w:p>
        </w:tc>
        <w:tc>
          <w:tcPr>
            <w:tcW w:w="7092" w:type="dxa"/>
            <w:gridSpan w:val="4"/>
            <w:shd w:val="solid" w:color="C0C0C0" w:fill="FFFFFF"/>
            <w:noWrap/>
            <w:vAlign w:val="center"/>
          </w:tcPr>
          <w:p w:rsidR="006F7F6A" w:rsidRPr="00327A61" w:rsidRDefault="006F7F6A" w:rsidP="005A5A52">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ОСНОВНИ ХАРАКТЕРИСТИКИ НА ТЕРМИНАЛИТЕ В „ПК–РУСЕ” ЕАД</w:t>
            </w:r>
          </w:p>
        </w:tc>
      </w:tr>
      <w:tr w:rsidR="006F7F6A" w:rsidRPr="00327A61" w:rsidTr="006F7F6A">
        <w:trPr>
          <w:trHeight w:val="525"/>
        </w:trPr>
        <w:tc>
          <w:tcPr>
            <w:tcW w:w="2835" w:type="dxa"/>
            <w:vMerge/>
            <w:shd w:val="clear" w:color="auto" w:fill="auto"/>
            <w:noWrap/>
          </w:tcPr>
          <w:p w:rsidR="006F7F6A" w:rsidRPr="00327A61" w:rsidRDefault="006F7F6A" w:rsidP="005A5A52">
            <w:pPr>
              <w:jc w:val="center"/>
              <w:rPr>
                <w:rFonts w:ascii="Arial" w:eastAsia="Times New Roman" w:hAnsi="Arial" w:cs="Arial"/>
                <w:sz w:val="20"/>
                <w:szCs w:val="20"/>
                <w:lang w:eastAsia="bg-BG"/>
              </w:rPr>
            </w:pPr>
          </w:p>
        </w:tc>
        <w:tc>
          <w:tcPr>
            <w:tcW w:w="2268" w:type="dxa"/>
            <w:shd w:val="clear" w:color="auto" w:fill="auto"/>
            <w:noWrap/>
            <w:vAlign w:val="center"/>
          </w:tcPr>
          <w:p w:rsidR="006F7F6A" w:rsidRPr="00327A61" w:rsidRDefault="006F7F6A" w:rsidP="005A5A52">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РУСЕ-ИЗТОК</w:t>
            </w:r>
          </w:p>
        </w:tc>
        <w:tc>
          <w:tcPr>
            <w:tcW w:w="1843" w:type="dxa"/>
            <w:shd w:val="clear" w:color="auto" w:fill="auto"/>
            <w:noWrap/>
            <w:vAlign w:val="center"/>
          </w:tcPr>
          <w:p w:rsidR="006F7F6A" w:rsidRPr="00327A61" w:rsidRDefault="006F7F6A" w:rsidP="005A5A52">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РУСЕ-ЦЕНТЪР</w:t>
            </w:r>
          </w:p>
        </w:tc>
        <w:tc>
          <w:tcPr>
            <w:tcW w:w="1559" w:type="dxa"/>
            <w:shd w:val="clear" w:color="auto" w:fill="auto"/>
            <w:noWrap/>
            <w:vAlign w:val="center"/>
          </w:tcPr>
          <w:p w:rsidR="006F7F6A" w:rsidRPr="00327A61" w:rsidRDefault="006F7F6A" w:rsidP="005A5A52">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ТУТРАКАН</w:t>
            </w:r>
          </w:p>
        </w:tc>
        <w:tc>
          <w:tcPr>
            <w:tcW w:w="1422" w:type="dxa"/>
            <w:shd w:val="clear" w:color="auto" w:fill="auto"/>
            <w:noWrap/>
            <w:vAlign w:val="center"/>
          </w:tcPr>
          <w:p w:rsidR="006F7F6A" w:rsidRPr="00327A61" w:rsidRDefault="006F7F6A" w:rsidP="005A5A52">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СИЛИСТРА</w:t>
            </w:r>
          </w:p>
        </w:tc>
      </w:tr>
      <w:tr w:rsidR="006F7F6A" w:rsidRPr="00327A61" w:rsidTr="006F7F6A">
        <w:trPr>
          <w:trHeight w:val="824"/>
        </w:trPr>
        <w:tc>
          <w:tcPr>
            <w:tcW w:w="2835" w:type="dxa"/>
            <w:shd w:val="solid" w:color="C0C0C0" w:fill="FFFFFF"/>
            <w:vAlign w:val="center"/>
          </w:tcPr>
          <w:p w:rsidR="006F7F6A" w:rsidRPr="00327A61" w:rsidRDefault="006F7F6A" w:rsidP="006F7F6A">
            <w:pP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Територия</w:t>
            </w:r>
          </w:p>
        </w:tc>
        <w:tc>
          <w:tcPr>
            <w:tcW w:w="2268" w:type="dxa"/>
            <w:shd w:val="solid" w:color="C0C0C0" w:fill="FFFFFF"/>
            <w:vAlign w:val="center"/>
          </w:tcPr>
          <w:p w:rsidR="006F7F6A" w:rsidRPr="00327A61" w:rsidRDefault="006F7F6A" w:rsidP="005A5A52">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825 533  м</w:t>
            </w:r>
            <w:r w:rsidRPr="00327A61">
              <w:rPr>
                <w:rFonts w:ascii="Arial" w:eastAsia="Times New Roman" w:hAnsi="Arial" w:cs="Arial"/>
                <w:sz w:val="20"/>
                <w:szCs w:val="20"/>
                <w:vertAlign w:val="superscript"/>
                <w:lang w:eastAsia="bg-BG"/>
              </w:rPr>
              <w:t xml:space="preserve">2 </w:t>
            </w:r>
            <w:r w:rsidRPr="00327A61">
              <w:rPr>
                <w:rFonts w:ascii="Arial" w:eastAsia="Times New Roman" w:hAnsi="Arial" w:cs="Arial"/>
                <w:sz w:val="20"/>
                <w:szCs w:val="20"/>
                <w:lang w:eastAsia="bg-BG"/>
              </w:rPr>
              <w:t xml:space="preserve">(около </w:t>
            </w:r>
            <w:r w:rsidRPr="00327A61">
              <w:rPr>
                <w:rFonts w:ascii="Arial" w:eastAsia="Times New Roman" w:hAnsi="Arial" w:cs="Arial"/>
                <w:b/>
                <w:bCs/>
                <w:sz w:val="20"/>
                <w:szCs w:val="20"/>
                <w:lang w:eastAsia="bg-BG"/>
              </w:rPr>
              <w:t>500 000 кв.м. работна площ</w:t>
            </w:r>
            <w:r w:rsidRPr="00327A61">
              <w:rPr>
                <w:rFonts w:ascii="Arial" w:eastAsia="Times New Roman" w:hAnsi="Arial" w:cs="Arial"/>
                <w:sz w:val="20"/>
                <w:szCs w:val="20"/>
                <w:lang w:eastAsia="bg-BG"/>
              </w:rPr>
              <w:t>)</w:t>
            </w:r>
          </w:p>
        </w:tc>
        <w:tc>
          <w:tcPr>
            <w:tcW w:w="1843" w:type="dxa"/>
            <w:shd w:val="solid" w:color="C0C0C0" w:fill="FFFFFF"/>
            <w:vAlign w:val="center"/>
          </w:tcPr>
          <w:p w:rsidR="006F7F6A" w:rsidRPr="00327A61" w:rsidRDefault="006F7F6A" w:rsidP="005A5A52">
            <w:pPr>
              <w:jc w:val="center"/>
              <w:rPr>
                <w:rFonts w:ascii="Arial" w:eastAsia="Times New Roman" w:hAnsi="Arial" w:cs="Arial"/>
                <w:sz w:val="20"/>
                <w:szCs w:val="20"/>
                <w:vertAlign w:val="superscript"/>
                <w:lang w:eastAsia="bg-BG"/>
              </w:rPr>
            </w:pPr>
            <w:r w:rsidRPr="00327A61">
              <w:rPr>
                <w:rFonts w:ascii="Arial" w:eastAsia="Times New Roman" w:hAnsi="Arial" w:cs="Arial"/>
                <w:sz w:val="20"/>
                <w:szCs w:val="20"/>
                <w:lang w:eastAsia="bg-BG"/>
              </w:rPr>
              <w:t>11 799 м</w:t>
            </w:r>
            <w:r w:rsidRPr="00327A61">
              <w:rPr>
                <w:rFonts w:ascii="Arial" w:eastAsia="Times New Roman" w:hAnsi="Arial" w:cs="Arial"/>
                <w:sz w:val="20"/>
                <w:szCs w:val="20"/>
                <w:vertAlign w:val="superscript"/>
                <w:lang w:eastAsia="bg-BG"/>
              </w:rPr>
              <w:t>2</w:t>
            </w:r>
          </w:p>
        </w:tc>
        <w:tc>
          <w:tcPr>
            <w:tcW w:w="1559" w:type="dxa"/>
            <w:shd w:val="solid" w:color="C0C0C0" w:fill="FFFFFF"/>
            <w:vAlign w:val="center"/>
          </w:tcPr>
          <w:p w:rsidR="006F7F6A" w:rsidRPr="00327A61" w:rsidRDefault="006F7F6A" w:rsidP="005A5A52">
            <w:pPr>
              <w:jc w:val="center"/>
              <w:rPr>
                <w:rFonts w:ascii="Arial" w:eastAsia="Times New Roman" w:hAnsi="Arial" w:cs="Arial"/>
                <w:sz w:val="20"/>
                <w:szCs w:val="20"/>
                <w:vertAlign w:val="superscript"/>
                <w:lang w:eastAsia="bg-BG"/>
              </w:rPr>
            </w:pPr>
            <w:r w:rsidRPr="00327A61">
              <w:rPr>
                <w:rFonts w:ascii="Arial" w:eastAsia="Times New Roman" w:hAnsi="Arial" w:cs="Arial"/>
                <w:sz w:val="20"/>
                <w:szCs w:val="20"/>
                <w:lang w:eastAsia="bg-BG"/>
              </w:rPr>
              <w:t>4 414 м</w:t>
            </w:r>
            <w:r w:rsidRPr="00327A61">
              <w:rPr>
                <w:rFonts w:ascii="Arial" w:eastAsia="Times New Roman" w:hAnsi="Arial" w:cs="Arial"/>
                <w:sz w:val="20"/>
                <w:szCs w:val="20"/>
                <w:vertAlign w:val="superscript"/>
                <w:lang w:eastAsia="bg-BG"/>
              </w:rPr>
              <w:t>2</w:t>
            </w:r>
          </w:p>
        </w:tc>
        <w:tc>
          <w:tcPr>
            <w:tcW w:w="1422" w:type="dxa"/>
            <w:shd w:val="solid" w:color="C0C0C0" w:fill="FFFFFF"/>
            <w:vAlign w:val="center"/>
          </w:tcPr>
          <w:p w:rsidR="006F7F6A" w:rsidRPr="00327A61" w:rsidRDefault="006F7F6A" w:rsidP="005A5A52">
            <w:pPr>
              <w:jc w:val="center"/>
              <w:rPr>
                <w:rFonts w:ascii="Arial" w:eastAsia="Times New Roman" w:hAnsi="Arial" w:cs="Arial"/>
                <w:sz w:val="20"/>
                <w:szCs w:val="20"/>
                <w:vertAlign w:val="superscript"/>
                <w:lang w:eastAsia="bg-BG"/>
              </w:rPr>
            </w:pPr>
            <w:r w:rsidRPr="00327A61">
              <w:rPr>
                <w:rFonts w:ascii="Arial" w:eastAsia="Times New Roman" w:hAnsi="Arial" w:cs="Arial"/>
                <w:sz w:val="20"/>
                <w:szCs w:val="20"/>
                <w:lang w:eastAsia="bg-BG"/>
              </w:rPr>
              <w:t>17 771 м</w:t>
            </w:r>
            <w:r w:rsidRPr="00327A61">
              <w:rPr>
                <w:rFonts w:ascii="Arial" w:eastAsia="Times New Roman" w:hAnsi="Arial" w:cs="Arial"/>
                <w:sz w:val="20"/>
                <w:szCs w:val="20"/>
                <w:vertAlign w:val="superscript"/>
                <w:lang w:eastAsia="bg-BG"/>
              </w:rPr>
              <w:t>2</w:t>
            </w:r>
          </w:p>
        </w:tc>
      </w:tr>
      <w:tr w:rsidR="006F7F6A" w:rsidRPr="00327A61" w:rsidTr="005127CC">
        <w:trPr>
          <w:trHeight w:val="1020"/>
        </w:trPr>
        <w:tc>
          <w:tcPr>
            <w:tcW w:w="2835" w:type="dxa"/>
            <w:shd w:val="clear" w:color="auto" w:fill="F2F2F2" w:themeFill="background1" w:themeFillShade="F2"/>
            <w:vAlign w:val="center"/>
          </w:tcPr>
          <w:p w:rsidR="006F7F6A" w:rsidRPr="00327A61" w:rsidRDefault="006F7F6A" w:rsidP="006F7F6A">
            <w:pP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lastRenderedPageBreak/>
              <w:t>Брой корабни места</w:t>
            </w:r>
          </w:p>
        </w:tc>
        <w:tc>
          <w:tcPr>
            <w:tcW w:w="2268" w:type="dxa"/>
            <w:shd w:val="clear" w:color="auto" w:fill="F2F2F2" w:themeFill="background1" w:themeFillShade="F2"/>
            <w:vAlign w:val="center"/>
          </w:tcPr>
          <w:p w:rsidR="006F7F6A" w:rsidRPr="00327A61" w:rsidRDefault="006F7F6A" w:rsidP="005A5A52">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 xml:space="preserve">12 бр. претоварни, </w:t>
            </w:r>
          </w:p>
          <w:p w:rsidR="006F7F6A" w:rsidRPr="00327A61" w:rsidRDefault="006F7F6A" w:rsidP="005A5A52">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1 бр. на ро-ро терминал и 1 бр. с 1 бр. понтон за морско-технически услуги</w:t>
            </w:r>
          </w:p>
        </w:tc>
        <w:tc>
          <w:tcPr>
            <w:tcW w:w="1843" w:type="dxa"/>
            <w:shd w:val="clear" w:color="auto" w:fill="F2F2F2" w:themeFill="background1" w:themeFillShade="F2"/>
            <w:vAlign w:val="center"/>
          </w:tcPr>
          <w:p w:rsidR="006F7F6A" w:rsidRPr="00327A61" w:rsidRDefault="006F7F6A" w:rsidP="005A5A52">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 xml:space="preserve">3 бр. </w:t>
            </w:r>
            <w:r w:rsidRPr="00327A61">
              <w:rPr>
                <w:rFonts w:ascii="Arial" w:eastAsia="Times New Roman" w:hAnsi="Arial" w:cs="Arial"/>
                <w:sz w:val="18"/>
                <w:szCs w:val="18"/>
                <w:lang w:eastAsia="bg-BG"/>
              </w:rPr>
              <w:t>(само 1 корабно място се експлоатира)</w:t>
            </w:r>
          </w:p>
        </w:tc>
        <w:tc>
          <w:tcPr>
            <w:tcW w:w="1559" w:type="dxa"/>
            <w:shd w:val="clear" w:color="auto" w:fill="F2F2F2" w:themeFill="background1" w:themeFillShade="F2"/>
            <w:vAlign w:val="center"/>
          </w:tcPr>
          <w:p w:rsidR="006F7F6A" w:rsidRPr="00327A61" w:rsidRDefault="006F7F6A" w:rsidP="005A5A52">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1 бр. претоварно и 1 понтон</w:t>
            </w:r>
          </w:p>
        </w:tc>
        <w:tc>
          <w:tcPr>
            <w:tcW w:w="1422" w:type="dxa"/>
            <w:shd w:val="clear" w:color="auto" w:fill="F2F2F2" w:themeFill="background1" w:themeFillShade="F2"/>
            <w:vAlign w:val="center"/>
          </w:tcPr>
          <w:p w:rsidR="006F7F6A" w:rsidRPr="00327A61" w:rsidRDefault="006F7F6A" w:rsidP="005A5A52">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2 бр. понтони</w:t>
            </w:r>
          </w:p>
        </w:tc>
      </w:tr>
      <w:tr w:rsidR="006F7F6A" w:rsidRPr="00D25D92" w:rsidTr="005127CC">
        <w:trPr>
          <w:trHeight w:val="330"/>
        </w:trPr>
        <w:tc>
          <w:tcPr>
            <w:tcW w:w="2835" w:type="dxa"/>
            <w:shd w:val="solid" w:color="C0C0C0" w:fill="FFFFFF"/>
            <w:vAlign w:val="center"/>
          </w:tcPr>
          <w:p w:rsidR="006F7F6A" w:rsidRPr="00327A61" w:rsidRDefault="006F7F6A" w:rsidP="005127CC">
            <w:pP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Електрически пристанищни кранове</w:t>
            </w:r>
          </w:p>
        </w:tc>
        <w:tc>
          <w:tcPr>
            <w:tcW w:w="2268" w:type="dxa"/>
            <w:shd w:val="solid" w:color="C0C0C0" w:fill="FFFFFF"/>
            <w:vAlign w:val="center"/>
          </w:tcPr>
          <w:p w:rsidR="006F7F6A" w:rsidRPr="00327A61" w:rsidRDefault="006F7F6A" w:rsidP="005A5A52">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16 бр.</w:t>
            </w:r>
          </w:p>
        </w:tc>
        <w:tc>
          <w:tcPr>
            <w:tcW w:w="1843" w:type="dxa"/>
            <w:shd w:val="solid" w:color="C0C0C0" w:fill="FFFFFF"/>
            <w:vAlign w:val="center"/>
          </w:tcPr>
          <w:p w:rsidR="006F7F6A" w:rsidRPr="00327A61" w:rsidRDefault="006F7F6A" w:rsidP="005A5A52">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w:t>
            </w:r>
          </w:p>
        </w:tc>
        <w:tc>
          <w:tcPr>
            <w:tcW w:w="1559" w:type="dxa"/>
            <w:shd w:val="solid" w:color="C0C0C0" w:fill="FFFFFF"/>
            <w:vAlign w:val="center"/>
          </w:tcPr>
          <w:p w:rsidR="006F7F6A" w:rsidRPr="00327A61" w:rsidRDefault="006F7F6A" w:rsidP="005A5A52">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1 бр.</w:t>
            </w:r>
          </w:p>
        </w:tc>
        <w:tc>
          <w:tcPr>
            <w:tcW w:w="1422" w:type="dxa"/>
            <w:shd w:val="solid" w:color="C0C0C0" w:fill="FFFFFF"/>
            <w:vAlign w:val="center"/>
          </w:tcPr>
          <w:p w:rsidR="006F7F6A" w:rsidRPr="00327A61" w:rsidRDefault="006F7F6A" w:rsidP="005127CC">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w:t>
            </w:r>
          </w:p>
        </w:tc>
      </w:tr>
      <w:tr w:rsidR="006F7F6A" w:rsidRPr="00327A61" w:rsidTr="005127CC">
        <w:trPr>
          <w:trHeight w:val="330"/>
        </w:trPr>
        <w:tc>
          <w:tcPr>
            <w:tcW w:w="2835" w:type="dxa"/>
            <w:shd w:val="clear" w:color="auto" w:fill="F2F2F2" w:themeFill="background1" w:themeFillShade="F2"/>
            <w:vAlign w:val="center"/>
          </w:tcPr>
          <w:p w:rsidR="006F7F6A" w:rsidRPr="00327A61" w:rsidRDefault="006F7F6A" w:rsidP="005127CC">
            <w:pP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Закрити складове</w:t>
            </w:r>
          </w:p>
        </w:tc>
        <w:tc>
          <w:tcPr>
            <w:tcW w:w="2268" w:type="dxa"/>
            <w:shd w:val="clear" w:color="auto" w:fill="F2F2F2" w:themeFill="background1" w:themeFillShade="F2"/>
            <w:vAlign w:val="center"/>
          </w:tcPr>
          <w:p w:rsidR="006F7F6A" w:rsidRPr="00327A61" w:rsidRDefault="006F7F6A" w:rsidP="005127CC">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17 520 кв.м.</w:t>
            </w:r>
          </w:p>
        </w:tc>
        <w:tc>
          <w:tcPr>
            <w:tcW w:w="1843" w:type="dxa"/>
            <w:shd w:val="clear" w:color="auto" w:fill="F2F2F2" w:themeFill="background1" w:themeFillShade="F2"/>
            <w:noWrap/>
            <w:vAlign w:val="center"/>
          </w:tcPr>
          <w:p w:rsidR="006F7F6A" w:rsidRPr="00327A61" w:rsidRDefault="006F7F6A" w:rsidP="005127CC">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w:t>
            </w:r>
          </w:p>
        </w:tc>
        <w:tc>
          <w:tcPr>
            <w:tcW w:w="1559" w:type="dxa"/>
            <w:shd w:val="clear" w:color="auto" w:fill="F2F2F2" w:themeFill="background1" w:themeFillShade="F2"/>
            <w:noWrap/>
            <w:vAlign w:val="center"/>
          </w:tcPr>
          <w:p w:rsidR="006F7F6A" w:rsidRPr="00327A61" w:rsidRDefault="006F7F6A" w:rsidP="005127CC">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w:t>
            </w:r>
          </w:p>
        </w:tc>
        <w:tc>
          <w:tcPr>
            <w:tcW w:w="1422" w:type="dxa"/>
            <w:shd w:val="clear" w:color="auto" w:fill="F2F2F2" w:themeFill="background1" w:themeFillShade="F2"/>
            <w:noWrap/>
            <w:vAlign w:val="center"/>
          </w:tcPr>
          <w:p w:rsidR="006F7F6A" w:rsidRPr="00327A61" w:rsidRDefault="006F7F6A" w:rsidP="005127CC">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w:t>
            </w:r>
          </w:p>
        </w:tc>
      </w:tr>
      <w:tr w:rsidR="006F7F6A" w:rsidRPr="00327A61" w:rsidTr="005127CC">
        <w:trPr>
          <w:trHeight w:val="330"/>
        </w:trPr>
        <w:tc>
          <w:tcPr>
            <w:tcW w:w="2835" w:type="dxa"/>
            <w:shd w:val="solid" w:color="C0C0C0" w:fill="FFFFFF"/>
            <w:vAlign w:val="center"/>
          </w:tcPr>
          <w:p w:rsidR="006F7F6A" w:rsidRPr="00327A61" w:rsidRDefault="006F7F6A" w:rsidP="005127CC">
            <w:pP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Открити складове</w:t>
            </w:r>
          </w:p>
        </w:tc>
        <w:tc>
          <w:tcPr>
            <w:tcW w:w="2268" w:type="dxa"/>
            <w:shd w:val="solid" w:color="C0C0C0" w:fill="FFFFFF"/>
            <w:vAlign w:val="center"/>
          </w:tcPr>
          <w:p w:rsidR="006F7F6A" w:rsidRPr="00327A61" w:rsidRDefault="006F7F6A" w:rsidP="005127CC">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180 500 кв.м.</w:t>
            </w:r>
          </w:p>
        </w:tc>
        <w:tc>
          <w:tcPr>
            <w:tcW w:w="1843" w:type="dxa"/>
            <w:shd w:val="solid" w:color="C0C0C0" w:fill="FFFFFF"/>
            <w:noWrap/>
            <w:vAlign w:val="center"/>
          </w:tcPr>
          <w:p w:rsidR="006F7F6A" w:rsidRPr="00327A61" w:rsidRDefault="006F7F6A" w:rsidP="005127CC">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w:t>
            </w:r>
          </w:p>
        </w:tc>
        <w:tc>
          <w:tcPr>
            <w:tcW w:w="1559" w:type="dxa"/>
            <w:shd w:val="solid" w:color="C0C0C0" w:fill="FFFFFF"/>
            <w:noWrap/>
            <w:vAlign w:val="center"/>
          </w:tcPr>
          <w:p w:rsidR="006F7F6A" w:rsidRPr="00327A61" w:rsidRDefault="006F7F6A" w:rsidP="005127CC">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3 500 кв.м.</w:t>
            </w:r>
          </w:p>
        </w:tc>
        <w:tc>
          <w:tcPr>
            <w:tcW w:w="1422" w:type="dxa"/>
            <w:shd w:val="solid" w:color="C0C0C0" w:fill="FFFFFF"/>
            <w:noWrap/>
            <w:vAlign w:val="center"/>
          </w:tcPr>
          <w:p w:rsidR="006F7F6A" w:rsidRPr="00327A61" w:rsidRDefault="006F7F6A" w:rsidP="005127CC">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w:t>
            </w:r>
          </w:p>
        </w:tc>
      </w:tr>
    </w:tbl>
    <w:p w:rsidR="00B870BC" w:rsidRPr="00327A61" w:rsidRDefault="00B870BC" w:rsidP="00B870BC">
      <w:pPr>
        <w:pStyle w:val="BodyTextIndent"/>
        <w:spacing w:after="120"/>
        <w:ind w:firstLine="709"/>
      </w:pPr>
    </w:p>
    <w:p w:rsidR="006F7F6A" w:rsidRPr="00327A61" w:rsidRDefault="006F7F6A" w:rsidP="006F7F6A">
      <w:pPr>
        <w:pStyle w:val="BodyTextIndent"/>
        <w:spacing w:after="120"/>
        <w:ind w:firstLine="709"/>
        <w:rPr>
          <w:lang w:val="en-US"/>
        </w:rPr>
      </w:pPr>
      <w:r w:rsidRPr="00327A61">
        <w:t>Наличната челна и тилова техника и разполагаемата инфраструктура е достатъчна за посрещане на клиентските потребности. Има свободен капацитет що се отнася до основните видове насипни и генерални товари, като могат да се поемат и допълнително количества интермодални единици.</w:t>
      </w:r>
    </w:p>
    <w:p w:rsidR="006F7F6A" w:rsidRPr="00327A61" w:rsidRDefault="006F7F6A" w:rsidP="006F7F6A">
      <w:pPr>
        <w:pStyle w:val="BodyTextIndent"/>
        <w:spacing w:after="120"/>
        <w:ind w:firstLine="709"/>
      </w:pPr>
      <w:r w:rsidRPr="00327A61">
        <w:t>На моменти има недостиг на закрити складови площи, особено за зърно и торове, но дружеството постоянно полага усилия за по-добра организация и максимално удовлетворяване на търсенето. От друга страна, строгите противопожарни и фитосанитарни изисквания по отношение складирането на последните видове изброени товари ограничават използваемия капацитет.</w:t>
      </w:r>
    </w:p>
    <w:p w:rsidR="006F7F6A" w:rsidRPr="00327A61" w:rsidRDefault="006F7F6A" w:rsidP="006F7F6A">
      <w:pPr>
        <w:pStyle w:val="Heading2"/>
        <w:spacing w:after="120"/>
        <w:ind w:left="709"/>
        <w:jc w:val="left"/>
        <w:rPr>
          <w:rFonts w:ascii="Times New Roman" w:hAnsi="Times New Roman"/>
          <w:i/>
          <w:sz w:val="24"/>
          <w:u w:val="single"/>
        </w:rPr>
      </w:pPr>
      <w:bookmarkStart w:id="13" w:name="_Toc351721975"/>
      <w:bookmarkStart w:id="14" w:name="_Toc382904551"/>
      <w:bookmarkStart w:id="15" w:name="_Toc382904669"/>
      <w:bookmarkStart w:id="16" w:name="_Toc477959766"/>
      <w:r w:rsidRPr="00327A61">
        <w:rPr>
          <w:rFonts w:ascii="Times New Roman" w:hAnsi="Times New Roman"/>
          <w:i/>
          <w:sz w:val="24"/>
          <w:u w:val="single"/>
        </w:rPr>
        <w:t>Технологично проблемни места</w:t>
      </w:r>
      <w:bookmarkEnd w:id="13"/>
      <w:bookmarkEnd w:id="14"/>
      <w:bookmarkEnd w:id="15"/>
      <w:bookmarkEnd w:id="16"/>
    </w:p>
    <w:p w:rsidR="006F7F6A" w:rsidRPr="00327A61" w:rsidRDefault="006F7F6A" w:rsidP="006F7F6A">
      <w:pPr>
        <w:spacing w:after="120"/>
        <w:ind w:firstLine="709"/>
        <w:jc w:val="both"/>
      </w:pPr>
      <w:r w:rsidRPr="00327A61">
        <w:t>В пристанищен терминал Русе-изток продължава да няма изградена специализирана площадка/терминал за обработка, деконтейнеризация и контейнеризация, ремонт и поддръжка на контейнери и трейлери. Също така липсват и специализирани съоръжения за съхранение на зърнени храни, което до известна степен затруднява привличането на клиенти, търгуващи със зърно и фуражи.</w:t>
      </w:r>
    </w:p>
    <w:p w:rsidR="006F7F6A" w:rsidRPr="00327A61" w:rsidRDefault="006F7F6A" w:rsidP="006F7F6A">
      <w:pPr>
        <w:spacing w:after="120"/>
        <w:ind w:firstLine="709"/>
        <w:jc w:val="both"/>
      </w:pPr>
      <w:r w:rsidRPr="00327A61">
        <w:t>Друг технологичен риск продължава да представлява възрастта на ел.порталните кранове, с които се работи. В голямата си част те са произведени преди повече от 30-40 години. Поддръжката им изисква непрекъснат контрол на състоянието им и ремонтни дейности, които забавят работния процес и така намаляват капацитетните възможности на терминалите по отношение бързината на обработка. Остаряла е и част от тиловата техника – кофачни и вилъчни товарачи, които често аварират.</w:t>
      </w:r>
    </w:p>
    <w:p w:rsidR="006F7F6A" w:rsidRPr="00327A61" w:rsidRDefault="006F7F6A" w:rsidP="006F7F6A">
      <w:pPr>
        <w:spacing w:after="120"/>
        <w:ind w:firstLine="709"/>
        <w:jc w:val="both"/>
      </w:pPr>
      <w:r w:rsidRPr="00327A61">
        <w:t xml:space="preserve">На моменти дружеството изпитва недостиг на закрити складови площи, към които в последните години се наблюдава засилен клиентски интерес. Това пречи на комплекса да отговори в пълен обем на нуждите на своите контрагенти (относно стоки с необходимост от съхранение в контролирана среда, стоки от сферата на високите технологии и други). По отношение на откритите складове, част от тях са в недобро състояние поради високата си натовареност и дългогодишно използване. Дружеството изпълнява редовно задълженията си по програмата за ремонт и рехабилитация към ДП „Пристанищна инфраструктура“, но размерът </w:t>
      </w:r>
      <w:r w:rsidR="005127CC" w:rsidRPr="00327A61">
        <w:t>й</w:t>
      </w:r>
      <w:r w:rsidRPr="00327A61">
        <w:t xml:space="preserve"> позволява обезпечаването на най-належащите обекти в годишен план.</w:t>
      </w:r>
    </w:p>
    <w:p w:rsidR="007F5EDD" w:rsidRPr="00327A61" w:rsidRDefault="006F7F6A" w:rsidP="006F7F6A">
      <w:pPr>
        <w:spacing w:after="240"/>
        <w:ind w:firstLine="709"/>
        <w:jc w:val="both"/>
      </w:pPr>
      <w:r w:rsidRPr="00327A61">
        <w:t>Перманентната опасност от неблагоприятни хидрометеорологични условия, ежегодно затруднява корабоплаването по река Дунав. Маловодие, образуване на пясъчни прагове, ледоход, ледостой и други, са често срещани явления, които възпрепятстват работата на комплекса. При критични условия за плаване, част от товародателите избират по-сигурни логистични схеми за транспортиране на своите товари, които на моменти заобикалят порта на дружеството в град Русе. От друга страна обработката на стоки при ниски речни нива и други неблагоприятни условия налага ползването на по-сложни и разходоемки претоварни технологии.</w:t>
      </w:r>
    </w:p>
    <w:p w:rsidR="005B3ECE" w:rsidRPr="00327A61" w:rsidRDefault="004C7ADB" w:rsidP="005127CC">
      <w:pPr>
        <w:pStyle w:val="Heading2"/>
        <w:numPr>
          <w:ilvl w:val="1"/>
          <w:numId w:val="2"/>
        </w:numPr>
        <w:tabs>
          <w:tab w:val="left" w:pos="851"/>
        </w:tabs>
        <w:spacing w:after="120"/>
        <w:ind w:firstLine="709"/>
        <w:rPr>
          <w:rFonts w:ascii="Times New Roman" w:hAnsi="Times New Roman"/>
          <w:i/>
          <w:sz w:val="24"/>
          <w:u w:val="single"/>
        </w:rPr>
      </w:pPr>
      <w:bookmarkStart w:id="17" w:name="_Toc288478110"/>
      <w:bookmarkStart w:id="18" w:name="_Toc477959767"/>
      <w:r w:rsidRPr="00327A61">
        <w:rPr>
          <w:rFonts w:ascii="Times New Roman" w:hAnsi="Times New Roman"/>
          <w:i/>
          <w:sz w:val="24"/>
          <w:u w:val="single"/>
        </w:rPr>
        <w:lastRenderedPageBreak/>
        <w:t>3</w:t>
      </w:r>
      <w:r w:rsidR="00E409FD" w:rsidRPr="00327A61">
        <w:rPr>
          <w:rFonts w:ascii="Times New Roman" w:hAnsi="Times New Roman"/>
          <w:i/>
          <w:sz w:val="24"/>
          <w:u w:val="single"/>
        </w:rPr>
        <w:t xml:space="preserve">) </w:t>
      </w:r>
      <w:r w:rsidR="00334366" w:rsidRPr="00327A61">
        <w:rPr>
          <w:rFonts w:ascii="Times New Roman" w:hAnsi="Times New Roman"/>
          <w:i/>
          <w:smallCaps/>
          <w:sz w:val="24"/>
          <w:u w:val="single"/>
        </w:rPr>
        <w:t>Пазарен анализ – клиенти, доставчици, к</w:t>
      </w:r>
      <w:r w:rsidR="00B97C1A" w:rsidRPr="00327A61">
        <w:rPr>
          <w:rFonts w:ascii="Times New Roman" w:hAnsi="Times New Roman"/>
          <w:i/>
          <w:smallCaps/>
          <w:sz w:val="24"/>
          <w:u w:val="single"/>
        </w:rPr>
        <w:t>онкуренти</w:t>
      </w:r>
      <w:bookmarkEnd w:id="17"/>
      <w:r w:rsidR="009A792C" w:rsidRPr="00327A61">
        <w:rPr>
          <w:rFonts w:ascii="Times New Roman" w:hAnsi="Times New Roman"/>
          <w:i/>
          <w:smallCaps/>
          <w:sz w:val="24"/>
          <w:u w:val="single"/>
        </w:rPr>
        <w:t>,</w:t>
      </w:r>
    </w:p>
    <w:p w:rsidR="00334366" w:rsidRPr="00327A61" w:rsidRDefault="009A792C" w:rsidP="005127CC">
      <w:pPr>
        <w:pStyle w:val="Heading2"/>
        <w:numPr>
          <w:ilvl w:val="1"/>
          <w:numId w:val="2"/>
        </w:numPr>
        <w:tabs>
          <w:tab w:val="left" w:pos="851"/>
        </w:tabs>
        <w:spacing w:after="120"/>
        <w:ind w:firstLine="709"/>
        <w:rPr>
          <w:rFonts w:ascii="Times New Roman" w:hAnsi="Times New Roman"/>
          <w:i/>
          <w:sz w:val="24"/>
          <w:u w:val="single"/>
        </w:rPr>
      </w:pPr>
      <w:r w:rsidRPr="00327A61">
        <w:rPr>
          <w:rFonts w:ascii="Times New Roman" w:hAnsi="Times New Roman"/>
          <w:i/>
          <w:smallCaps/>
          <w:sz w:val="24"/>
          <w:u w:val="single"/>
        </w:rPr>
        <w:t>маркетингова политика</w:t>
      </w:r>
      <w:bookmarkEnd w:id="18"/>
    </w:p>
    <w:p w:rsidR="006F7F6A" w:rsidRPr="00327A61" w:rsidRDefault="006F7F6A" w:rsidP="006F7F6A">
      <w:pPr>
        <w:pStyle w:val="NormalWeb"/>
        <w:spacing w:after="120"/>
        <w:ind w:firstLine="709"/>
        <w:jc w:val="both"/>
      </w:pPr>
      <w:bookmarkStart w:id="19" w:name="_Toc288478112"/>
      <w:r w:rsidRPr="00327A61">
        <w:t xml:space="preserve">През 2017г. дружеството развиваше дейност на един силно конкурентен и динамичен пазар в сферата на предлагане на пристанищни услуги в региона на Русе. Само на територията на град Русе дружеството работи в конкуренцията на други три терминала – един от национално и два от регионално значение. Освен това, в региона има и други пазарни субекти, които предоставят услуги, частично препокриващи се с основната дейност на комплекса (предимно складови услуги). В последните няколко години се наблюдава тенденцията и част от клиентите на „Пристанищен комплекс – Русе“ ЕАД да инвестират в собствени складово-логистични бази. </w:t>
      </w:r>
    </w:p>
    <w:p w:rsidR="006F7F6A" w:rsidRPr="00327A61" w:rsidRDefault="006F7F6A" w:rsidP="006F7F6A">
      <w:pPr>
        <w:pStyle w:val="NormalWeb"/>
        <w:spacing w:after="120"/>
        <w:ind w:firstLine="709"/>
        <w:jc w:val="both"/>
      </w:pPr>
      <w:r w:rsidRPr="00327A61">
        <w:t>С изключително висок ръст се отличи претоварването в пристанищен терминал Русе-изток на зърнени храни /от насипните товари/.</w:t>
      </w:r>
      <w:r w:rsidR="005B3ECE" w:rsidRPr="00327A61">
        <w:t xml:space="preserve"> </w:t>
      </w:r>
      <w:r w:rsidRPr="00327A61">
        <w:t>Тази група бележи най-ви</w:t>
      </w:r>
      <w:r w:rsidR="005B3ECE" w:rsidRPr="00327A61">
        <w:t>с</w:t>
      </w:r>
      <w:r w:rsidRPr="00327A61">
        <w:t>ок обем за последните 12 години. Т</w:t>
      </w:r>
      <w:r w:rsidR="005B3ECE" w:rsidRPr="00327A61">
        <w:t>а</w:t>
      </w:r>
      <w:r w:rsidRPr="00327A61">
        <w:t>зи положителн</w:t>
      </w:r>
      <w:r w:rsidR="005B3ECE" w:rsidRPr="00327A61">
        <w:t>а</w:t>
      </w:r>
      <w:r w:rsidRPr="00327A61">
        <w:t xml:space="preserve"> тенденци</w:t>
      </w:r>
      <w:r w:rsidR="005B3ECE" w:rsidRPr="00327A61">
        <w:t>я</w:t>
      </w:r>
      <w:r w:rsidRPr="00327A61">
        <w:t xml:space="preserve"> </w:t>
      </w:r>
      <w:r w:rsidR="005B3ECE" w:rsidRPr="00327A61">
        <w:t>е</w:t>
      </w:r>
      <w:r w:rsidRPr="00327A61">
        <w:t xml:space="preserve"> плод най-вече на успешната управленска политика, привлякла значителни количества от тези товари през годината. </w:t>
      </w:r>
    </w:p>
    <w:p w:rsidR="006F7F6A" w:rsidRPr="00327A61" w:rsidRDefault="006F7F6A" w:rsidP="006F7F6A">
      <w:pPr>
        <w:pStyle w:val="NormalWeb"/>
        <w:spacing w:before="0" w:beforeAutospacing="0" w:after="120" w:afterAutospacing="0"/>
        <w:ind w:firstLine="709"/>
        <w:jc w:val="both"/>
      </w:pPr>
      <w:r w:rsidRPr="00327A61">
        <w:t>Лошите хидрометеорологични условия създадоха кризисни ситуации през 2017г. най-вече със замръзването на реката в началото на годината. Това неминуемо повлия негативно на резулт</w:t>
      </w:r>
      <w:r w:rsidR="005B3ECE" w:rsidRPr="00327A61">
        <w:t>ат</w:t>
      </w:r>
      <w:r w:rsidRPr="00327A61">
        <w:t>ите. Ниските речни нива през летните месеци, ледоход и ледостой през зимния период, възпрепятстват свободния достъп на товари до терминал Русе-изток. Това на моменти</w:t>
      </w:r>
      <w:r w:rsidR="005B3ECE" w:rsidRPr="00327A61">
        <w:t>, както бе споменато по-горе,</w:t>
      </w:r>
      <w:r w:rsidRPr="00327A61">
        <w:t xml:space="preserve"> налага използването на по-сложни и съответно разходоемки технологии за обработка на товари.</w:t>
      </w:r>
    </w:p>
    <w:p w:rsidR="006F7F6A" w:rsidRPr="00327A61" w:rsidRDefault="006F7F6A" w:rsidP="006F7F6A">
      <w:pPr>
        <w:pStyle w:val="NormalWeb"/>
        <w:spacing w:before="0" w:beforeAutospacing="0" w:after="120" w:afterAutospacing="0"/>
        <w:ind w:firstLine="709"/>
        <w:jc w:val="both"/>
      </w:pPr>
      <w:r w:rsidRPr="00327A61">
        <w:t xml:space="preserve">С оглед на гореизложеното и 2017г.  бе белязана с изключително силна конкурентна среда, най-вече от частния порт „Булмаркет“, както и от терминал Русе-запад, чиито оператор към момента е ДП „Пристанищна инфраструктура“. </w:t>
      </w:r>
    </w:p>
    <w:p w:rsidR="00AA1982" w:rsidRPr="00327A61" w:rsidRDefault="006F7F6A" w:rsidP="006F7F6A">
      <w:pPr>
        <w:pStyle w:val="NormalWeb"/>
        <w:tabs>
          <w:tab w:val="left" w:pos="1134"/>
        </w:tabs>
        <w:spacing w:before="0" w:beforeAutospacing="0" w:after="120" w:afterAutospacing="0"/>
        <w:ind w:firstLine="709"/>
        <w:jc w:val="both"/>
      </w:pPr>
      <w:r w:rsidRPr="00327A61">
        <w:t>С оглед на сложната пазарна обстановка, комбинираща перманентно нарастващ конкурентен натиск и нерастяща пазарна ниша от друга, дружеството предлага на своите клиенти услуги, които в оптимална степен отговаря на техните нужди. Търговската политика на комплекса е гъвкава, като целта е да се реагира максимално бързо и адекватно на пазарните промени. Тя насърчава контрагентите да увеличават обема на съвместната работа – както по отношение на традиционно предоставяни за обработка и складиране товари, така и за нови стоки. Доказателство за това е сериозната натовареност на складовата база (особено закритите складове). На по-малките си конкуренти, които в условията на нерастящ пазар и при по-ниски експлоатационни разходи предлагат по-ниски цени, комплексът отговаря с високо качество на предлаганите услуги и максимално използване предимствата на големия</w:t>
      </w:r>
      <w:r w:rsidR="00A33593" w:rsidRPr="00327A61">
        <w:t>,</w:t>
      </w:r>
      <w:r w:rsidRPr="00327A61">
        <w:t xml:space="preserve"> като капацитет товарен терминал Русе-изток</w:t>
      </w:r>
      <w:r w:rsidR="00A10DB9" w:rsidRPr="00327A61">
        <w:t>.</w:t>
      </w:r>
    </w:p>
    <w:p w:rsidR="00857F16" w:rsidRPr="00327A61" w:rsidRDefault="00857F16" w:rsidP="00DD76F5">
      <w:pPr>
        <w:numPr>
          <w:ilvl w:val="1"/>
          <w:numId w:val="6"/>
        </w:numPr>
        <w:tabs>
          <w:tab w:val="left" w:pos="1134"/>
        </w:tabs>
        <w:spacing w:before="120" w:after="120"/>
        <w:ind w:left="1134" w:hanging="425"/>
        <w:jc w:val="both"/>
        <w:rPr>
          <w:b/>
          <w:u w:val="single"/>
        </w:rPr>
      </w:pPr>
      <w:r w:rsidRPr="00327A61">
        <w:rPr>
          <w:b/>
          <w:u w:val="single"/>
        </w:rPr>
        <w:t>КЛИЕНТИ - взаимоотношения и зависимост</w:t>
      </w:r>
    </w:p>
    <w:p w:rsidR="000865A8" w:rsidRPr="00327A61" w:rsidRDefault="000865A8" w:rsidP="000865A8">
      <w:pPr>
        <w:spacing w:before="120" w:after="120"/>
        <w:ind w:firstLine="709"/>
        <w:jc w:val="both"/>
      </w:pPr>
      <w:r w:rsidRPr="00327A61">
        <w:t>Товародателите реализиращи най-голям товарооборот имат установени дългогодишни добри партньорски взаимоотношения с комплекса.</w:t>
      </w:r>
    </w:p>
    <w:p w:rsidR="00F7034A" w:rsidRPr="00327A61" w:rsidRDefault="00F7034A" w:rsidP="00F7034A">
      <w:pPr>
        <w:spacing w:after="120"/>
        <w:ind w:firstLine="720"/>
        <w:jc w:val="both"/>
      </w:pPr>
      <w:bookmarkStart w:id="20" w:name="_Hlk506989717"/>
      <w:r w:rsidRPr="006B289E">
        <w:t>Първите 1</w:t>
      </w:r>
      <w:r w:rsidR="006B289E" w:rsidRPr="006B289E">
        <w:rPr>
          <w:lang w:val="en-US"/>
        </w:rPr>
        <w:t>0</w:t>
      </w:r>
      <w:r w:rsidRPr="006B289E">
        <w:t xml:space="preserve"> клиента по големина на товарооборота реализират </w:t>
      </w:r>
      <w:r w:rsidR="006B289E" w:rsidRPr="006B289E">
        <w:rPr>
          <w:lang w:val="en-US"/>
        </w:rPr>
        <w:t>592</w:t>
      </w:r>
      <w:r w:rsidRPr="006B289E">
        <w:t xml:space="preserve"> хил.физ.тона или 8</w:t>
      </w:r>
      <w:r w:rsidR="006B289E" w:rsidRPr="006B289E">
        <w:rPr>
          <w:lang w:val="en-US"/>
        </w:rPr>
        <w:t>1</w:t>
      </w:r>
      <w:r w:rsidRPr="006B289E">
        <w:t xml:space="preserve"> % от всички обработени товари. За миналата 2016 г. те предоставят 578 хил.физ.тона (81%).</w:t>
      </w:r>
      <w:bookmarkEnd w:id="20"/>
    </w:p>
    <w:p w:rsidR="00F7034A" w:rsidRPr="00327A61" w:rsidRDefault="00F7034A" w:rsidP="00F7034A">
      <w:pPr>
        <w:spacing w:before="120" w:after="120"/>
        <w:ind w:firstLine="709"/>
        <w:jc w:val="both"/>
      </w:pPr>
      <w:r w:rsidRPr="00327A61">
        <w:t xml:space="preserve">За 2017г. на първата позиция отново е „Топлофикация – Русе“ ЕАД (въглища), следван от „Рубишипс транспорт“ ООД (торове, метали и др.), „Юнитранс“ ООД и „ПИМК“ ООД. Последният клиент предоставя за обработка интермодални единици (трейлери), чиято обработка на годишна база достигна </w:t>
      </w:r>
      <w:r w:rsidR="00A33593" w:rsidRPr="00327A61">
        <w:t>20</w:t>
      </w:r>
      <w:r w:rsidRPr="00327A61">
        <w:t xml:space="preserve"> хил. тона за 201</w:t>
      </w:r>
      <w:r w:rsidR="00A33593" w:rsidRPr="00327A61">
        <w:t>7</w:t>
      </w:r>
      <w:r w:rsidRPr="00327A61">
        <w:t>г.</w:t>
      </w:r>
    </w:p>
    <w:p w:rsidR="000865A8" w:rsidRPr="00327A61" w:rsidRDefault="00904217" w:rsidP="000865A8">
      <w:pPr>
        <w:spacing w:after="120"/>
        <w:jc w:val="center"/>
        <w:rPr>
          <w:noProof/>
        </w:rPr>
      </w:pPr>
      <w:r w:rsidRPr="00327A61">
        <w:rPr>
          <w:noProof/>
          <w:lang w:eastAsia="bg-BG"/>
        </w:rPr>
        <w:lastRenderedPageBreak/>
        <w:drawing>
          <wp:inline distT="0" distB="0" distL="0" distR="0" wp14:anchorId="6688091B" wp14:editId="1BE86F61">
            <wp:extent cx="6162675" cy="2924175"/>
            <wp:effectExtent l="0" t="0" r="9525" b="9525"/>
            <wp:docPr id="1" name="Диаграма 1">
              <a:extLst xmlns:a="http://schemas.openxmlformats.org/drawingml/2006/main">
                <a:ext uri="{FF2B5EF4-FFF2-40B4-BE49-F238E27FC236}">
                  <a16:creationId xmlns:a16="http://schemas.microsoft.com/office/drawing/2014/main" id="{9E6174BA-A2BE-4CAA-963B-06A96BB33E2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904217" w:rsidRPr="00327A61" w:rsidRDefault="00904217" w:rsidP="000865A8">
      <w:pPr>
        <w:spacing w:after="120"/>
        <w:jc w:val="center"/>
      </w:pPr>
    </w:p>
    <w:p w:rsidR="00857F16" w:rsidRPr="00327A61" w:rsidRDefault="00857F16" w:rsidP="00DD76F5">
      <w:pPr>
        <w:numPr>
          <w:ilvl w:val="1"/>
          <w:numId w:val="6"/>
        </w:numPr>
        <w:tabs>
          <w:tab w:val="left" w:pos="1134"/>
        </w:tabs>
        <w:spacing w:before="120" w:after="120"/>
        <w:ind w:hanging="1091"/>
        <w:jc w:val="both"/>
        <w:rPr>
          <w:b/>
          <w:u w:val="single"/>
        </w:rPr>
      </w:pPr>
      <w:r w:rsidRPr="00327A61">
        <w:rPr>
          <w:b/>
          <w:u w:val="single"/>
        </w:rPr>
        <w:t>Конкуренти – предимства и недостатъци</w:t>
      </w:r>
    </w:p>
    <w:p w:rsidR="005E7249" w:rsidRPr="00327A61" w:rsidRDefault="005E7249" w:rsidP="005E7249">
      <w:pPr>
        <w:spacing w:after="120"/>
        <w:ind w:firstLine="720"/>
        <w:jc w:val="both"/>
        <w:rPr>
          <w:lang w:val="be-BY"/>
        </w:rPr>
      </w:pPr>
      <w:r w:rsidRPr="00327A61">
        <w:rPr>
          <w:lang w:val="be-BY"/>
        </w:rPr>
        <w:t xml:space="preserve">Конкуренцията в сектора на пристанищните и логистични услуги </w:t>
      </w:r>
      <w:r w:rsidR="00974AF0" w:rsidRPr="00327A61">
        <w:t>в региона на град Русе се засилва с всяка изминала година</w:t>
      </w:r>
      <w:r w:rsidRPr="00327A61">
        <w:rPr>
          <w:lang w:val="be-BY"/>
        </w:rPr>
        <w:t xml:space="preserve">. </w:t>
      </w:r>
      <w:bookmarkStart w:id="21" w:name="_Hlk506989985"/>
      <w:r w:rsidRPr="00327A61">
        <w:rPr>
          <w:lang w:val="be-BY"/>
        </w:rPr>
        <w:t xml:space="preserve">Клиентите </w:t>
      </w:r>
      <w:r w:rsidR="00974AF0" w:rsidRPr="00327A61">
        <w:rPr>
          <w:lang w:val="be-BY"/>
        </w:rPr>
        <w:t>търсят услуги, базирани на принципа на най-късата логистична верига, извършени на най-ниски цени</w:t>
      </w:r>
      <w:bookmarkEnd w:id="21"/>
      <w:r w:rsidRPr="00327A61">
        <w:rPr>
          <w:lang w:val="be-BY"/>
        </w:rPr>
        <w:t>.</w:t>
      </w:r>
    </w:p>
    <w:p w:rsidR="00857F16" w:rsidRDefault="005E7249" w:rsidP="00974AF0">
      <w:pPr>
        <w:spacing w:after="120"/>
        <w:ind w:firstLine="720"/>
        <w:jc w:val="both"/>
        <w:rPr>
          <w:lang w:val="be-BY"/>
        </w:rPr>
      </w:pPr>
      <w:r w:rsidRPr="00327A61">
        <w:rPr>
          <w:lang w:val="be-BY"/>
        </w:rPr>
        <w:t xml:space="preserve">На графиката по-долу е представен SWOT анализ на основните фактори, които влияят върху конкурентите позиции на </w:t>
      </w:r>
      <w:r w:rsidR="006A52D1" w:rsidRPr="00327A61">
        <w:rPr>
          <w:lang w:val="be-BY"/>
        </w:rPr>
        <w:t>“</w:t>
      </w:r>
      <w:r w:rsidRPr="00327A61">
        <w:rPr>
          <w:lang w:val="be-BY"/>
        </w:rPr>
        <w:t>Пристанищен комплекс – Русе</w:t>
      </w:r>
      <w:r w:rsidR="006A52D1" w:rsidRPr="00327A61">
        <w:rPr>
          <w:lang w:val="be-BY"/>
        </w:rPr>
        <w:t>”ЕАД</w:t>
      </w:r>
      <w:r w:rsidRPr="00327A61">
        <w:rPr>
          <w:lang w:val="be-BY"/>
        </w:rPr>
        <w:t>.</w:t>
      </w:r>
    </w:p>
    <w:p w:rsidR="00974AF0" w:rsidRPr="00974AF0" w:rsidRDefault="00974AF0" w:rsidP="00974AF0">
      <w:pPr>
        <w:spacing w:after="120"/>
        <w:ind w:firstLine="720"/>
        <w:jc w:val="both"/>
        <w:rPr>
          <w:lang w:val="be-BY"/>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863"/>
        <w:gridCol w:w="4850"/>
      </w:tblGrid>
      <w:tr w:rsidR="006A52D1" w:rsidRPr="001D6063" w:rsidTr="001A0D51">
        <w:tc>
          <w:tcPr>
            <w:tcW w:w="4863" w:type="dxa"/>
            <w:shd w:val="clear" w:color="auto" w:fill="8EAADB" w:themeFill="accent1" w:themeFillTint="99"/>
          </w:tcPr>
          <w:p w:rsidR="006A52D1" w:rsidRPr="001A0D51" w:rsidRDefault="006A52D1" w:rsidP="005A5A52">
            <w:pPr>
              <w:pStyle w:val="Title"/>
            </w:pPr>
            <w:bookmarkStart w:id="22" w:name="_Hlk506990071"/>
            <w:r w:rsidRPr="001A0D51">
              <w:t>СИЛНИ СТРАНИ</w:t>
            </w:r>
          </w:p>
        </w:tc>
        <w:tc>
          <w:tcPr>
            <w:tcW w:w="4850" w:type="dxa"/>
            <w:shd w:val="clear" w:color="auto" w:fill="A6A6A6" w:themeFill="background1" w:themeFillShade="A6"/>
          </w:tcPr>
          <w:p w:rsidR="006A52D1" w:rsidRPr="001A0D51" w:rsidRDefault="006A52D1" w:rsidP="005A5A52">
            <w:pPr>
              <w:pStyle w:val="Title"/>
            </w:pPr>
            <w:r w:rsidRPr="001A0D51">
              <w:t>СЛАБИ СТРАНИ</w:t>
            </w:r>
          </w:p>
        </w:tc>
      </w:tr>
      <w:tr w:rsidR="006A52D1" w:rsidRPr="00C90F23" w:rsidTr="001A0D51">
        <w:tc>
          <w:tcPr>
            <w:tcW w:w="4863" w:type="dxa"/>
            <w:tcBorders>
              <w:bottom w:val="single" w:sz="4" w:space="0" w:color="auto"/>
            </w:tcBorders>
            <w:shd w:val="clear" w:color="auto" w:fill="B4C6E7" w:themeFill="accent1" w:themeFillTint="66"/>
          </w:tcPr>
          <w:p w:rsidR="006B289E" w:rsidRDefault="006B289E" w:rsidP="006B289E">
            <w:pPr>
              <w:numPr>
                <w:ilvl w:val="0"/>
                <w:numId w:val="8"/>
              </w:numPr>
            </w:pPr>
            <w:r>
              <w:t>Важно географско разположение;</w:t>
            </w:r>
          </w:p>
          <w:p w:rsidR="006B289E" w:rsidRDefault="006B289E" w:rsidP="006B289E">
            <w:pPr>
              <w:numPr>
                <w:ilvl w:val="0"/>
                <w:numId w:val="8"/>
              </w:numPr>
            </w:pPr>
            <w:r>
              <w:t>Традиционно високо качество на предлаганите услуги;</w:t>
            </w:r>
          </w:p>
          <w:p w:rsidR="006B289E" w:rsidRDefault="006B289E" w:rsidP="006B289E">
            <w:pPr>
              <w:numPr>
                <w:ilvl w:val="0"/>
                <w:numId w:val="8"/>
              </w:numPr>
            </w:pPr>
            <w:r>
              <w:t>Голям капацитет и потенциал;</w:t>
            </w:r>
          </w:p>
          <w:p w:rsidR="006B289E" w:rsidRDefault="006B289E" w:rsidP="006B289E">
            <w:pPr>
              <w:numPr>
                <w:ilvl w:val="0"/>
                <w:numId w:val="8"/>
              </w:numPr>
            </w:pPr>
            <w:r>
              <w:t>Висококвалифициран персонал;</w:t>
            </w:r>
          </w:p>
          <w:p w:rsidR="006B289E" w:rsidRDefault="006B289E" w:rsidP="006B289E">
            <w:pPr>
              <w:numPr>
                <w:ilvl w:val="0"/>
                <w:numId w:val="8"/>
              </w:numPr>
            </w:pPr>
            <w:r>
              <w:t>Гъвкава търговска политика;</w:t>
            </w:r>
          </w:p>
          <w:p w:rsidR="006A52D1" w:rsidRPr="001A0D51" w:rsidRDefault="006B289E" w:rsidP="003317D1">
            <w:pPr>
              <w:numPr>
                <w:ilvl w:val="0"/>
                <w:numId w:val="8"/>
              </w:numPr>
              <w:rPr>
                <w:sz w:val="26"/>
                <w:szCs w:val="26"/>
              </w:rPr>
            </w:pPr>
            <w:r>
              <w:t>Изградени сухоземни и жп връзки с националната пътна и жп мрежа;</w:t>
            </w:r>
          </w:p>
        </w:tc>
        <w:tc>
          <w:tcPr>
            <w:tcW w:w="4850" w:type="dxa"/>
            <w:tcBorders>
              <w:bottom w:val="single" w:sz="4" w:space="0" w:color="auto"/>
            </w:tcBorders>
            <w:shd w:val="clear" w:color="auto" w:fill="DBDBDB" w:themeFill="accent3" w:themeFillTint="66"/>
          </w:tcPr>
          <w:p w:rsidR="006A52D1" w:rsidRPr="001A0D51" w:rsidRDefault="006A52D1" w:rsidP="00DD76F5">
            <w:pPr>
              <w:numPr>
                <w:ilvl w:val="0"/>
                <w:numId w:val="8"/>
              </w:numPr>
              <w:ind w:left="408"/>
            </w:pPr>
            <w:r w:rsidRPr="001A0D51">
              <w:t>Остарели в голямата си част инфраструктура и машинен парк;</w:t>
            </w:r>
          </w:p>
          <w:p w:rsidR="006A52D1" w:rsidRPr="001A0D51" w:rsidRDefault="006A52D1" w:rsidP="00DD76F5">
            <w:pPr>
              <w:numPr>
                <w:ilvl w:val="0"/>
                <w:numId w:val="8"/>
              </w:numPr>
              <w:ind w:left="408"/>
            </w:pPr>
            <w:r w:rsidRPr="001A0D51">
              <w:t>Частичен недостиг на закрити складови площи;</w:t>
            </w:r>
          </w:p>
          <w:p w:rsidR="006A52D1" w:rsidRPr="001A0D51" w:rsidRDefault="006A52D1" w:rsidP="00DD76F5">
            <w:pPr>
              <w:numPr>
                <w:ilvl w:val="0"/>
                <w:numId w:val="8"/>
              </w:numPr>
              <w:ind w:left="408"/>
              <w:rPr>
                <w:sz w:val="26"/>
                <w:szCs w:val="26"/>
              </w:rPr>
            </w:pPr>
            <w:r w:rsidRPr="001A0D51">
              <w:t>Ниска натовареност на терминали Тутракан, Силистра, Русе-център;</w:t>
            </w:r>
          </w:p>
          <w:p w:rsidR="006A52D1" w:rsidRPr="001A0D51" w:rsidRDefault="006A52D1" w:rsidP="003317D1">
            <w:pPr>
              <w:ind w:left="408"/>
            </w:pPr>
          </w:p>
        </w:tc>
      </w:tr>
      <w:tr w:rsidR="006A52D1" w:rsidRPr="00C90F23" w:rsidTr="001A0D51">
        <w:tc>
          <w:tcPr>
            <w:tcW w:w="4863" w:type="dxa"/>
            <w:shd w:val="clear" w:color="auto" w:fill="538135" w:themeFill="accent6" w:themeFillShade="BF"/>
          </w:tcPr>
          <w:p w:rsidR="006A52D1" w:rsidRPr="001A0D51" w:rsidRDefault="006A52D1" w:rsidP="005A5A52">
            <w:pPr>
              <w:pStyle w:val="Title"/>
            </w:pPr>
            <w:r w:rsidRPr="001A0D51">
              <w:t>ВЪЗМОЖНОСТИ</w:t>
            </w:r>
          </w:p>
        </w:tc>
        <w:tc>
          <w:tcPr>
            <w:tcW w:w="4850" w:type="dxa"/>
            <w:shd w:val="clear" w:color="auto" w:fill="C45911" w:themeFill="accent2" w:themeFillShade="BF"/>
          </w:tcPr>
          <w:p w:rsidR="006A52D1" w:rsidRPr="001A0D51" w:rsidRDefault="006A52D1" w:rsidP="005A5A52">
            <w:pPr>
              <w:pStyle w:val="Title"/>
            </w:pPr>
            <w:r w:rsidRPr="001A0D51">
              <w:t>ЗАПЛАХИ</w:t>
            </w:r>
          </w:p>
        </w:tc>
      </w:tr>
      <w:tr w:rsidR="006A52D1" w:rsidRPr="00C90F23" w:rsidTr="001A0D51">
        <w:trPr>
          <w:trHeight w:val="2204"/>
        </w:trPr>
        <w:tc>
          <w:tcPr>
            <w:tcW w:w="4863" w:type="dxa"/>
            <w:shd w:val="clear" w:color="auto" w:fill="C5E0B3" w:themeFill="accent6" w:themeFillTint="66"/>
          </w:tcPr>
          <w:p w:rsidR="006B289E" w:rsidRDefault="006B289E" w:rsidP="006B289E">
            <w:pPr>
              <w:numPr>
                <w:ilvl w:val="0"/>
                <w:numId w:val="8"/>
              </w:numPr>
            </w:pPr>
            <w:r>
              <w:t>Утвърждаване на интермодалните услуги на терминал Русе-изток;</w:t>
            </w:r>
          </w:p>
          <w:p w:rsidR="006B289E" w:rsidRDefault="006B289E" w:rsidP="006B289E">
            <w:pPr>
              <w:numPr>
                <w:ilvl w:val="0"/>
                <w:numId w:val="8"/>
              </w:numPr>
            </w:pPr>
            <w:r>
              <w:t>Модернизация на съществуващата инфраструктура и техника за обработка на товари;</w:t>
            </w:r>
          </w:p>
          <w:p w:rsidR="006A52D1" w:rsidRPr="001A0D51" w:rsidRDefault="006B289E" w:rsidP="006B289E">
            <w:pPr>
              <w:numPr>
                <w:ilvl w:val="0"/>
                <w:numId w:val="8"/>
              </w:numPr>
              <w:rPr>
                <w:sz w:val="26"/>
                <w:szCs w:val="26"/>
              </w:rPr>
            </w:pPr>
            <w:r>
              <w:t>Ориентиране на предлаганите услуги максимално близо до клиентските нужди.</w:t>
            </w:r>
          </w:p>
        </w:tc>
        <w:tc>
          <w:tcPr>
            <w:tcW w:w="4850" w:type="dxa"/>
            <w:shd w:val="clear" w:color="auto" w:fill="F7CAAC" w:themeFill="accent2" w:themeFillTint="66"/>
          </w:tcPr>
          <w:p w:rsidR="006A52D1" w:rsidRPr="001A0D51" w:rsidRDefault="006A52D1" w:rsidP="00DD76F5">
            <w:pPr>
              <w:numPr>
                <w:ilvl w:val="0"/>
                <w:numId w:val="8"/>
              </w:numPr>
              <w:ind w:left="408" w:hanging="408"/>
            </w:pPr>
            <w:r w:rsidRPr="001A0D51">
              <w:t>Силен конкурентен натиск и риск от загуба на клиенти;</w:t>
            </w:r>
          </w:p>
          <w:p w:rsidR="006A52D1" w:rsidRPr="001A0D51" w:rsidRDefault="006A52D1" w:rsidP="00DD76F5">
            <w:pPr>
              <w:numPr>
                <w:ilvl w:val="0"/>
                <w:numId w:val="8"/>
              </w:numPr>
              <w:ind w:left="408" w:hanging="408"/>
              <w:rPr>
                <w:b/>
                <w:u w:val="single"/>
              </w:rPr>
            </w:pPr>
            <w:r w:rsidRPr="001A0D51">
              <w:t>Влияние на геополитически и глобални икономически процеси;</w:t>
            </w:r>
          </w:p>
          <w:p w:rsidR="006A52D1" w:rsidRPr="001A0D51" w:rsidRDefault="006A52D1" w:rsidP="00DD76F5">
            <w:pPr>
              <w:numPr>
                <w:ilvl w:val="0"/>
                <w:numId w:val="8"/>
              </w:numPr>
              <w:ind w:left="408" w:hanging="408"/>
              <w:rPr>
                <w:sz w:val="26"/>
                <w:szCs w:val="26"/>
              </w:rPr>
            </w:pPr>
            <w:r w:rsidRPr="001A0D51">
              <w:t>Непредвидени престои на работна сила поради аварии на техника</w:t>
            </w:r>
            <w:r w:rsidR="003317D1">
              <w:t xml:space="preserve"> и неблагоприятни климатични условия</w:t>
            </w:r>
            <w:r w:rsidRPr="001A0D51">
              <w:t>.</w:t>
            </w:r>
          </w:p>
        </w:tc>
      </w:tr>
      <w:bookmarkEnd w:id="22"/>
    </w:tbl>
    <w:p w:rsidR="003317D1" w:rsidRDefault="003317D1" w:rsidP="006A52D1">
      <w:pPr>
        <w:spacing w:after="120"/>
        <w:ind w:firstLine="709"/>
        <w:jc w:val="both"/>
      </w:pPr>
    </w:p>
    <w:p w:rsidR="006A52D1" w:rsidRPr="00327A61" w:rsidRDefault="006A52D1" w:rsidP="006A52D1">
      <w:pPr>
        <w:spacing w:after="120"/>
        <w:ind w:firstLine="709"/>
        <w:jc w:val="both"/>
      </w:pPr>
      <w:r w:rsidRPr="00327A61">
        <w:t xml:space="preserve">На територията </w:t>
      </w:r>
      <w:r w:rsidRPr="00327A61">
        <w:rPr>
          <w:b/>
          <w:u w:val="single"/>
        </w:rPr>
        <w:t>само на гр. Русе има четири работещи</w:t>
      </w:r>
      <w:r w:rsidRPr="00327A61">
        <w:t xml:space="preserve"> товарни терминала – два с национално и два с регионално значение, като към момента </w:t>
      </w:r>
      <w:r w:rsidRPr="00327A61">
        <w:rPr>
          <w:b/>
        </w:rPr>
        <w:t>три от тях са конкурентни дружества</w:t>
      </w:r>
      <w:r w:rsidRPr="00327A61">
        <w:t xml:space="preserve">. Конкуренти са още терминалите в Свищов, Сомовит, както и румънските Галац, </w:t>
      </w:r>
      <w:r w:rsidRPr="00327A61">
        <w:lastRenderedPageBreak/>
        <w:t xml:space="preserve">СБЗ – Гюргево и др. </w:t>
      </w:r>
      <w:bookmarkStart w:id="23" w:name="_Hlk506990187"/>
      <w:r w:rsidRPr="00327A61">
        <w:t>За определени услуги</w:t>
      </w:r>
      <w:r w:rsidR="00A06AD9" w:rsidRPr="00327A61">
        <w:t>,</w:t>
      </w:r>
      <w:r w:rsidRPr="00327A61">
        <w:t xml:space="preserve"> като складирането например, има конкуренти, както и клиенти, които изграждат собствени бази</w:t>
      </w:r>
      <w:bookmarkEnd w:id="23"/>
      <w:r w:rsidRPr="00327A61">
        <w:t>.</w:t>
      </w:r>
    </w:p>
    <w:p w:rsidR="006A52D1" w:rsidRPr="00327A61" w:rsidRDefault="006A52D1" w:rsidP="006A52D1">
      <w:pPr>
        <w:spacing w:after="120"/>
        <w:ind w:firstLine="709"/>
        <w:jc w:val="both"/>
      </w:pPr>
      <w:r w:rsidRPr="00327A61">
        <w:t xml:space="preserve">През 2017г. основното работещо звено в комплекса отново беше пристанищен терминал Русе-изток. По този начин гледната точка за конкуренцията е пречупена през тенденциите и влиянията за това пристанище. </w:t>
      </w:r>
    </w:p>
    <w:p w:rsidR="006A52D1" w:rsidRPr="00327A61" w:rsidRDefault="006A52D1" w:rsidP="006A52D1">
      <w:pPr>
        <w:spacing w:after="120"/>
        <w:ind w:firstLine="709"/>
        <w:jc w:val="both"/>
      </w:pPr>
      <w:r w:rsidRPr="00327A61">
        <w:rPr>
          <w:b/>
        </w:rPr>
        <w:t>Русе-изток е един от лидерите на пазара на пристанищни услуги в българския участък на р. Дунав</w:t>
      </w:r>
      <w:r w:rsidRPr="00327A61">
        <w:t xml:space="preserve">. На следваща позиция по капацитет е пристанище Лом. То е отдадено на концесия през 2013г. и обработва широка гама от товари – въглища, кокс, зърно, метали, торове и др. Пристанище Свищов, концесионирано през 2007г. също реализира големи обеми, но за него е специфична обработката на съществен тонаж инертни материали. </w:t>
      </w:r>
      <w:r w:rsidR="00A06AD9" w:rsidRPr="00327A61">
        <w:t xml:space="preserve">В </w:t>
      </w:r>
      <w:r w:rsidRPr="00327A61">
        <w:t>Сомовит</w:t>
      </w:r>
      <w:r w:rsidR="00A06AD9" w:rsidRPr="00327A61">
        <w:t xml:space="preserve"> се</w:t>
      </w:r>
      <w:r w:rsidRPr="00327A61">
        <w:t xml:space="preserve"> претоварва</w:t>
      </w:r>
      <w:r w:rsidR="00A06AD9" w:rsidRPr="00327A61">
        <w:t>т</w:t>
      </w:r>
      <w:r w:rsidRPr="00327A61">
        <w:t xml:space="preserve"> основно торове и зърно в размер на около 100 – 120 хил.тона годишно. </w:t>
      </w:r>
    </w:p>
    <w:p w:rsidR="00974AF0" w:rsidRPr="00327A61" w:rsidRDefault="006A52D1" w:rsidP="006A52D1">
      <w:pPr>
        <w:ind w:firstLine="709"/>
        <w:jc w:val="both"/>
      </w:pPr>
      <w:r w:rsidRPr="00327A61">
        <w:t>Както беше вече споменато, преки конкуренти за Русе-изток са Русе-запад и Булмаркет</w:t>
      </w:r>
      <w:r w:rsidR="005E7249" w:rsidRPr="00327A61">
        <w:t>.</w:t>
      </w:r>
    </w:p>
    <w:p w:rsidR="005E7249" w:rsidRPr="00327A61" w:rsidRDefault="005E7249" w:rsidP="005E7249">
      <w:pPr>
        <w:ind w:firstLine="709"/>
        <w:jc w:val="both"/>
      </w:pPr>
      <w:r w:rsidRPr="00327A61">
        <w:t xml:space="preserve"> </w:t>
      </w:r>
    </w:p>
    <w:p w:rsidR="009A792C" w:rsidRPr="00327A61" w:rsidRDefault="009A792C" w:rsidP="00DD76F5">
      <w:pPr>
        <w:numPr>
          <w:ilvl w:val="1"/>
          <w:numId w:val="6"/>
        </w:numPr>
        <w:tabs>
          <w:tab w:val="left" w:pos="1134"/>
        </w:tabs>
        <w:spacing w:before="120" w:after="120"/>
        <w:ind w:hanging="1091"/>
        <w:jc w:val="both"/>
        <w:rPr>
          <w:b/>
          <w:u w:val="single"/>
        </w:rPr>
      </w:pPr>
      <w:r w:rsidRPr="00327A61">
        <w:rPr>
          <w:b/>
          <w:u w:val="single"/>
        </w:rPr>
        <w:t>Маркетингова политика</w:t>
      </w:r>
    </w:p>
    <w:p w:rsidR="006A52D1" w:rsidRPr="00327A61" w:rsidRDefault="006A52D1" w:rsidP="006A52D1">
      <w:pPr>
        <w:spacing w:after="120"/>
        <w:ind w:firstLine="709"/>
        <w:jc w:val="both"/>
      </w:pPr>
      <w:r w:rsidRPr="00327A61">
        <w:t xml:space="preserve">Маркетинговата политика на </w:t>
      </w:r>
      <w:r w:rsidR="00A06AD9" w:rsidRPr="00327A61">
        <w:t>„</w:t>
      </w:r>
      <w:r w:rsidRPr="00327A61">
        <w:t>Пристанищен комплекс – Русе</w:t>
      </w:r>
      <w:r w:rsidR="00A06AD9" w:rsidRPr="00327A61">
        <w:t>“</w:t>
      </w:r>
      <w:r w:rsidRPr="00327A61">
        <w:t xml:space="preserve"> ЕАД за поредна година е фокусирана върху удовлетворяване изискванията на клиентите. </w:t>
      </w:r>
    </w:p>
    <w:p w:rsidR="006A52D1" w:rsidRPr="00327A61" w:rsidRDefault="006A52D1" w:rsidP="006A52D1">
      <w:pPr>
        <w:spacing w:after="120"/>
        <w:ind w:firstLine="709"/>
        <w:jc w:val="both"/>
      </w:pPr>
      <w:r w:rsidRPr="00327A61">
        <w:t>Традиционното анкетното проучване за степента на клиентската удовлетвореност (от 2017г.) за поредна година постави висока оценка на качеството на предоставяните услуги, както и на надеждността, с която контрагентите оценяват съвместната си работа с дружеството.</w:t>
      </w:r>
    </w:p>
    <w:p w:rsidR="006A52D1" w:rsidRPr="00327A61" w:rsidRDefault="006A52D1" w:rsidP="006A52D1">
      <w:pPr>
        <w:spacing w:after="120"/>
        <w:ind w:firstLine="709"/>
        <w:jc w:val="both"/>
      </w:pPr>
      <w:r w:rsidRPr="00327A61">
        <w:t>С оглед на постоянно засилващата се конкуренция в сектора на предлагане на пристанищни услуги в регион Русе, дружеството предприема мерки да задържи своите клиенти и привлече нови чрез прилагане на гъвкави ценови условия и услуги.</w:t>
      </w:r>
    </w:p>
    <w:p w:rsidR="006A52D1" w:rsidRPr="00327A61" w:rsidRDefault="006A52D1" w:rsidP="006A52D1">
      <w:pPr>
        <w:spacing w:after="120"/>
        <w:ind w:firstLine="709"/>
        <w:jc w:val="both"/>
      </w:pPr>
      <w:r w:rsidRPr="00327A61">
        <w:t>Що се отнася до предлаганите услуги, целите и плановете на дружеството за поредна година бяха фокусирани върху усъвършенстването на услуги с перспективи за развитие, търсене на възможности за увеличаване на закритата складова площ и др.</w:t>
      </w:r>
    </w:p>
    <w:p w:rsidR="006A52D1" w:rsidRPr="00327A61" w:rsidRDefault="006A52D1" w:rsidP="006A52D1">
      <w:pPr>
        <w:spacing w:after="120"/>
        <w:ind w:firstLine="709"/>
        <w:jc w:val="both"/>
      </w:pPr>
      <w:r w:rsidRPr="00327A61">
        <w:t>Рекламата и поддържането на добро ниво на информираност сред настоящите и потенциални клиенти се осъществява чрез следните канали:</w:t>
      </w:r>
    </w:p>
    <w:p w:rsidR="006A52D1" w:rsidRPr="00327A61" w:rsidRDefault="006A52D1" w:rsidP="006A52D1">
      <w:pPr>
        <w:spacing w:after="120"/>
        <w:ind w:firstLine="709"/>
        <w:jc w:val="both"/>
      </w:pPr>
      <w:r w:rsidRPr="00327A61">
        <w:t>Директна комуникация с клиентите;</w:t>
      </w:r>
    </w:p>
    <w:p w:rsidR="006A52D1" w:rsidRPr="00327A61" w:rsidRDefault="006A52D1" w:rsidP="006A52D1">
      <w:pPr>
        <w:spacing w:after="120"/>
        <w:ind w:firstLine="709"/>
        <w:jc w:val="both"/>
      </w:pPr>
      <w:r w:rsidRPr="00327A61">
        <w:t>Интернет страницата на дружеството;</w:t>
      </w:r>
    </w:p>
    <w:p w:rsidR="006A52D1" w:rsidRPr="00327A61" w:rsidRDefault="006A52D1" w:rsidP="006A52D1">
      <w:pPr>
        <w:spacing w:after="120"/>
        <w:ind w:firstLine="709"/>
        <w:jc w:val="both"/>
      </w:pPr>
      <w:r w:rsidRPr="00327A61">
        <w:t>Периодични публикации в местни и регионални печатни и електронни издания;</w:t>
      </w:r>
    </w:p>
    <w:p w:rsidR="006A52D1" w:rsidRPr="00327A61" w:rsidRDefault="006A52D1" w:rsidP="006A52D1">
      <w:pPr>
        <w:spacing w:after="120"/>
        <w:ind w:firstLine="709"/>
        <w:jc w:val="both"/>
      </w:pPr>
      <w:r w:rsidRPr="00327A61">
        <w:t>Ежегодно се изработват рекламни материали, които се разпространяват сред клиенти и бизнес контрагенти.</w:t>
      </w:r>
    </w:p>
    <w:p w:rsidR="0094550C" w:rsidRPr="00327A61" w:rsidRDefault="006A52D1" w:rsidP="006A52D1">
      <w:pPr>
        <w:spacing w:after="120"/>
        <w:ind w:firstLine="709"/>
        <w:jc w:val="both"/>
      </w:pPr>
      <w:r w:rsidRPr="00327A61">
        <w:t>През 2017г. дружеството периодично излъчваше публикации в различни  специализирани местни и международни издания, предоставяйки информация за предлаганите услуги и извършваните дейности. С оглед увеличаването на глобализационните процеси, все по-свободния международен поток от стоки и услуги, на това направление отново ще бъде обърнато специално внимание, с цел привличане на клиенти, които са извън зависимостите на локалния пазар на регион Русе</w:t>
      </w:r>
      <w:r w:rsidR="00BB15C8" w:rsidRPr="00327A61">
        <w:t xml:space="preserve">. </w:t>
      </w:r>
    </w:p>
    <w:p w:rsidR="00857F16" w:rsidRPr="00327A61" w:rsidRDefault="00857F16" w:rsidP="00DD76F5">
      <w:pPr>
        <w:numPr>
          <w:ilvl w:val="1"/>
          <w:numId w:val="6"/>
        </w:numPr>
        <w:tabs>
          <w:tab w:val="left" w:pos="1134"/>
        </w:tabs>
        <w:spacing w:after="120"/>
        <w:ind w:hanging="1091"/>
        <w:jc w:val="both"/>
        <w:rPr>
          <w:b/>
          <w:u w:val="single"/>
        </w:rPr>
      </w:pPr>
      <w:r w:rsidRPr="00327A61">
        <w:rPr>
          <w:b/>
          <w:u w:val="single"/>
        </w:rPr>
        <w:t xml:space="preserve"> ДОСТАВЧИЦИ - взаимоотношения и зависимост</w:t>
      </w:r>
    </w:p>
    <w:p w:rsidR="006A52D1" w:rsidRPr="006B289E" w:rsidRDefault="006A52D1" w:rsidP="006A52D1">
      <w:pPr>
        <w:spacing w:after="120"/>
        <w:ind w:firstLine="709"/>
        <w:jc w:val="both"/>
        <w:rPr>
          <w:lang w:val="en-US"/>
        </w:rPr>
      </w:pPr>
      <w:r w:rsidRPr="00327A61">
        <w:t xml:space="preserve">Нормалната дейност на </w:t>
      </w:r>
      <w:r w:rsidR="00A06AD9" w:rsidRPr="00327A61">
        <w:t>„</w:t>
      </w:r>
      <w:r w:rsidRPr="00327A61">
        <w:t>Пристанищен комплекс</w:t>
      </w:r>
      <w:r w:rsidR="00A06AD9" w:rsidRPr="00327A61">
        <w:t>–</w:t>
      </w:r>
      <w:r w:rsidRPr="00327A61">
        <w:t>Русе</w:t>
      </w:r>
      <w:r w:rsidR="00A06AD9" w:rsidRPr="00327A61">
        <w:t>“</w:t>
      </w:r>
      <w:r w:rsidRPr="00327A61">
        <w:t xml:space="preserve"> ЕАД изисква осъществяването на доставки на редица</w:t>
      </w:r>
      <w:r w:rsidRPr="00327A61">
        <w:rPr>
          <w:lang w:val="ru-RU"/>
        </w:rPr>
        <w:t xml:space="preserve"> стоки и услуги. </w:t>
      </w:r>
      <w:r w:rsidRPr="00327A61">
        <w:t xml:space="preserve">В комплекса изборът на доставчици се извършва съгласно „Вътрешните правила за контрол на разходите и паричните средства на търговското дружество”, приети от Съвета на директорите, които са съобразени с реда и условията на </w:t>
      </w:r>
      <w:r w:rsidRPr="00327A61">
        <w:lastRenderedPageBreak/>
        <w:t>Закона за обществените поръчки (ЗОП), Търговския закон и подзаконовите нормативни актове по прилагането му</w:t>
      </w:r>
      <w:r w:rsidR="006B289E">
        <w:rPr>
          <w:lang w:val="en-US"/>
        </w:rPr>
        <w:t>.</w:t>
      </w:r>
    </w:p>
    <w:p w:rsidR="00857F16" w:rsidRPr="00327A61" w:rsidRDefault="006A52D1" w:rsidP="006A52D1">
      <w:pPr>
        <w:spacing w:after="120"/>
        <w:ind w:firstLine="709"/>
        <w:jc w:val="both"/>
      </w:pPr>
      <w:r w:rsidRPr="00327A61">
        <w:t xml:space="preserve">Ключово значение за качеството на предоставяните услуги имат доставките на </w:t>
      </w:r>
      <w:r w:rsidRPr="00327A61">
        <w:rPr>
          <w:b/>
        </w:rPr>
        <w:t>електроенергия</w:t>
      </w:r>
      <w:r w:rsidRPr="00327A61">
        <w:t xml:space="preserve">, </w:t>
      </w:r>
      <w:r w:rsidRPr="00327A61">
        <w:rPr>
          <w:b/>
        </w:rPr>
        <w:t>резервни части и материали, гориво-смазочни материали, охрана</w:t>
      </w:r>
      <w:r w:rsidRPr="00327A61">
        <w:t xml:space="preserve"> и </w:t>
      </w:r>
      <w:r w:rsidRPr="00327A61">
        <w:rPr>
          <w:b/>
        </w:rPr>
        <w:t>комуникации</w:t>
      </w:r>
      <w:r w:rsidRPr="00327A61">
        <w:t>.</w:t>
      </w:r>
    </w:p>
    <w:p w:rsidR="000F1C5F" w:rsidRPr="00327A61" w:rsidRDefault="00576364" w:rsidP="00A06AD9">
      <w:pPr>
        <w:pStyle w:val="Heading2"/>
        <w:numPr>
          <w:ilvl w:val="4"/>
          <w:numId w:val="2"/>
        </w:numPr>
        <w:tabs>
          <w:tab w:val="num" w:pos="540"/>
          <w:tab w:val="left" w:pos="709"/>
        </w:tabs>
        <w:spacing w:before="240" w:after="120"/>
        <w:ind w:firstLine="709"/>
        <w:rPr>
          <w:rFonts w:ascii="Times New Roman" w:hAnsi="Times New Roman"/>
          <w:i/>
          <w:sz w:val="24"/>
          <w:u w:val="single"/>
        </w:rPr>
      </w:pPr>
      <w:bookmarkStart w:id="24" w:name="_Toc477959768"/>
      <w:r w:rsidRPr="00327A61">
        <w:rPr>
          <w:rFonts w:ascii="Times New Roman" w:hAnsi="Times New Roman"/>
          <w:i/>
          <w:sz w:val="24"/>
          <w:u w:val="single"/>
        </w:rPr>
        <w:t>4</w:t>
      </w:r>
      <w:r w:rsidR="009B762E" w:rsidRPr="00327A61">
        <w:rPr>
          <w:rFonts w:ascii="Times New Roman" w:hAnsi="Times New Roman"/>
          <w:i/>
          <w:sz w:val="24"/>
          <w:u w:val="single"/>
        </w:rPr>
        <w:t>)</w:t>
      </w:r>
      <w:r w:rsidR="005D2DC6" w:rsidRPr="00327A61">
        <w:rPr>
          <w:rFonts w:ascii="Times New Roman" w:hAnsi="Times New Roman"/>
          <w:i/>
          <w:sz w:val="24"/>
          <w:u w:val="single"/>
        </w:rPr>
        <w:t xml:space="preserve">  </w:t>
      </w:r>
      <w:r w:rsidR="000F1C5F" w:rsidRPr="00327A61">
        <w:rPr>
          <w:rFonts w:ascii="Times New Roman" w:hAnsi="Times New Roman"/>
          <w:i/>
          <w:smallCaps/>
          <w:sz w:val="24"/>
          <w:u w:val="single"/>
        </w:rPr>
        <w:t>Изпълнение на инвестиционната програма</w:t>
      </w:r>
      <w:bookmarkEnd w:id="19"/>
      <w:bookmarkEnd w:id="24"/>
    </w:p>
    <w:p w:rsidR="004924A1" w:rsidRPr="00327A61" w:rsidRDefault="004924A1" w:rsidP="00B7309E">
      <w:pPr>
        <w:spacing w:after="120"/>
        <w:ind w:firstLine="708"/>
        <w:jc w:val="both"/>
        <w:rPr>
          <w:b/>
        </w:rPr>
      </w:pPr>
      <w:r w:rsidRPr="00327A61">
        <w:rPr>
          <w:b/>
        </w:rPr>
        <w:t xml:space="preserve">Всички инвестиции и дейности по поддръжка </w:t>
      </w:r>
      <w:r w:rsidR="00EE1AE5" w:rsidRPr="00327A61">
        <w:rPr>
          <w:b/>
        </w:rPr>
        <w:t xml:space="preserve">се изпълняват </w:t>
      </w:r>
      <w:r w:rsidRPr="00327A61">
        <w:rPr>
          <w:b/>
        </w:rPr>
        <w:t>със собствени средства</w:t>
      </w:r>
      <w:r w:rsidR="00EE1AE5" w:rsidRPr="00327A61">
        <w:rPr>
          <w:b/>
        </w:rPr>
        <w:t xml:space="preserve"> на дружеството</w:t>
      </w:r>
      <w:r w:rsidR="00876902" w:rsidRPr="00327A61">
        <w:rPr>
          <w:b/>
        </w:rPr>
        <w:t>.</w:t>
      </w:r>
    </w:p>
    <w:p w:rsidR="006A52D1" w:rsidRPr="00327A61" w:rsidRDefault="006A52D1" w:rsidP="006A52D1">
      <w:pPr>
        <w:spacing w:after="120"/>
        <w:ind w:firstLine="708"/>
      </w:pPr>
      <w:r w:rsidRPr="00327A61">
        <w:rPr>
          <w:b/>
        </w:rPr>
        <w:t>Общо инвестициите през 2017г. в нова техника и технологии възлизат на</w:t>
      </w:r>
      <w:r w:rsidRPr="00327A61">
        <w:t xml:space="preserve"> </w:t>
      </w:r>
      <w:r w:rsidRPr="00327A61">
        <w:rPr>
          <w:b/>
        </w:rPr>
        <w:t>7</w:t>
      </w:r>
      <w:r w:rsidR="00F7034A" w:rsidRPr="00327A61">
        <w:rPr>
          <w:b/>
        </w:rPr>
        <w:t xml:space="preserve"> </w:t>
      </w:r>
      <w:r w:rsidRPr="00327A61">
        <w:rPr>
          <w:b/>
        </w:rPr>
        <w:t xml:space="preserve">хил.лв. </w:t>
      </w:r>
      <w:r w:rsidRPr="00327A61">
        <w:t xml:space="preserve"> Те са обезпечили закупуването на:</w:t>
      </w:r>
    </w:p>
    <w:p w:rsidR="006A52D1" w:rsidRPr="00327A61" w:rsidRDefault="006A52D1" w:rsidP="00DD76F5">
      <w:pPr>
        <w:pStyle w:val="BodyTextIndent"/>
        <w:numPr>
          <w:ilvl w:val="0"/>
          <w:numId w:val="11"/>
        </w:numPr>
        <w:tabs>
          <w:tab w:val="left" w:pos="0"/>
        </w:tabs>
        <w:spacing w:before="120" w:after="120"/>
        <w:ind w:left="1418" w:hanging="284"/>
      </w:pPr>
      <w:r w:rsidRPr="00327A61">
        <w:t>Нов сървър за управлението – 5 хил.лв.;</w:t>
      </w:r>
    </w:p>
    <w:p w:rsidR="006A52D1" w:rsidRPr="00327A61" w:rsidRDefault="006A52D1" w:rsidP="00DD76F5">
      <w:pPr>
        <w:pStyle w:val="BodyTextIndent"/>
        <w:numPr>
          <w:ilvl w:val="0"/>
          <w:numId w:val="11"/>
        </w:numPr>
        <w:tabs>
          <w:tab w:val="left" w:pos="0"/>
        </w:tabs>
        <w:spacing w:before="120" w:after="120"/>
        <w:ind w:left="1418" w:hanging="284"/>
      </w:pPr>
      <w:r w:rsidRPr="00327A61">
        <w:t>Климатични системи и на стопански инвентар (с по-ниска единична стойност) – 2 хил. лв.;</w:t>
      </w:r>
    </w:p>
    <w:p w:rsidR="006A52D1" w:rsidRPr="00327A61" w:rsidRDefault="006A52D1" w:rsidP="006A52D1">
      <w:pPr>
        <w:pStyle w:val="BodyTextIndent"/>
        <w:tabs>
          <w:tab w:val="left" w:pos="0"/>
        </w:tabs>
        <w:spacing w:before="120" w:after="120"/>
        <w:ind w:firstLine="709"/>
      </w:pPr>
      <w:r w:rsidRPr="00327A61">
        <w:t xml:space="preserve">По отношение на изразходваните средства за планови и аварийни ремонти, и поддръжка на техниката и съоръженията, към края на 2017г. те достигат </w:t>
      </w:r>
      <w:r w:rsidR="000D5C00" w:rsidRPr="00327A61">
        <w:rPr>
          <w:b/>
        </w:rPr>
        <w:t>88</w:t>
      </w:r>
      <w:r w:rsidRPr="00327A61">
        <w:rPr>
          <w:b/>
        </w:rPr>
        <w:t xml:space="preserve"> хил.лв. От тях 58 хил.лв. са ремонт и възстановяване на портални кранове, пострадали от летните бури, разразили се в региона през месец юли.</w:t>
      </w:r>
    </w:p>
    <w:p w:rsidR="006A52D1" w:rsidRPr="00327A61" w:rsidRDefault="006A52D1" w:rsidP="006A52D1">
      <w:pPr>
        <w:spacing w:after="120"/>
        <w:jc w:val="both"/>
      </w:pPr>
      <w:r w:rsidRPr="00327A61">
        <w:t xml:space="preserve"> </w:t>
      </w:r>
      <w:r w:rsidRPr="00327A61">
        <w:tab/>
        <w:t>Съгласно сключения договор от 26.09.2006 г. с МТИТС, задължението по</w:t>
      </w:r>
      <w:r w:rsidRPr="00327A61">
        <w:rPr>
          <w:b/>
        </w:rPr>
        <w:t xml:space="preserve"> „</w:t>
      </w:r>
      <w:r w:rsidRPr="00327A61">
        <w:t xml:space="preserve">Програма за ремонт и рехабилитация на ДМА-публична държавна собственост към ДП „Пристанищна инфраструктура“ </w:t>
      </w:r>
      <w:r w:rsidRPr="00327A61">
        <w:rPr>
          <w:b/>
        </w:rPr>
        <w:t>за 2017 г.</w:t>
      </w:r>
      <w:r w:rsidRPr="00327A61">
        <w:t xml:space="preserve"> на „Пристанищен комплекс- Русе“ ЕАД“ възлиза на </w:t>
      </w:r>
      <w:r w:rsidRPr="00327A61">
        <w:rPr>
          <w:b/>
        </w:rPr>
        <w:t>185 хил. лв.</w:t>
      </w:r>
      <w:r w:rsidRPr="00327A61">
        <w:t xml:space="preserve"> </w:t>
      </w:r>
    </w:p>
    <w:p w:rsidR="006A52D1" w:rsidRPr="00327A61" w:rsidRDefault="006A52D1" w:rsidP="006A52D1">
      <w:pPr>
        <w:spacing w:after="120"/>
        <w:jc w:val="both"/>
      </w:pPr>
      <w:r w:rsidRPr="00327A61">
        <w:tab/>
        <w:t>В началото на годината дружеството довърши проект от 2016 г., като част от него в размер на 28 хил. лв. са в изпълнение на задълженията за 2017 г.</w:t>
      </w:r>
    </w:p>
    <w:p w:rsidR="006A52D1" w:rsidRPr="00327A61" w:rsidRDefault="006A52D1" w:rsidP="006A52D1">
      <w:pPr>
        <w:spacing w:after="120"/>
        <w:jc w:val="both"/>
      </w:pPr>
      <w:r w:rsidRPr="00327A61">
        <w:tab/>
        <w:t>Други четири обекта бяха завършени за поддръжка на инфраструктурата в пристанищен терминал Русе-изток, както следва:</w:t>
      </w:r>
    </w:p>
    <w:p w:rsidR="006A52D1" w:rsidRPr="00327A61" w:rsidRDefault="006A52D1" w:rsidP="00DD76F5">
      <w:pPr>
        <w:pStyle w:val="ListParagraph"/>
        <w:numPr>
          <w:ilvl w:val="0"/>
          <w:numId w:val="10"/>
        </w:numPr>
        <w:spacing w:after="120"/>
        <w:ind w:left="993" w:firstLine="141"/>
        <w:jc w:val="both"/>
      </w:pPr>
      <w:r w:rsidRPr="00327A61">
        <w:t>Авариен ремонт на водопровод на стойност 4 хил.лв.;</w:t>
      </w:r>
    </w:p>
    <w:p w:rsidR="006A52D1" w:rsidRPr="00327A61" w:rsidRDefault="006A52D1" w:rsidP="00DD76F5">
      <w:pPr>
        <w:pStyle w:val="ListParagraph"/>
        <w:numPr>
          <w:ilvl w:val="0"/>
          <w:numId w:val="10"/>
        </w:numPr>
        <w:spacing w:after="120"/>
        <w:ind w:left="993" w:firstLine="141"/>
        <w:jc w:val="both"/>
      </w:pPr>
      <w:r w:rsidRPr="00327A61">
        <w:t xml:space="preserve">Ремонт и възстановяване на асфалтова настилка пред административна сграда, на </w:t>
      </w:r>
      <w:r w:rsidR="00F7034A" w:rsidRPr="00327A61">
        <w:t>с</w:t>
      </w:r>
      <w:r w:rsidRPr="00327A61">
        <w:t>тойност 47 хил.лв.;</w:t>
      </w:r>
    </w:p>
    <w:p w:rsidR="006A52D1" w:rsidRPr="00327A61" w:rsidRDefault="006A52D1" w:rsidP="00DD76F5">
      <w:pPr>
        <w:pStyle w:val="ListParagraph"/>
        <w:numPr>
          <w:ilvl w:val="0"/>
          <w:numId w:val="10"/>
        </w:numPr>
        <w:spacing w:after="120"/>
        <w:ind w:left="993" w:firstLine="141"/>
        <w:jc w:val="both"/>
      </w:pPr>
      <w:r w:rsidRPr="00327A61">
        <w:t>Ремонт на подкранов път северен кей, на стойност 50 хил.лв.;</w:t>
      </w:r>
    </w:p>
    <w:p w:rsidR="006A52D1" w:rsidRPr="00327A61" w:rsidRDefault="006A52D1" w:rsidP="00DD76F5">
      <w:pPr>
        <w:pStyle w:val="ListParagraph"/>
        <w:numPr>
          <w:ilvl w:val="0"/>
          <w:numId w:val="10"/>
        </w:numPr>
        <w:spacing w:after="120"/>
        <w:ind w:left="993" w:firstLine="141"/>
        <w:jc w:val="both"/>
      </w:pPr>
      <w:r w:rsidRPr="00327A61">
        <w:t>Аварийно възстановяване на поражения по покривната част на „Склад за високо износни товари“ на стойност 8 хил.лв.;</w:t>
      </w:r>
    </w:p>
    <w:p w:rsidR="006A52D1" w:rsidRPr="00327A61" w:rsidRDefault="006A52D1" w:rsidP="006A52D1">
      <w:pPr>
        <w:spacing w:after="120"/>
        <w:ind w:firstLine="708"/>
        <w:jc w:val="both"/>
      </w:pPr>
      <w:r w:rsidRPr="00327A61">
        <w:t>За изминалата година дружеството има започнат, но не е завършен, съответно разплатен проект за Ремонт и възстановяване на стълби на вертикални кейови стени на лимана и стълби на наклонена стена на северен кей, на стойност 49 хил.лв. С изпълнението и на този обект, програмата за 2017 г. ще бъде изпълнена.</w:t>
      </w:r>
      <w:bookmarkStart w:id="25" w:name="_Toc477959769"/>
    </w:p>
    <w:p w:rsidR="006A52D1" w:rsidRPr="00327A61" w:rsidRDefault="006A52D1" w:rsidP="008B1B86">
      <w:pPr>
        <w:spacing w:after="120"/>
        <w:ind w:firstLine="708"/>
        <w:jc w:val="center"/>
        <w:rPr>
          <w:b/>
          <w:i/>
          <w:u w:val="single"/>
        </w:rPr>
      </w:pPr>
      <w:r w:rsidRPr="00327A61">
        <w:rPr>
          <w:b/>
          <w:i/>
          <w:u w:val="single"/>
        </w:rPr>
        <w:t xml:space="preserve">5) </w:t>
      </w:r>
      <w:r w:rsidRPr="00327A61">
        <w:rPr>
          <w:b/>
          <w:i/>
          <w:smallCaps/>
          <w:u w:val="single"/>
        </w:rPr>
        <w:t>Основни проблеми и рискове през 2017</w:t>
      </w:r>
      <w:r w:rsidRPr="00327A61">
        <w:rPr>
          <w:b/>
          <w:i/>
          <w:u w:val="single"/>
        </w:rPr>
        <w:t xml:space="preserve"> г.</w:t>
      </w:r>
      <w:bookmarkEnd w:id="25"/>
    </w:p>
    <w:p w:rsidR="006A52D1" w:rsidRPr="00327A61" w:rsidRDefault="006A52D1" w:rsidP="006A52D1">
      <w:pPr>
        <w:keepNext/>
        <w:spacing w:before="120" w:after="60"/>
        <w:ind w:firstLine="709"/>
        <w:jc w:val="both"/>
        <w:outlineLvl w:val="2"/>
        <w:rPr>
          <w:rFonts w:eastAsia="Times New Roman"/>
          <w:lang w:eastAsia="bg-BG"/>
        </w:rPr>
      </w:pPr>
      <w:bookmarkStart w:id="26" w:name="_Toc351636026"/>
      <w:bookmarkStart w:id="27" w:name="_Toc351719434"/>
      <w:bookmarkStart w:id="28" w:name="_Toc351721980"/>
      <w:bookmarkStart w:id="29" w:name="_Toc382904554"/>
      <w:bookmarkStart w:id="30" w:name="_Toc382904673"/>
      <w:bookmarkStart w:id="31" w:name="_Toc477959770"/>
      <w:r w:rsidRPr="00327A61">
        <w:rPr>
          <w:rFonts w:eastAsia="Times New Roman"/>
          <w:bCs/>
          <w:lang w:eastAsia="bg-BG"/>
        </w:rPr>
        <w:t xml:space="preserve">През изминалата 2017 г. </w:t>
      </w:r>
      <w:r w:rsidR="008B1B86" w:rsidRPr="00327A61">
        <w:rPr>
          <w:rFonts w:eastAsia="Times New Roman"/>
          <w:bCs/>
          <w:lang w:eastAsia="bg-BG"/>
        </w:rPr>
        <w:t>„</w:t>
      </w:r>
      <w:r w:rsidRPr="00327A61">
        <w:rPr>
          <w:rFonts w:eastAsia="Times New Roman"/>
          <w:bCs/>
          <w:lang w:eastAsia="bg-BG"/>
        </w:rPr>
        <w:t>Пристанищен комплекс–Русе</w:t>
      </w:r>
      <w:r w:rsidR="008B1B86" w:rsidRPr="00327A61">
        <w:rPr>
          <w:rFonts w:eastAsia="Times New Roman"/>
          <w:bCs/>
          <w:lang w:eastAsia="bg-BG"/>
        </w:rPr>
        <w:t xml:space="preserve">“ </w:t>
      </w:r>
      <w:r w:rsidRPr="00327A61">
        <w:rPr>
          <w:rFonts w:eastAsia="Times New Roman"/>
          <w:bCs/>
          <w:lang w:eastAsia="bg-BG"/>
        </w:rPr>
        <w:t>ЕАД бе изправено пред решаването на проблеми от различно естество</w:t>
      </w:r>
      <w:r w:rsidRPr="00327A61">
        <w:rPr>
          <w:rFonts w:eastAsia="Times New Roman"/>
          <w:lang w:eastAsia="bg-BG"/>
        </w:rPr>
        <w:t>:</w:t>
      </w:r>
      <w:bookmarkEnd w:id="26"/>
      <w:bookmarkEnd w:id="27"/>
      <w:bookmarkEnd w:id="28"/>
      <w:bookmarkEnd w:id="29"/>
      <w:bookmarkEnd w:id="30"/>
      <w:bookmarkEnd w:id="31"/>
    </w:p>
    <w:p w:rsidR="006A52D1" w:rsidRPr="00327A61" w:rsidRDefault="006A52D1" w:rsidP="00DD76F5">
      <w:pPr>
        <w:numPr>
          <w:ilvl w:val="0"/>
          <w:numId w:val="4"/>
        </w:numPr>
        <w:tabs>
          <w:tab w:val="left" w:pos="993"/>
        </w:tabs>
        <w:spacing w:after="120"/>
        <w:ind w:left="0" w:firstLine="709"/>
        <w:jc w:val="both"/>
        <w:rPr>
          <w:rFonts w:eastAsia="Times New Roman"/>
          <w:lang w:eastAsia="bg-BG"/>
        </w:rPr>
      </w:pPr>
      <w:r w:rsidRPr="00327A61">
        <w:rPr>
          <w:rFonts w:eastAsia="Times New Roman"/>
          <w:b/>
          <w:lang w:eastAsia="bg-BG"/>
        </w:rPr>
        <w:t>Работа в пазарна ниша, която за поредна година не отчете изразителен растеж.</w:t>
      </w:r>
      <w:r w:rsidRPr="00327A61">
        <w:rPr>
          <w:rFonts w:eastAsia="Times New Roman"/>
          <w:lang w:eastAsia="bg-BG"/>
        </w:rPr>
        <w:t xml:space="preserve"> През годината единственият регулярно работещ товарен терминал в рамките на комплекса отново бе Русе-изток. Въпреки големия си капацитет, той не може да бъде експлоатиран с пълната си натовареност поради занижените в следкризисните години доставки на товари за обработка и складиране. Може да се каже, че съобразно икономическата обстановка, към </w:t>
      </w:r>
      <w:r w:rsidRPr="00327A61">
        <w:rPr>
          <w:rFonts w:eastAsia="Times New Roman"/>
          <w:lang w:eastAsia="bg-BG"/>
        </w:rPr>
        <w:lastRenderedPageBreak/>
        <w:t>момента той работи с оптимална натовареност. Развиването на дейност в една ниша, която не демонстрира осезаем растеж, предполага насочване на конкурентния натиск към преразпределяне на пазарни дялове. Дружеството развива дейност в силната конкуренция на един терминал с национално и два порта с регионално значение на територията на Русе. По-малкия капацитет на останалите, съчетан с редуцираните по обем доставки на товари ги поставя в едно по-благоприятно пазарно положение, поради по-ниския обем експлоатационни разходи спрямо големия терминал Русе-изток.</w:t>
      </w:r>
    </w:p>
    <w:p w:rsidR="006A52D1" w:rsidRPr="00327A61" w:rsidRDefault="006A52D1" w:rsidP="00DD76F5">
      <w:pPr>
        <w:numPr>
          <w:ilvl w:val="0"/>
          <w:numId w:val="4"/>
        </w:numPr>
        <w:tabs>
          <w:tab w:val="left" w:pos="993"/>
        </w:tabs>
        <w:spacing w:after="120"/>
        <w:ind w:left="0" w:firstLine="709"/>
        <w:jc w:val="both"/>
        <w:rPr>
          <w:rFonts w:eastAsia="Times New Roman"/>
          <w:b/>
          <w:lang w:eastAsia="bg-BG"/>
        </w:rPr>
      </w:pPr>
      <w:r w:rsidRPr="00327A61">
        <w:rPr>
          <w:rFonts w:eastAsia="Times New Roman"/>
          <w:b/>
          <w:lang w:eastAsia="bg-BG"/>
        </w:rPr>
        <w:t xml:space="preserve">Дейността на дружеството е неизменно съпътствана от потенциалния проблем с неблагоприятните хидрометеорологични условия по Дунав. </w:t>
      </w:r>
      <w:r w:rsidRPr="00327A61">
        <w:rPr>
          <w:rFonts w:eastAsia="Times New Roman"/>
          <w:lang w:eastAsia="bg-BG"/>
        </w:rPr>
        <w:t>Ледоход, ледостой, маловодие и образуване на речни прагове съпътстват корабоплаването по реката и са предпоставка за нарушаване ритмичността на доставките на товари в основния товарен порт дружеството – Русе-изток.</w:t>
      </w:r>
    </w:p>
    <w:p w:rsidR="003D0207" w:rsidRPr="00327A61" w:rsidRDefault="006A52D1" w:rsidP="00DD76F5">
      <w:pPr>
        <w:keepNext/>
        <w:numPr>
          <w:ilvl w:val="0"/>
          <w:numId w:val="4"/>
        </w:numPr>
        <w:tabs>
          <w:tab w:val="left" w:pos="993"/>
        </w:tabs>
        <w:spacing w:after="120"/>
        <w:ind w:left="0" w:firstLine="709"/>
        <w:jc w:val="both"/>
        <w:outlineLvl w:val="2"/>
        <w:rPr>
          <w:rFonts w:eastAsia="Times New Roman"/>
          <w:lang w:eastAsia="bg-BG"/>
        </w:rPr>
      </w:pPr>
      <w:r w:rsidRPr="00327A61">
        <w:rPr>
          <w:rFonts w:eastAsia="Times New Roman"/>
          <w:b/>
          <w:lang w:eastAsia="bg-BG"/>
        </w:rPr>
        <w:t xml:space="preserve">„Пристанищен комплекс–Русе“ ЕАД през последните години традиционно използва в дейността си остаряла инфраструктура и техника. </w:t>
      </w:r>
      <w:r w:rsidRPr="00327A61">
        <w:rPr>
          <w:rFonts w:eastAsia="Times New Roman"/>
          <w:lang w:eastAsia="bg-BG"/>
        </w:rPr>
        <w:t>Редовното изпълнение на годишната инвестиционна програма на дружеството към ДП „Пристанищна инфраструктура“ на практика покрива извършването на най-належащите дейности по ремонт и рехабилитация на инфраструктурните обекти. Липсата на достатъчно финансов ресурс за вземане на важни инвестиционни решения въпреки големия капацитет на терминал Русе – изток (например обособяване на специализирани терминали за обработка на контейнеризирани товари, зърно и други), на моменти възпрепятства комплекса да отговори своевременно на нуждите на своите клиенти и да им предложи нови продуктови решения</w:t>
      </w:r>
      <w:r w:rsidR="00196B2D" w:rsidRPr="00327A61">
        <w:rPr>
          <w:rFonts w:eastAsia="Times New Roman"/>
          <w:lang w:eastAsia="bg-BG"/>
        </w:rPr>
        <w:t>.</w:t>
      </w:r>
    </w:p>
    <w:p w:rsidR="007E25B8" w:rsidRPr="00327A61" w:rsidRDefault="007E25B8" w:rsidP="007E25B8">
      <w:pPr>
        <w:keepNext/>
        <w:tabs>
          <w:tab w:val="left" w:pos="993"/>
        </w:tabs>
        <w:spacing w:after="120"/>
        <w:ind w:left="709"/>
        <w:jc w:val="both"/>
        <w:outlineLvl w:val="2"/>
        <w:rPr>
          <w:rFonts w:eastAsia="Times New Roman"/>
          <w:lang w:eastAsia="bg-BG"/>
        </w:rPr>
      </w:pPr>
    </w:p>
    <w:p w:rsidR="00B9618A" w:rsidRPr="00327A61" w:rsidRDefault="00B9618A" w:rsidP="00DD76F5">
      <w:pPr>
        <w:pStyle w:val="Heading1"/>
        <w:numPr>
          <w:ilvl w:val="0"/>
          <w:numId w:val="2"/>
        </w:numPr>
        <w:spacing w:after="120"/>
        <w:ind w:left="714" w:hanging="357"/>
        <w:jc w:val="center"/>
        <w:rPr>
          <w:rFonts w:ascii="Times New Roman" w:hAnsi="Times New Roman"/>
          <w:sz w:val="24"/>
        </w:rPr>
      </w:pPr>
      <w:bookmarkStart w:id="32" w:name="_Toc288478113"/>
      <w:bookmarkStart w:id="33" w:name="_Toc477959771"/>
      <w:r w:rsidRPr="00327A61">
        <w:rPr>
          <w:rFonts w:ascii="Times New Roman" w:hAnsi="Times New Roman"/>
          <w:sz w:val="24"/>
        </w:rPr>
        <w:t>ФИНАНСОВ АНАЛИЗ</w:t>
      </w:r>
      <w:bookmarkEnd w:id="32"/>
      <w:bookmarkEnd w:id="33"/>
    </w:p>
    <w:p w:rsidR="00A97CF7" w:rsidRPr="00327A61" w:rsidRDefault="0073770F" w:rsidP="0073770F">
      <w:pPr>
        <w:pStyle w:val="Heading2"/>
        <w:numPr>
          <w:ilvl w:val="1"/>
          <w:numId w:val="2"/>
        </w:numPr>
        <w:tabs>
          <w:tab w:val="num" w:pos="540"/>
        </w:tabs>
        <w:spacing w:after="240"/>
        <w:rPr>
          <w:rFonts w:ascii="Times New Roman" w:hAnsi="Times New Roman"/>
          <w:i/>
          <w:smallCaps/>
          <w:sz w:val="24"/>
          <w:u w:val="single"/>
        </w:rPr>
      </w:pPr>
      <w:bookmarkStart w:id="34" w:name="_Toc288478114"/>
      <w:bookmarkStart w:id="35" w:name="_Toc477959772"/>
      <w:r w:rsidRPr="00327A61">
        <w:rPr>
          <w:rFonts w:ascii="Times New Roman" w:hAnsi="Times New Roman"/>
          <w:smallCaps/>
          <w:sz w:val="24"/>
        </w:rPr>
        <w:t>1)</w:t>
      </w:r>
      <w:r w:rsidRPr="00327A61">
        <w:rPr>
          <w:rFonts w:ascii="Times New Roman" w:hAnsi="Times New Roman"/>
          <w:b w:val="0"/>
          <w:smallCaps/>
          <w:sz w:val="24"/>
        </w:rPr>
        <w:t xml:space="preserve"> </w:t>
      </w:r>
      <w:r w:rsidR="00474D2B" w:rsidRPr="00327A61">
        <w:rPr>
          <w:rFonts w:ascii="Times New Roman" w:hAnsi="Times New Roman"/>
          <w:i/>
          <w:smallCaps/>
          <w:sz w:val="24"/>
          <w:u w:val="single"/>
        </w:rPr>
        <w:t>Финансови резултати от дейността</w:t>
      </w:r>
      <w:bookmarkEnd w:id="34"/>
      <w:bookmarkEnd w:id="35"/>
    </w:p>
    <w:p w:rsidR="009F323F" w:rsidRPr="00364BFE" w:rsidRDefault="00B7309E" w:rsidP="00E2549B">
      <w:pPr>
        <w:spacing w:after="120"/>
        <w:ind w:firstLine="709"/>
        <w:jc w:val="both"/>
      </w:pPr>
      <w:bookmarkStart w:id="36" w:name="_Hlk506992597"/>
      <w:r w:rsidRPr="00364BFE">
        <w:rPr>
          <w:b/>
        </w:rPr>
        <w:t>„</w:t>
      </w:r>
      <w:r w:rsidR="00B25D8E" w:rsidRPr="00364BFE">
        <w:rPr>
          <w:b/>
        </w:rPr>
        <w:t>Пристанищен комплекс – Русе</w:t>
      </w:r>
      <w:r w:rsidRPr="00364BFE">
        <w:rPr>
          <w:b/>
        </w:rPr>
        <w:t>“</w:t>
      </w:r>
      <w:r w:rsidR="00B25D8E" w:rsidRPr="00364BFE">
        <w:rPr>
          <w:b/>
        </w:rPr>
        <w:t xml:space="preserve"> ЕАД приключва 20</w:t>
      </w:r>
      <w:r w:rsidR="00F840A3" w:rsidRPr="00364BFE">
        <w:rPr>
          <w:b/>
          <w:lang w:val="ru-RU"/>
        </w:rPr>
        <w:t>1</w:t>
      </w:r>
      <w:r w:rsidR="000B6A2B" w:rsidRPr="00364BFE">
        <w:rPr>
          <w:b/>
        </w:rPr>
        <w:t>7</w:t>
      </w:r>
      <w:r w:rsidR="00B25D8E" w:rsidRPr="00364BFE">
        <w:rPr>
          <w:b/>
        </w:rPr>
        <w:t xml:space="preserve"> г. с</w:t>
      </w:r>
      <w:r w:rsidR="00B25D8E" w:rsidRPr="00364BFE">
        <w:t xml:space="preserve"> </w:t>
      </w:r>
      <w:r w:rsidR="000B6A2B" w:rsidRPr="00364BFE">
        <w:rPr>
          <w:b/>
        </w:rPr>
        <w:t>600</w:t>
      </w:r>
      <w:r w:rsidR="00B25D8E" w:rsidRPr="00364BFE">
        <w:rPr>
          <w:b/>
        </w:rPr>
        <w:t xml:space="preserve"> хил. лв. счетоводна печалба</w:t>
      </w:r>
      <w:r w:rsidR="000B6A2B" w:rsidRPr="00364BFE">
        <w:t>, при 1028 хил.лв. за 2016г. /-42%/.</w:t>
      </w:r>
    </w:p>
    <w:p w:rsidR="002C2E66" w:rsidRDefault="002C2E66" w:rsidP="00E2549B">
      <w:pPr>
        <w:spacing w:after="120"/>
        <w:ind w:firstLine="709"/>
        <w:jc w:val="both"/>
        <w:rPr>
          <w:i/>
        </w:rPr>
      </w:pPr>
      <w:r w:rsidRPr="00364BFE">
        <w:rPr>
          <w:i/>
        </w:rPr>
        <w:t xml:space="preserve">За спада в основните резултати от дейността спрямо предходната година и заложените в бизнес плана очаквания, изключително силно влияние оказаха неблагоприятните метеорологични условия през първите два месеца на годината. В следствие на трайните изключително ниски температури, през месец януари 2017 г. по </w:t>
      </w:r>
      <w:r w:rsidR="00E36AE7" w:rsidRPr="00364BFE">
        <w:rPr>
          <w:i/>
        </w:rPr>
        <w:t>р.</w:t>
      </w:r>
      <w:r w:rsidRPr="00364BFE">
        <w:rPr>
          <w:i/>
        </w:rPr>
        <w:t>Дунав се появи силен ледоход, който доведе до временно преустановяване на корабоплаването в българския участък. В последствие реката замръзна при град Русе. Студеното време продължи и през първата десетдневка на февруари, като изключително много затрудни логистиката на товарите. Така за определен период корабната работа бе преустановена поради липсата на съдове, като се извършваше единствено сухопътна обработка</w:t>
      </w:r>
      <w:bookmarkEnd w:id="36"/>
      <w:r w:rsidRPr="00364BFE">
        <w:rPr>
          <w:i/>
        </w:rPr>
        <w:t>.</w:t>
      </w:r>
    </w:p>
    <w:p w:rsidR="00FB42B8" w:rsidRPr="00327A61" w:rsidRDefault="009F323F" w:rsidP="001D1196">
      <w:pPr>
        <w:pStyle w:val="BodyTextIndent"/>
        <w:spacing w:after="240"/>
        <w:ind w:firstLine="709"/>
      </w:pPr>
      <w:bookmarkStart w:id="37" w:name="_Hlk506993160"/>
      <w:r w:rsidRPr="00327A61">
        <w:t>През 201</w:t>
      </w:r>
      <w:r w:rsidR="002C2E66" w:rsidRPr="00327A61">
        <w:t>7</w:t>
      </w:r>
      <w:r w:rsidRPr="00327A61">
        <w:t xml:space="preserve"> г. бяха реализирани </w:t>
      </w:r>
      <w:r w:rsidR="002C2E66" w:rsidRPr="00327A61">
        <w:rPr>
          <w:i/>
          <w:u w:val="single"/>
        </w:rPr>
        <w:t>5 414</w:t>
      </w:r>
      <w:r w:rsidR="00E9169E" w:rsidRPr="00327A61">
        <w:rPr>
          <w:i/>
          <w:u w:val="single"/>
        </w:rPr>
        <w:t xml:space="preserve"> </w:t>
      </w:r>
      <w:r w:rsidRPr="00327A61">
        <w:rPr>
          <w:i/>
          <w:u w:val="single"/>
        </w:rPr>
        <w:t>хил.лв. нетни приходи от продажби</w:t>
      </w:r>
      <w:r w:rsidR="00FB42B8" w:rsidRPr="00327A61">
        <w:rPr>
          <w:b/>
        </w:rPr>
        <w:t xml:space="preserve">, </w:t>
      </w:r>
      <w:r w:rsidR="00FB42B8" w:rsidRPr="00327A61">
        <w:t>като това е</w:t>
      </w:r>
      <w:r w:rsidR="00844C3C" w:rsidRPr="00327A61">
        <w:t xml:space="preserve"> </w:t>
      </w:r>
      <w:r w:rsidR="005154E7" w:rsidRPr="00327A61">
        <w:t>спад от</w:t>
      </w:r>
      <w:r w:rsidR="00844C3C" w:rsidRPr="00327A61">
        <w:t xml:space="preserve"> </w:t>
      </w:r>
      <w:r w:rsidR="002C2E66" w:rsidRPr="00327A61">
        <w:t>-14</w:t>
      </w:r>
      <w:r w:rsidR="005154E7" w:rsidRPr="00327A61">
        <w:t>,</w:t>
      </w:r>
      <w:r w:rsidR="002C2E66" w:rsidRPr="00327A61">
        <w:t>9</w:t>
      </w:r>
      <w:r w:rsidR="005154E7" w:rsidRPr="00327A61">
        <w:t xml:space="preserve"> % </w:t>
      </w:r>
      <w:r w:rsidR="00844C3C" w:rsidRPr="00327A61">
        <w:t xml:space="preserve">спрямо </w:t>
      </w:r>
      <w:r w:rsidR="00FB42B8" w:rsidRPr="00327A61">
        <w:t>2016</w:t>
      </w:r>
      <w:r w:rsidR="00844C3C" w:rsidRPr="00327A61">
        <w:t xml:space="preserve"> </w:t>
      </w:r>
      <w:r w:rsidR="00FB42B8" w:rsidRPr="00327A61">
        <w:t>г</w:t>
      </w:r>
      <w:r w:rsidR="00844C3C" w:rsidRPr="00327A61">
        <w:t>.</w:t>
      </w:r>
      <w:r w:rsidR="005154E7" w:rsidRPr="00327A61">
        <w:t xml:space="preserve"> </w:t>
      </w:r>
      <w:r w:rsidR="00FB42B8" w:rsidRPr="00327A61">
        <w:t>В същото време р</w:t>
      </w:r>
      <w:r w:rsidR="00844C3C" w:rsidRPr="00327A61">
        <w:t xml:space="preserve">азходите за икономически елементи </w:t>
      </w:r>
      <w:r w:rsidR="00FB42B8" w:rsidRPr="00327A61">
        <w:t xml:space="preserve">също </w:t>
      </w:r>
      <w:r w:rsidR="00634E0F" w:rsidRPr="00327A61">
        <w:t>отбелязват</w:t>
      </w:r>
      <w:r w:rsidR="005154E7" w:rsidRPr="00327A61">
        <w:t xml:space="preserve"> </w:t>
      </w:r>
      <w:r w:rsidR="002C2E66" w:rsidRPr="00327A61">
        <w:t>намаление</w:t>
      </w:r>
      <w:r w:rsidR="00634E0F" w:rsidRPr="00327A61">
        <w:t xml:space="preserve"> от </w:t>
      </w:r>
      <w:r w:rsidR="002C2E66" w:rsidRPr="00327A61">
        <w:t>-</w:t>
      </w:r>
      <w:r w:rsidR="00865953">
        <w:t>8</w:t>
      </w:r>
      <w:r w:rsidR="00634E0F" w:rsidRPr="00327A61">
        <w:t>% спрямо предходната година</w:t>
      </w:r>
      <w:bookmarkEnd w:id="37"/>
      <w:r w:rsidR="00634E0F" w:rsidRPr="00327A61">
        <w:t>.</w:t>
      </w:r>
    </w:p>
    <w:tbl>
      <w:tblPr>
        <w:tblW w:w="14566" w:type="dxa"/>
        <w:tblInd w:w="-110" w:type="dxa"/>
        <w:tblLayout w:type="fixed"/>
        <w:tblCellMar>
          <w:left w:w="70" w:type="dxa"/>
          <w:right w:w="70" w:type="dxa"/>
        </w:tblCellMar>
        <w:tblLook w:val="0000" w:firstRow="0" w:lastRow="0" w:firstColumn="0" w:lastColumn="0" w:noHBand="0" w:noVBand="0"/>
      </w:tblPr>
      <w:tblGrid>
        <w:gridCol w:w="4641"/>
        <w:gridCol w:w="993"/>
        <w:gridCol w:w="1134"/>
        <w:gridCol w:w="1134"/>
        <w:gridCol w:w="1134"/>
        <w:gridCol w:w="1134"/>
        <w:gridCol w:w="1366"/>
        <w:gridCol w:w="1010"/>
        <w:gridCol w:w="1010"/>
        <w:gridCol w:w="1010"/>
      </w:tblGrid>
      <w:tr w:rsidR="009A4A5A" w:rsidRPr="00327A61" w:rsidTr="00364BFE">
        <w:trPr>
          <w:trHeight w:val="270"/>
        </w:trPr>
        <w:tc>
          <w:tcPr>
            <w:tcW w:w="4641" w:type="dxa"/>
            <w:vMerge w:val="restart"/>
            <w:tcBorders>
              <w:top w:val="single" w:sz="4" w:space="0" w:color="auto"/>
              <w:left w:val="single" w:sz="4" w:space="0" w:color="auto"/>
              <w:right w:val="single" w:sz="4" w:space="0" w:color="auto"/>
            </w:tcBorders>
            <w:shd w:val="clear" w:color="auto" w:fill="C0C0C0"/>
            <w:vAlign w:val="center"/>
          </w:tcPr>
          <w:p w:rsidR="009A4A5A" w:rsidRPr="00327A61" w:rsidRDefault="009A4A5A" w:rsidP="00810C08">
            <w:pPr>
              <w:jc w:val="center"/>
              <w:rPr>
                <w:b/>
                <w:sz w:val="22"/>
                <w:szCs w:val="22"/>
              </w:rPr>
            </w:pPr>
            <w:bookmarkStart w:id="38" w:name="_Hlk506993841"/>
            <w:r w:rsidRPr="00327A61">
              <w:rPr>
                <w:b/>
                <w:sz w:val="22"/>
                <w:szCs w:val="22"/>
              </w:rPr>
              <w:t>ОСНОВНИ ФИНАНСОВИ И ОПЕРАТИВНИ ПОКАЗАТЕЛИ</w:t>
            </w:r>
          </w:p>
        </w:tc>
        <w:tc>
          <w:tcPr>
            <w:tcW w:w="5529" w:type="dxa"/>
            <w:gridSpan w:val="5"/>
            <w:tcBorders>
              <w:top w:val="single" w:sz="8" w:space="0" w:color="auto"/>
              <w:left w:val="single" w:sz="4" w:space="0" w:color="auto"/>
              <w:right w:val="single" w:sz="8" w:space="0" w:color="000000"/>
            </w:tcBorders>
            <w:shd w:val="clear" w:color="auto" w:fill="C0C0C0"/>
            <w:vAlign w:val="center"/>
          </w:tcPr>
          <w:p w:rsidR="009A4A5A" w:rsidRPr="00327A61" w:rsidRDefault="009A4A5A" w:rsidP="00FF5EF8">
            <w:pPr>
              <w:jc w:val="center"/>
              <w:rPr>
                <w:b/>
                <w:snapToGrid w:val="0"/>
                <w:color w:val="000000"/>
                <w:sz w:val="22"/>
                <w:szCs w:val="22"/>
                <w:lang w:eastAsia="en-US"/>
              </w:rPr>
            </w:pPr>
            <w:r w:rsidRPr="00327A61">
              <w:rPr>
                <w:b/>
                <w:snapToGrid w:val="0"/>
                <w:color w:val="000000"/>
                <w:sz w:val="22"/>
                <w:szCs w:val="22"/>
                <w:lang w:val="ru-RU" w:eastAsia="en-US"/>
              </w:rPr>
              <w:t>20</w:t>
            </w:r>
            <w:r w:rsidRPr="00327A61">
              <w:rPr>
                <w:b/>
                <w:snapToGrid w:val="0"/>
                <w:color w:val="000000"/>
                <w:sz w:val="22"/>
                <w:szCs w:val="22"/>
                <w:lang w:val="en-US" w:eastAsia="en-US"/>
              </w:rPr>
              <w:t>1</w:t>
            </w:r>
            <w:r w:rsidR="007B6B32" w:rsidRPr="00327A61">
              <w:rPr>
                <w:b/>
                <w:snapToGrid w:val="0"/>
                <w:color w:val="000000"/>
                <w:sz w:val="22"/>
                <w:szCs w:val="22"/>
                <w:lang w:eastAsia="en-US"/>
              </w:rPr>
              <w:t>7</w:t>
            </w:r>
            <w:r w:rsidRPr="00327A61">
              <w:rPr>
                <w:b/>
                <w:snapToGrid w:val="0"/>
                <w:color w:val="000000"/>
                <w:sz w:val="22"/>
                <w:szCs w:val="22"/>
                <w:lang w:eastAsia="en-US"/>
              </w:rPr>
              <w:t xml:space="preserve"> г.</w:t>
            </w:r>
          </w:p>
        </w:tc>
        <w:tc>
          <w:tcPr>
            <w:tcW w:w="1366" w:type="dxa"/>
          </w:tcPr>
          <w:p w:rsidR="009A4A5A" w:rsidRPr="00327A61" w:rsidRDefault="009A4A5A" w:rsidP="00115CA1">
            <w:pPr>
              <w:jc w:val="center"/>
              <w:rPr>
                <w:snapToGrid w:val="0"/>
                <w:color w:val="000000"/>
                <w:sz w:val="22"/>
                <w:szCs w:val="22"/>
                <w:lang w:val="ru-RU" w:eastAsia="en-US"/>
              </w:rPr>
            </w:pPr>
          </w:p>
        </w:tc>
        <w:tc>
          <w:tcPr>
            <w:tcW w:w="1010" w:type="dxa"/>
          </w:tcPr>
          <w:p w:rsidR="009A4A5A" w:rsidRPr="00327A61" w:rsidRDefault="009A4A5A" w:rsidP="00115CA1">
            <w:pPr>
              <w:jc w:val="center"/>
              <w:rPr>
                <w:snapToGrid w:val="0"/>
                <w:color w:val="000000"/>
                <w:sz w:val="22"/>
                <w:szCs w:val="22"/>
                <w:lang w:val="ru-RU" w:eastAsia="en-US"/>
              </w:rPr>
            </w:pPr>
          </w:p>
        </w:tc>
        <w:tc>
          <w:tcPr>
            <w:tcW w:w="1010" w:type="dxa"/>
          </w:tcPr>
          <w:p w:rsidR="009A4A5A" w:rsidRPr="00327A61" w:rsidRDefault="009A4A5A" w:rsidP="00115CA1">
            <w:pPr>
              <w:jc w:val="center"/>
              <w:rPr>
                <w:snapToGrid w:val="0"/>
                <w:color w:val="000000"/>
                <w:sz w:val="22"/>
                <w:szCs w:val="22"/>
                <w:lang w:val="ru-RU" w:eastAsia="en-US"/>
              </w:rPr>
            </w:pPr>
          </w:p>
        </w:tc>
        <w:tc>
          <w:tcPr>
            <w:tcW w:w="1010" w:type="dxa"/>
          </w:tcPr>
          <w:p w:rsidR="009A4A5A" w:rsidRPr="00327A61" w:rsidRDefault="009A4A5A" w:rsidP="00115CA1">
            <w:pPr>
              <w:jc w:val="center"/>
              <w:rPr>
                <w:snapToGrid w:val="0"/>
                <w:color w:val="000000"/>
                <w:sz w:val="22"/>
                <w:szCs w:val="22"/>
                <w:lang w:val="ru-RU" w:eastAsia="en-US"/>
              </w:rPr>
            </w:pPr>
          </w:p>
        </w:tc>
      </w:tr>
      <w:tr w:rsidR="009A4A5A" w:rsidRPr="00327A61" w:rsidTr="00364BFE">
        <w:trPr>
          <w:gridAfter w:val="4"/>
          <w:wAfter w:w="4396" w:type="dxa"/>
          <w:trHeight w:val="172"/>
        </w:trPr>
        <w:tc>
          <w:tcPr>
            <w:tcW w:w="4641" w:type="dxa"/>
            <w:vMerge/>
            <w:tcBorders>
              <w:left w:val="single" w:sz="4" w:space="0" w:color="auto"/>
              <w:bottom w:val="single" w:sz="4" w:space="0" w:color="auto"/>
              <w:right w:val="single" w:sz="4" w:space="0" w:color="auto"/>
            </w:tcBorders>
            <w:vAlign w:val="bottom"/>
          </w:tcPr>
          <w:p w:rsidR="009A4A5A" w:rsidRPr="00327A61" w:rsidRDefault="009A4A5A" w:rsidP="00115CA1">
            <w:pPr>
              <w:rPr>
                <w:sz w:val="22"/>
                <w:szCs w:val="22"/>
              </w:rPr>
            </w:pPr>
          </w:p>
        </w:tc>
        <w:tc>
          <w:tcPr>
            <w:tcW w:w="993" w:type="dxa"/>
            <w:tcBorders>
              <w:top w:val="single" w:sz="4" w:space="0" w:color="auto"/>
              <w:left w:val="single" w:sz="4" w:space="0" w:color="auto"/>
              <w:bottom w:val="single" w:sz="4" w:space="0" w:color="auto"/>
              <w:right w:val="single" w:sz="4" w:space="0" w:color="auto"/>
            </w:tcBorders>
            <w:vAlign w:val="bottom"/>
          </w:tcPr>
          <w:p w:rsidR="009A4A5A" w:rsidRPr="00327A61" w:rsidRDefault="009A4A5A" w:rsidP="00115CA1">
            <w:pPr>
              <w:jc w:val="center"/>
              <w:rPr>
                <w:snapToGrid w:val="0"/>
                <w:color w:val="000000"/>
                <w:sz w:val="22"/>
                <w:szCs w:val="22"/>
                <w:lang w:val="ru-RU" w:eastAsia="en-US"/>
              </w:rPr>
            </w:pPr>
            <w:r w:rsidRPr="00327A61">
              <w:rPr>
                <w:snapToGrid w:val="0"/>
                <w:color w:val="000000"/>
                <w:sz w:val="22"/>
                <w:szCs w:val="22"/>
                <w:lang w:val="ru-RU" w:eastAsia="en-US"/>
              </w:rPr>
              <w:t>1</w:t>
            </w:r>
          </w:p>
        </w:tc>
        <w:tc>
          <w:tcPr>
            <w:tcW w:w="1134" w:type="dxa"/>
            <w:tcBorders>
              <w:top w:val="single" w:sz="4" w:space="0" w:color="auto"/>
              <w:left w:val="single" w:sz="4" w:space="0" w:color="auto"/>
              <w:bottom w:val="single" w:sz="4" w:space="0" w:color="auto"/>
              <w:right w:val="single" w:sz="4" w:space="0" w:color="auto"/>
            </w:tcBorders>
            <w:vAlign w:val="bottom"/>
          </w:tcPr>
          <w:p w:rsidR="009A4A5A" w:rsidRPr="00327A61" w:rsidRDefault="009A4A5A" w:rsidP="00115CA1">
            <w:pPr>
              <w:jc w:val="center"/>
              <w:rPr>
                <w:snapToGrid w:val="0"/>
                <w:color w:val="000000"/>
                <w:sz w:val="22"/>
                <w:szCs w:val="22"/>
                <w:lang w:val="ru-RU" w:eastAsia="en-US"/>
              </w:rPr>
            </w:pPr>
            <w:r w:rsidRPr="00327A61">
              <w:rPr>
                <w:snapToGrid w:val="0"/>
                <w:color w:val="000000"/>
                <w:sz w:val="22"/>
                <w:szCs w:val="22"/>
                <w:lang w:val="ru-RU" w:eastAsia="en-US"/>
              </w:rPr>
              <w:t>2</w:t>
            </w:r>
          </w:p>
        </w:tc>
        <w:tc>
          <w:tcPr>
            <w:tcW w:w="1134" w:type="dxa"/>
            <w:tcBorders>
              <w:top w:val="single" w:sz="4" w:space="0" w:color="auto"/>
              <w:left w:val="single" w:sz="4" w:space="0" w:color="auto"/>
              <w:bottom w:val="single" w:sz="4" w:space="0" w:color="auto"/>
              <w:right w:val="single" w:sz="4" w:space="0" w:color="auto"/>
            </w:tcBorders>
            <w:vAlign w:val="bottom"/>
          </w:tcPr>
          <w:p w:rsidR="009A4A5A" w:rsidRPr="00327A61" w:rsidRDefault="009A4A5A" w:rsidP="00115CA1">
            <w:pPr>
              <w:jc w:val="right"/>
              <w:rPr>
                <w:snapToGrid w:val="0"/>
                <w:color w:val="000000"/>
                <w:sz w:val="22"/>
                <w:szCs w:val="22"/>
                <w:lang w:val="ru-RU" w:eastAsia="en-US"/>
              </w:rPr>
            </w:pPr>
          </w:p>
        </w:tc>
        <w:tc>
          <w:tcPr>
            <w:tcW w:w="1134" w:type="dxa"/>
            <w:tcBorders>
              <w:top w:val="single" w:sz="4" w:space="0" w:color="auto"/>
              <w:left w:val="single" w:sz="4" w:space="0" w:color="auto"/>
              <w:bottom w:val="single" w:sz="4" w:space="0" w:color="auto"/>
              <w:right w:val="single" w:sz="4" w:space="0" w:color="auto"/>
            </w:tcBorders>
            <w:vAlign w:val="bottom"/>
          </w:tcPr>
          <w:p w:rsidR="009A4A5A" w:rsidRPr="00327A61" w:rsidRDefault="009A4A5A" w:rsidP="00115CA1">
            <w:pPr>
              <w:jc w:val="center"/>
              <w:rPr>
                <w:snapToGrid w:val="0"/>
                <w:color w:val="000000"/>
                <w:sz w:val="22"/>
                <w:szCs w:val="22"/>
                <w:lang w:val="ru-RU" w:eastAsia="en-US"/>
              </w:rPr>
            </w:pPr>
            <w:r w:rsidRPr="00327A61">
              <w:rPr>
                <w:snapToGrid w:val="0"/>
                <w:color w:val="000000"/>
                <w:sz w:val="22"/>
                <w:szCs w:val="22"/>
                <w:lang w:val="ru-RU" w:eastAsia="en-US"/>
              </w:rPr>
              <w:t>3</w:t>
            </w:r>
          </w:p>
        </w:tc>
        <w:tc>
          <w:tcPr>
            <w:tcW w:w="1134" w:type="dxa"/>
            <w:tcBorders>
              <w:top w:val="single" w:sz="4" w:space="0" w:color="auto"/>
              <w:left w:val="single" w:sz="4" w:space="0" w:color="auto"/>
              <w:bottom w:val="single" w:sz="4" w:space="0" w:color="auto"/>
              <w:right w:val="single" w:sz="4" w:space="0" w:color="auto"/>
            </w:tcBorders>
            <w:vAlign w:val="bottom"/>
          </w:tcPr>
          <w:p w:rsidR="009A4A5A" w:rsidRPr="00327A61" w:rsidRDefault="009A4A5A" w:rsidP="00115CA1">
            <w:pPr>
              <w:jc w:val="right"/>
              <w:rPr>
                <w:snapToGrid w:val="0"/>
                <w:color w:val="000000"/>
                <w:sz w:val="22"/>
                <w:szCs w:val="22"/>
                <w:lang w:val="ru-RU" w:eastAsia="en-US"/>
              </w:rPr>
            </w:pPr>
          </w:p>
        </w:tc>
      </w:tr>
      <w:tr w:rsidR="007B6B32" w:rsidRPr="00327A61" w:rsidTr="00364BFE">
        <w:trPr>
          <w:gridAfter w:val="4"/>
          <w:wAfter w:w="4396" w:type="dxa"/>
          <w:trHeight w:val="403"/>
        </w:trPr>
        <w:tc>
          <w:tcPr>
            <w:tcW w:w="4641" w:type="dxa"/>
            <w:tcBorders>
              <w:left w:val="single" w:sz="4" w:space="0" w:color="auto"/>
              <w:bottom w:val="single" w:sz="4" w:space="0" w:color="auto"/>
              <w:right w:val="nil"/>
            </w:tcBorders>
            <w:vAlign w:val="bottom"/>
          </w:tcPr>
          <w:p w:rsidR="007B6B32" w:rsidRPr="00327A61" w:rsidRDefault="007B6B32" w:rsidP="007B6B32">
            <w:pPr>
              <w:rPr>
                <w:rFonts w:ascii="Arial" w:hAnsi="Arial" w:cs="Arial"/>
                <w:i/>
                <w:sz w:val="22"/>
                <w:szCs w:val="22"/>
                <w:lang w:val="ru-RU"/>
              </w:rPr>
            </w:pPr>
            <w:r w:rsidRPr="00327A61">
              <w:rPr>
                <w:rFonts w:ascii="Arial" w:hAnsi="Arial" w:cs="Arial"/>
                <w:i/>
                <w:sz w:val="20"/>
                <w:szCs w:val="22"/>
              </w:rPr>
              <w:t>в хил. лева</w:t>
            </w:r>
          </w:p>
        </w:tc>
        <w:tc>
          <w:tcPr>
            <w:tcW w:w="993" w:type="dxa"/>
            <w:tcBorders>
              <w:left w:val="single" w:sz="4" w:space="0" w:color="auto"/>
              <w:bottom w:val="single" w:sz="4" w:space="0" w:color="auto"/>
              <w:right w:val="single" w:sz="4" w:space="0" w:color="auto"/>
            </w:tcBorders>
            <w:vAlign w:val="center"/>
          </w:tcPr>
          <w:p w:rsidR="007B6B32" w:rsidRPr="00865953" w:rsidRDefault="007B6B32" w:rsidP="007B6B32">
            <w:pPr>
              <w:jc w:val="center"/>
              <w:rPr>
                <w:rFonts w:ascii="Arial" w:hAnsi="Arial" w:cs="Arial"/>
                <w:sz w:val="22"/>
                <w:szCs w:val="22"/>
                <w:lang w:eastAsia="bg-BG"/>
              </w:rPr>
            </w:pPr>
            <w:r w:rsidRPr="00865953">
              <w:rPr>
                <w:rFonts w:ascii="Arial" w:hAnsi="Arial" w:cs="Arial"/>
                <w:sz w:val="22"/>
                <w:szCs w:val="22"/>
              </w:rPr>
              <w:t>2017 г.</w:t>
            </w:r>
          </w:p>
        </w:tc>
        <w:tc>
          <w:tcPr>
            <w:tcW w:w="1134" w:type="dxa"/>
            <w:tcBorders>
              <w:left w:val="nil"/>
              <w:bottom w:val="single" w:sz="4" w:space="0" w:color="auto"/>
              <w:right w:val="nil"/>
            </w:tcBorders>
            <w:vAlign w:val="center"/>
          </w:tcPr>
          <w:p w:rsidR="007B6B32" w:rsidRPr="00865953" w:rsidRDefault="007B6B32" w:rsidP="007B6B32">
            <w:pPr>
              <w:jc w:val="center"/>
              <w:rPr>
                <w:rFonts w:ascii="Arial" w:hAnsi="Arial" w:cs="Arial"/>
                <w:sz w:val="22"/>
                <w:szCs w:val="22"/>
              </w:rPr>
            </w:pPr>
            <w:r w:rsidRPr="00364BFE">
              <w:rPr>
                <w:rFonts w:ascii="Arial" w:hAnsi="Arial" w:cs="Arial"/>
                <w:sz w:val="20"/>
                <w:szCs w:val="22"/>
              </w:rPr>
              <w:t>бизнес план</w:t>
            </w:r>
          </w:p>
        </w:tc>
        <w:tc>
          <w:tcPr>
            <w:tcW w:w="1134" w:type="dxa"/>
            <w:tcBorders>
              <w:left w:val="single" w:sz="4" w:space="0" w:color="auto"/>
              <w:bottom w:val="single" w:sz="4" w:space="0" w:color="auto"/>
              <w:right w:val="single" w:sz="4" w:space="0" w:color="auto"/>
            </w:tcBorders>
            <w:vAlign w:val="center"/>
          </w:tcPr>
          <w:p w:rsidR="007B6B32" w:rsidRPr="00865953" w:rsidRDefault="007B6B32" w:rsidP="007B6B32">
            <w:pPr>
              <w:jc w:val="center"/>
              <w:rPr>
                <w:rFonts w:ascii="Arial" w:hAnsi="Arial" w:cs="Arial"/>
                <w:sz w:val="22"/>
                <w:szCs w:val="22"/>
              </w:rPr>
            </w:pPr>
            <w:r w:rsidRPr="00865953">
              <w:rPr>
                <w:rFonts w:ascii="Arial" w:hAnsi="Arial" w:cs="Arial"/>
                <w:sz w:val="22"/>
                <w:szCs w:val="22"/>
              </w:rPr>
              <w:t>1/2 (%)</w:t>
            </w:r>
          </w:p>
        </w:tc>
        <w:tc>
          <w:tcPr>
            <w:tcW w:w="1134" w:type="dxa"/>
            <w:tcBorders>
              <w:left w:val="nil"/>
              <w:bottom w:val="single" w:sz="4" w:space="0" w:color="auto"/>
              <w:right w:val="nil"/>
            </w:tcBorders>
            <w:vAlign w:val="center"/>
          </w:tcPr>
          <w:p w:rsidR="007B6B32" w:rsidRPr="00865953" w:rsidRDefault="007B6B32" w:rsidP="007B6B32">
            <w:pPr>
              <w:jc w:val="center"/>
              <w:rPr>
                <w:rFonts w:ascii="Arial" w:hAnsi="Arial" w:cs="Arial"/>
                <w:sz w:val="22"/>
                <w:szCs w:val="22"/>
              </w:rPr>
            </w:pPr>
            <w:r w:rsidRPr="00865953">
              <w:rPr>
                <w:rFonts w:ascii="Arial" w:hAnsi="Arial" w:cs="Arial"/>
                <w:sz w:val="22"/>
                <w:szCs w:val="22"/>
              </w:rPr>
              <w:t>2016 г.</w:t>
            </w:r>
          </w:p>
        </w:tc>
        <w:tc>
          <w:tcPr>
            <w:tcW w:w="1134" w:type="dxa"/>
            <w:tcBorders>
              <w:left w:val="single" w:sz="4" w:space="0" w:color="auto"/>
              <w:bottom w:val="single" w:sz="4" w:space="0" w:color="auto"/>
              <w:right w:val="single" w:sz="4" w:space="0" w:color="auto"/>
            </w:tcBorders>
            <w:vAlign w:val="center"/>
          </w:tcPr>
          <w:p w:rsidR="007B6B32" w:rsidRPr="00865953" w:rsidRDefault="007B6B32" w:rsidP="007B6B32">
            <w:pPr>
              <w:jc w:val="center"/>
              <w:rPr>
                <w:rFonts w:ascii="Arial" w:hAnsi="Arial" w:cs="Arial"/>
                <w:sz w:val="22"/>
                <w:szCs w:val="22"/>
              </w:rPr>
            </w:pPr>
            <w:r w:rsidRPr="00865953">
              <w:rPr>
                <w:rFonts w:ascii="Arial" w:hAnsi="Arial" w:cs="Arial"/>
                <w:sz w:val="22"/>
                <w:szCs w:val="22"/>
              </w:rPr>
              <w:t> 1/3 (%)</w:t>
            </w:r>
          </w:p>
        </w:tc>
      </w:tr>
      <w:tr w:rsidR="00865953" w:rsidRPr="00327A61" w:rsidTr="00364BFE">
        <w:trPr>
          <w:gridAfter w:val="4"/>
          <w:wAfter w:w="4396" w:type="dxa"/>
          <w:trHeight w:val="330"/>
        </w:trPr>
        <w:tc>
          <w:tcPr>
            <w:tcW w:w="4641" w:type="dxa"/>
            <w:tcBorders>
              <w:top w:val="single" w:sz="4" w:space="0" w:color="auto"/>
              <w:left w:val="single" w:sz="4" w:space="0" w:color="auto"/>
              <w:bottom w:val="single" w:sz="4" w:space="0" w:color="auto"/>
              <w:right w:val="single" w:sz="4" w:space="0" w:color="auto"/>
            </w:tcBorders>
            <w:vAlign w:val="bottom"/>
          </w:tcPr>
          <w:p w:rsidR="00865953" w:rsidRPr="00327A61" w:rsidRDefault="00865953" w:rsidP="00865953">
            <w:pPr>
              <w:rPr>
                <w:rFonts w:ascii="Arial" w:hAnsi="Arial" w:cs="Arial"/>
              </w:rPr>
            </w:pPr>
            <w:r w:rsidRPr="00327A61">
              <w:rPr>
                <w:rFonts w:ascii="Arial" w:hAnsi="Arial" w:cs="Arial"/>
              </w:rPr>
              <w:t>Нетни приходи от продажби</w:t>
            </w:r>
          </w:p>
        </w:tc>
        <w:tc>
          <w:tcPr>
            <w:tcW w:w="993" w:type="dxa"/>
            <w:tcBorders>
              <w:top w:val="nil"/>
              <w:left w:val="nil"/>
              <w:bottom w:val="nil"/>
              <w:right w:val="nil"/>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5 414</w:t>
            </w:r>
          </w:p>
        </w:tc>
        <w:tc>
          <w:tcPr>
            <w:tcW w:w="1134" w:type="dxa"/>
            <w:tcBorders>
              <w:top w:val="nil"/>
              <w:left w:val="single" w:sz="4" w:space="0" w:color="auto"/>
              <w:bottom w:val="nil"/>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5 496</w:t>
            </w:r>
          </w:p>
        </w:tc>
        <w:tc>
          <w:tcPr>
            <w:tcW w:w="1134" w:type="dxa"/>
            <w:tcBorders>
              <w:top w:val="nil"/>
              <w:left w:val="nil"/>
              <w:bottom w:val="nil"/>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-1.5%</w:t>
            </w:r>
          </w:p>
        </w:tc>
        <w:tc>
          <w:tcPr>
            <w:tcW w:w="1134" w:type="dxa"/>
            <w:tcBorders>
              <w:top w:val="nil"/>
              <w:left w:val="nil"/>
              <w:bottom w:val="nil"/>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lang w:eastAsia="bg-BG"/>
              </w:rPr>
            </w:pPr>
            <w:r w:rsidRPr="00865953">
              <w:rPr>
                <w:rFonts w:ascii="Arial" w:hAnsi="Arial" w:cs="Arial"/>
                <w:sz w:val="22"/>
                <w:szCs w:val="22"/>
              </w:rPr>
              <w:t>6 360</w:t>
            </w:r>
          </w:p>
        </w:tc>
        <w:tc>
          <w:tcPr>
            <w:tcW w:w="1134" w:type="dxa"/>
            <w:tcBorders>
              <w:top w:val="nil"/>
              <w:left w:val="nil"/>
              <w:bottom w:val="nil"/>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-14.9%</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865953" w:rsidRPr="00327A61" w:rsidRDefault="00865953" w:rsidP="00865953">
            <w:pPr>
              <w:rPr>
                <w:rFonts w:ascii="Arial" w:hAnsi="Arial" w:cs="Arial"/>
              </w:rPr>
            </w:pPr>
            <w:r w:rsidRPr="00327A61">
              <w:rPr>
                <w:rFonts w:ascii="Arial" w:hAnsi="Arial" w:cs="Arial"/>
              </w:rPr>
              <w:t>Оперативни разходи</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4 351</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4 516</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-3.7%</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4 714</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-7.7%</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865953" w:rsidRPr="00327A61" w:rsidRDefault="00865953" w:rsidP="00865953">
            <w:pPr>
              <w:rPr>
                <w:rFonts w:ascii="Arial" w:hAnsi="Arial" w:cs="Arial"/>
              </w:rPr>
            </w:pPr>
            <w:r w:rsidRPr="00327A61">
              <w:rPr>
                <w:rFonts w:ascii="Arial" w:hAnsi="Arial" w:cs="Arial"/>
              </w:rPr>
              <w:t xml:space="preserve">Печалба преди лихви, данъци и </w:t>
            </w:r>
            <w:r w:rsidRPr="00327A61">
              <w:rPr>
                <w:rFonts w:ascii="Arial" w:hAnsi="Arial" w:cs="Arial"/>
              </w:rPr>
              <w:lastRenderedPageBreak/>
              <w:t>амортизации</w:t>
            </w:r>
            <w:r w:rsidRPr="00327A61">
              <w:rPr>
                <w:rFonts w:ascii="Arial" w:hAnsi="Arial" w:cs="Arial"/>
                <w:b/>
              </w:rPr>
              <w:t xml:space="preserve"> </w:t>
            </w:r>
          </w:p>
        </w:tc>
        <w:tc>
          <w:tcPr>
            <w:tcW w:w="993" w:type="dxa"/>
            <w:tcBorders>
              <w:top w:val="nil"/>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lastRenderedPageBreak/>
              <w:t>1 063</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980</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8.5%</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1 646</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-35.4%</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865953" w:rsidRPr="00327A61" w:rsidRDefault="00865953" w:rsidP="00865953">
            <w:pPr>
              <w:rPr>
                <w:rFonts w:ascii="Arial" w:hAnsi="Arial" w:cs="Arial"/>
              </w:rPr>
            </w:pPr>
            <w:r w:rsidRPr="00327A61">
              <w:rPr>
                <w:rFonts w:ascii="Arial" w:hAnsi="Arial" w:cs="Arial"/>
              </w:rPr>
              <w:t>EBITDA/Приходи от продажби (%)</w:t>
            </w:r>
          </w:p>
        </w:tc>
        <w:tc>
          <w:tcPr>
            <w:tcW w:w="993" w:type="dxa"/>
            <w:tcBorders>
              <w:top w:val="nil"/>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19.6%</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17.8%</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10.1%</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25.9%</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-24.1%</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865953" w:rsidRPr="00327A61" w:rsidRDefault="00865953" w:rsidP="00865953">
            <w:pPr>
              <w:rPr>
                <w:rFonts w:ascii="Arial" w:hAnsi="Arial" w:cs="Arial"/>
              </w:rPr>
            </w:pPr>
            <w:r w:rsidRPr="00327A61">
              <w:rPr>
                <w:rFonts w:ascii="Arial" w:hAnsi="Arial" w:cs="Arial"/>
              </w:rPr>
              <w:t>Печалба преди лихви, данъци и финансирания (EBIT)</w:t>
            </w:r>
          </w:p>
        </w:tc>
        <w:tc>
          <w:tcPr>
            <w:tcW w:w="993" w:type="dxa"/>
            <w:tcBorders>
              <w:top w:val="nil"/>
              <w:left w:val="single" w:sz="4" w:space="0" w:color="auto"/>
              <w:bottom w:val="single" w:sz="4" w:space="0" w:color="auto"/>
              <w:right w:val="single" w:sz="4" w:space="0" w:color="auto"/>
            </w:tcBorders>
            <w:shd w:val="clear" w:color="auto" w:fill="auto"/>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630</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532</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18.4%</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1 210</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-47.9%</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865953" w:rsidRPr="00327A61" w:rsidRDefault="00865953" w:rsidP="00865953">
            <w:pPr>
              <w:rPr>
                <w:rFonts w:ascii="Arial" w:hAnsi="Arial" w:cs="Arial"/>
              </w:rPr>
            </w:pPr>
            <w:r w:rsidRPr="00327A61">
              <w:rPr>
                <w:rFonts w:ascii="Arial" w:hAnsi="Arial" w:cs="Arial"/>
              </w:rPr>
              <w:t>ЕBIT/Приходи от продажби (%)</w:t>
            </w:r>
          </w:p>
        </w:tc>
        <w:tc>
          <w:tcPr>
            <w:tcW w:w="993" w:type="dxa"/>
            <w:tcBorders>
              <w:top w:val="nil"/>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11.6%</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9.7%</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20.2%</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19.0%</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-38.8%</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865953" w:rsidRPr="00327A61" w:rsidRDefault="00865953" w:rsidP="00865953">
            <w:pPr>
              <w:rPr>
                <w:rFonts w:ascii="Arial" w:hAnsi="Arial" w:cs="Arial"/>
              </w:rPr>
            </w:pPr>
            <w:r w:rsidRPr="00327A61">
              <w:rPr>
                <w:rFonts w:ascii="Arial" w:hAnsi="Arial" w:cs="Arial"/>
              </w:rPr>
              <w:t>Печалба преди данъци</w:t>
            </w:r>
          </w:p>
        </w:tc>
        <w:tc>
          <w:tcPr>
            <w:tcW w:w="993" w:type="dxa"/>
            <w:tcBorders>
              <w:top w:val="nil"/>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600</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572</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4.9%</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1 028</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-41.6%</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865953" w:rsidRPr="00327A61" w:rsidRDefault="00865953" w:rsidP="00865953">
            <w:pPr>
              <w:rPr>
                <w:rFonts w:ascii="Arial" w:hAnsi="Arial" w:cs="Arial"/>
              </w:rPr>
            </w:pPr>
            <w:r w:rsidRPr="00327A61">
              <w:rPr>
                <w:rFonts w:ascii="Arial" w:hAnsi="Arial" w:cs="Arial"/>
              </w:rPr>
              <w:t>Чиста печалба</w:t>
            </w:r>
          </w:p>
        </w:tc>
        <w:tc>
          <w:tcPr>
            <w:tcW w:w="993" w:type="dxa"/>
            <w:tcBorders>
              <w:top w:val="nil"/>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540</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515</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4.9%</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926</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-41.7%</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865953" w:rsidRPr="00327A61" w:rsidRDefault="00865953" w:rsidP="00865953">
            <w:pPr>
              <w:pStyle w:val="FootnoteText"/>
              <w:rPr>
                <w:rFonts w:ascii="Arial" w:hAnsi="Arial" w:cs="Arial"/>
                <w:sz w:val="22"/>
                <w:szCs w:val="22"/>
              </w:rPr>
            </w:pPr>
            <w:r w:rsidRPr="00327A61">
              <w:rPr>
                <w:rFonts w:ascii="Arial" w:hAnsi="Arial" w:cs="Arial"/>
                <w:sz w:val="22"/>
                <w:szCs w:val="22"/>
              </w:rPr>
              <w:t>Паричен поток (печалба + амортизации)</w:t>
            </w:r>
          </w:p>
        </w:tc>
        <w:tc>
          <w:tcPr>
            <w:tcW w:w="993" w:type="dxa"/>
            <w:tcBorders>
              <w:top w:val="nil"/>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973</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963</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1.1%</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1 362</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-28.6%</w:t>
            </w:r>
          </w:p>
        </w:tc>
      </w:tr>
      <w:tr w:rsidR="00865953" w:rsidRPr="00327A61" w:rsidTr="00364BFE">
        <w:trPr>
          <w:gridAfter w:val="4"/>
          <w:wAfter w:w="4396" w:type="dxa"/>
          <w:trHeight w:val="217"/>
        </w:trPr>
        <w:tc>
          <w:tcPr>
            <w:tcW w:w="4641" w:type="dxa"/>
            <w:tcBorders>
              <w:top w:val="single" w:sz="4" w:space="0" w:color="auto"/>
              <w:left w:val="single" w:sz="4" w:space="0" w:color="auto"/>
              <w:right w:val="nil"/>
            </w:tcBorders>
            <w:shd w:val="clear" w:color="auto" w:fill="C0C0C0"/>
            <w:vAlign w:val="bottom"/>
          </w:tcPr>
          <w:p w:rsidR="00865953" w:rsidRPr="00327A61" w:rsidRDefault="00865953" w:rsidP="00865953">
            <w:pPr>
              <w:rPr>
                <w:sz w:val="22"/>
                <w:szCs w:val="22"/>
              </w:rPr>
            </w:pPr>
            <w:r w:rsidRPr="00327A61">
              <w:rPr>
                <w:sz w:val="22"/>
                <w:szCs w:val="22"/>
              </w:rPr>
              <w:t> </w:t>
            </w:r>
          </w:p>
        </w:tc>
        <w:tc>
          <w:tcPr>
            <w:tcW w:w="993" w:type="dxa"/>
            <w:tcBorders>
              <w:top w:val="single" w:sz="4" w:space="0" w:color="auto"/>
              <w:left w:val="single" w:sz="4" w:space="0" w:color="auto"/>
              <w:bottom w:val="single" w:sz="4" w:space="0" w:color="auto"/>
              <w:right w:val="single" w:sz="4" w:space="0" w:color="auto"/>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c>
          <w:tcPr>
            <w:tcW w:w="1134" w:type="dxa"/>
            <w:tcBorders>
              <w:top w:val="single" w:sz="4" w:space="0" w:color="auto"/>
              <w:left w:val="nil"/>
              <w:bottom w:val="single" w:sz="4" w:space="0" w:color="auto"/>
              <w:right w:val="nil"/>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c>
          <w:tcPr>
            <w:tcW w:w="1134" w:type="dxa"/>
            <w:tcBorders>
              <w:top w:val="single" w:sz="4" w:space="0" w:color="auto"/>
              <w:left w:val="nil"/>
              <w:bottom w:val="single" w:sz="4" w:space="0" w:color="auto"/>
              <w:right w:val="nil"/>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r>
      <w:tr w:rsidR="00865953" w:rsidRPr="00327A61" w:rsidTr="00364BFE">
        <w:trPr>
          <w:gridAfter w:val="4"/>
          <w:wAfter w:w="4396" w:type="dxa"/>
          <w:trHeight w:val="391"/>
        </w:trPr>
        <w:tc>
          <w:tcPr>
            <w:tcW w:w="4641" w:type="dxa"/>
            <w:tcBorders>
              <w:top w:val="single" w:sz="4" w:space="0" w:color="auto"/>
              <w:left w:val="single" w:sz="4" w:space="0" w:color="auto"/>
              <w:bottom w:val="single" w:sz="4" w:space="0" w:color="auto"/>
              <w:right w:val="single" w:sz="4" w:space="0" w:color="auto"/>
            </w:tcBorders>
            <w:vAlign w:val="bottom"/>
          </w:tcPr>
          <w:p w:rsidR="00865953" w:rsidRPr="00327A61" w:rsidRDefault="00865953" w:rsidP="00865953">
            <w:pPr>
              <w:rPr>
                <w:rFonts w:ascii="Arial" w:hAnsi="Arial" w:cs="Arial"/>
                <w:i/>
                <w:sz w:val="22"/>
                <w:szCs w:val="22"/>
              </w:rPr>
            </w:pPr>
            <w:r w:rsidRPr="00327A61">
              <w:rPr>
                <w:rFonts w:ascii="Arial" w:hAnsi="Arial" w:cs="Arial"/>
                <w:i/>
                <w:sz w:val="20"/>
                <w:szCs w:val="22"/>
              </w:rPr>
              <w:t>в хил. лева</w:t>
            </w:r>
          </w:p>
        </w:tc>
        <w:tc>
          <w:tcPr>
            <w:tcW w:w="993" w:type="dxa"/>
            <w:tcBorders>
              <w:top w:val="single" w:sz="4" w:space="0" w:color="auto"/>
              <w:left w:val="single" w:sz="4" w:space="0" w:color="auto"/>
              <w:bottom w:val="single" w:sz="4" w:space="0" w:color="auto"/>
              <w:right w:val="single" w:sz="4" w:space="0" w:color="auto"/>
            </w:tcBorders>
            <w:vAlign w:val="center"/>
          </w:tcPr>
          <w:p w:rsidR="00865953" w:rsidRPr="00865953" w:rsidRDefault="00865953" w:rsidP="00865953">
            <w:pPr>
              <w:jc w:val="center"/>
              <w:rPr>
                <w:rFonts w:ascii="Arial" w:hAnsi="Arial" w:cs="Arial"/>
                <w:sz w:val="22"/>
                <w:szCs w:val="22"/>
                <w:lang w:eastAsia="bg-BG"/>
              </w:rPr>
            </w:pPr>
            <w:r w:rsidRPr="00865953">
              <w:rPr>
                <w:rFonts w:ascii="Arial" w:hAnsi="Arial" w:cs="Arial"/>
                <w:sz w:val="22"/>
                <w:szCs w:val="22"/>
              </w:rPr>
              <w:t>2017 г.</w:t>
            </w:r>
          </w:p>
        </w:tc>
        <w:tc>
          <w:tcPr>
            <w:tcW w:w="1134" w:type="dxa"/>
            <w:tcBorders>
              <w:top w:val="single" w:sz="4" w:space="0" w:color="auto"/>
              <w:left w:val="nil"/>
              <w:bottom w:val="single" w:sz="4" w:space="0" w:color="auto"/>
              <w:right w:val="nil"/>
            </w:tcBorders>
            <w:vAlign w:val="center"/>
          </w:tcPr>
          <w:p w:rsidR="00865953" w:rsidRPr="00865953" w:rsidRDefault="00865953" w:rsidP="00865953">
            <w:pPr>
              <w:jc w:val="center"/>
              <w:rPr>
                <w:rFonts w:ascii="Arial" w:hAnsi="Arial" w:cs="Arial"/>
                <w:sz w:val="22"/>
                <w:szCs w:val="22"/>
              </w:rPr>
            </w:pPr>
            <w:r w:rsidRPr="00364BFE">
              <w:rPr>
                <w:rFonts w:ascii="Arial" w:hAnsi="Arial" w:cs="Arial"/>
                <w:sz w:val="20"/>
                <w:szCs w:val="22"/>
              </w:rPr>
              <w:t>бизнес план</w:t>
            </w:r>
          </w:p>
        </w:tc>
        <w:tc>
          <w:tcPr>
            <w:tcW w:w="1134" w:type="dxa"/>
            <w:tcBorders>
              <w:top w:val="single" w:sz="4" w:space="0" w:color="auto"/>
              <w:left w:val="single" w:sz="4" w:space="0" w:color="auto"/>
              <w:bottom w:val="single" w:sz="4" w:space="0" w:color="auto"/>
              <w:right w:val="single" w:sz="4" w:space="0" w:color="auto"/>
            </w:tcBorders>
            <w:vAlign w:val="center"/>
          </w:tcPr>
          <w:p w:rsidR="00865953" w:rsidRPr="00865953" w:rsidRDefault="00865953" w:rsidP="00865953">
            <w:pPr>
              <w:jc w:val="center"/>
              <w:rPr>
                <w:rFonts w:ascii="Arial" w:hAnsi="Arial" w:cs="Arial"/>
                <w:sz w:val="22"/>
                <w:szCs w:val="22"/>
              </w:rPr>
            </w:pPr>
            <w:r w:rsidRPr="00865953">
              <w:rPr>
                <w:rFonts w:ascii="Arial" w:hAnsi="Arial" w:cs="Arial"/>
                <w:sz w:val="22"/>
                <w:szCs w:val="22"/>
              </w:rPr>
              <w:t>1/2 (%)</w:t>
            </w:r>
          </w:p>
        </w:tc>
        <w:tc>
          <w:tcPr>
            <w:tcW w:w="1134" w:type="dxa"/>
            <w:tcBorders>
              <w:top w:val="single" w:sz="4" w:space="0" w:color="auto"/>
              <w:left w:val="nil"/>
              <w:bottom w:val="single" w:sz="4" w:space="0" w:color="auto"/>
              <w:right w:val="nil"/>
            </w:tcBorders>
            <w:vAlign w:val="center"/>
          </w:tcPr>
          <w:p w:rsidR="00865953" w:rsidRPr="00865953" w:rsidRDefault="00865953" w:rsidP="00865953">
            <w:pPr>
              <w:jc w:val="center"/>
              <w:rPr>
                <w:rFonts w:ascii="Arial" w:hAnsi="Arial" w:cs="Arial"/>
                <w:sz w:val="22"/>
                <w:szCs w:val="22"/>
              </w:rPr>
            </w:pPr>
            <w:r w:rsidRPr="00865953">
              <w:rPr>
                <w:rFonts w:ascii="Arial" w:hAnsi="Arial" w:cs="Arial"/>
                <w:sz w:val="22"/>
                <w:szCs w:val="22"/>
              </w:rPr>
              <w:t>2016 г.</w:t>
            </w:r>
          </w:p>
        </w:tc>
        <w:tc>
          <w:tcPr>
            <w:tcW w:w="1134" w:type="dxa"/>
            <w:tcBorders>
              <w:top w:val="single" w:sz="4" w:space="0" w:color="auto"/>
              <w:left w:val="single" w:sz="4" w:space="0" w:color="auto"/>
              <w:bottom w:val="single" w:sz="4" w:space="0" w:color="auto"/>
              <w:right w:val="single" w:sz="4" w:space="0" w:color="auto"/>
            </w:tcBorders>
            <w:vAlign w:val="center"/>
          </w:tcPr>
          <w:p w:rsidR="00865953" w:rsidRPr="00865953" w:rsidRDefault="00865953" w:rsidP="00865953">
            <w:pPr>
              <w:jc w:val="center"/>
              <w:rPr>
                <w:rFonts w:ascii="Arial" w:hAnsi="Arial" w:cs="Arial"/>
                <w:sz w:val="22"/>
                <w:szCs w:val="22"/>
              </w:rPr>
            </w:pPr>
            <w:r w:rsidRPr="00865953">
              <w:rPr>
                <w:rFonts w:ascii="Arial" w:hAnsi="Arial" w:cs="Arial"/>
                <w:sz w:val="22"/>
                <w:szCs w:val="22"/>
              </w:rPr>
              <w:t> 1/3 (%)</w:t>
            </w:r>
          </w:p>
        </w:tc>
      </w:tr>
      <w:tr w:rsidR="00865953" w:rsidRPr="00327A61" w:rsidTr="00364BFE">
        <w:trPr>
          <w:gridAfter w:val="4"/>
          <w:wAfter w:w="4396" w:type="dxa"/>
          <w:trHeight w:val="330"/>
        </w:trPr>
        <w:tc>
          <w:tcPr>
            <w:tcW w:w="4641" w:type="dxa"/>
            <w:tcBorders>
              <w:top w:val="single" w:sz="4" w:space="0" w:color="auto"/>
              <w:left w:val="single" w:sz="4" w:space="0" w:color="auto"/>
              <w:bottom w:val="single" w:sz="4" w:space="0" w:color="auto"/>
              <w:right w:val="single" w:sz="4" w:space="0" w:color="auto"/>
            </w:tcBorders>
            <w:vAlign w:val="bottom"/>
          </w:tcPr>
          <w:p w:rsidR="00865953" w:rsidRPr="00327A61" w:rsidRDefault="00865953" w:rsidP="00865953">
            <w:r w:rsidRPr="00327A61">
              <w:t>Изменение на паричните наличности през периода (ПП по косвения метод)</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lang w:eastAsia="bg-BG"/>
              </w:rPr>
            </w:pPr>
            <w:r w:rsidRPr="00865953">
              <w:rPr>
                <w:rFonts w:ascii="Arial" w:hAnsi="Arial" w:cs="Arial"/>
                <w:sz w:val="22"/>
                <w:szCs w:val="22"/>
              </w:rPr>
              <w:t>531</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239</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-122.2%</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-221</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340.3%</w:t>
            </w:r>
          </w:p>
        </w:tc>
      </w:tr>
      <w:tr w:rsidR="00865953" w:rsidRPr="00327A61" w:rsidTr="00364BFE">
        <w:trPr>
          <w:gridAfter w:val="4"/>
          <w:wAfter w:w="4396" w:type="dxa"/>
          <w:trHeight w:val="269"/>
        </w:trPr>
        <w:tc>
          <w:tcPr>
            <w:tcW w:w="4641" w:type="dxa"/>
            <w:tcBorders>
              <w:top w:val="single" w:sz="4" w:space="0" w:color="auto"/>
              <w:left w:val="single" w:sz="4" w:space="0" w:color="auto"/>
              <w:bottom w:val="single" w:sz="4" w:space="0" w:color="auto"/>
              <w:right w:val="single" w:sz="4" w:space="0" w:color="auto"/>
            </w:tcBorders>
            <w:vAlign w:val="bottom"/>
          </w:tcPr>
          <w:p w:rsidR="00865953" w:rsidRPr="00327A61" w:rsidRDefault="00865953" w:rsidP="00865953">
            <w:r w:rsidRPr="00327A61">
              <w:t xml:space="preserve">Нетен паричен поток от основна дейност </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496</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400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24.0%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0"/>
                <w:szCs w:val="22"/>
              </w:rPr>
              <w:t>5060.0%</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single" w:sz="4" w:space="0" w:color="auto"/>
            </w:tcBorders>
            <w:vAlign w:val="bottom"/>
          </w:tcPr>
          <w:p w:rsidR="00865953" w:rsidRPr="00327A61" w:rsidRDefault="00865953" w:rsidP="00865953">
            <w:r w:rsidRPr="00327A61">
              <w:t xml:space="preserve">Нетен паричен поток от инвестиционна дейност </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35</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-161</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-121.7%</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-211</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116.6%</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single" w:sz="4" w:space="0" w:color="auto"/>
            </w:tcBorders>
            <w:vAlign w:val="bottom"/>
          </w:tcPr>
          <w:p w:rsidR="00865953" w:rsidRPr="00327A61" w:rsidRDefault="00865953" w:rsidP="00865953">
            <w:r w:rsidRPr="00327A61">
              <w:t xml:space="preserve">Нетен паричен поток от финансова дейност </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364BFE" w:rsidP="00865953">
            <w:pPr>
              <w:jc w:val="center"/>
              <w:rPr>
                <w:rFonts w:ascii="Arial" w:hAnsi="Arial" w:cs="Arial"/>
                <w:sz w:val="22"/>
                <w:szCs w:val="22"/>
              </w:rPr>
            </w:pPr>
            <w:r>
              <w:rPr>
                <w:rFonts w:ascii="Arial" w:hAnsi="Arial" w:cs="Arial"/>
                <w:sz w:val="22"/>
                <w:szCs w:val="22"/>
              </w:rPr>
              <w:t>-</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364BFE" w:rsidP="00865953">
            <w:pPr>
              <w:jc w:val="center"/>
              <w:rPr>
                <w:rFonts w:ascii="Arial" w:hAnsi="Arial" w:cs="Arial"/>
                <w:sz w:val="22"/>
                <w:szCs w:val="22"/>
              </w:rPr>
            </w:pPr>
            <w:r>
              <w:rPr>
                <w:rFonts w:ascii="Arial" w:hAnsi="Arial" w:cs="Arial"/>
                <w:sz w:val="22"/>
                <w:szCs w:val="22"/>
              </w:rPr>
              <w:t>-</w:t>
            </w:r>
          </w:p>
        </w:tc>
      </w:tr>
      <w:tr w:rsidR="00865953" w:rsidRPr="00327A61" w:rsidTr="00364BFE">
        <w:trPr>
          <w:gridAfter w:val="4"/>
          <w:wAfter w:w="4396" w:type="dxa"/>
          <w:trHeight w:val="145"/>
        </w:trPr>
        <w:tc>
          <w:tcPr>
            <w:tcW w:w="4641" w:type="dxa"/>
            <w:tcBorders>
              <w:top w:val="single" w:sz="4" w:space="0" w:color="auto"/>
              <w:left w:val="single" w:sz="4" w:space="0" w:color="auto"/>
              <w:bottom w:val="single" w:sz="4" w:space="0" w:color="auto"/>
              <w:right w:val="nil"/>
            </w:tcBorders>
            <w:shd w:val="clear" w:color="auto" w:fill="C0C0C0"/>
            <w:vAlign w:val="bottom"/>
          </w:tcPr>
          <w:p w:rsidR="00865953" w:rsidRPr="00327A61" w:rsidRDefault="00865953" w:rsidP="00865953">
            <w:pPr>
              <w:rPr>
                <w:sz w:val="22"/>
                <w:szCs w:val="22"/>
              </w:rPr>
            </w:pPr>
            <w:r w:rsidRPr="00327A61">
              <w:rPr>
                <w:sz w:val="22"/>
                <w:szCs w:val="22"/>
              </w:rPr>
              <w:t> </w:t>
            </w:r>
          </w:p>
        </w:tc>
        <w:tc>
          <w:tcPr>
            <w:tcW w:w="993" w:type="dxa"/>
            <w:tcBorders>
              <w:top w:val="single" w:sz="4" w:space="0" w:color="auto"/>
              <w:left w:val="single" w:sz="4" w:space="0" w:color="auto"/>
              <w:bottom w:val="single" w:sz="4" w:space="0" w:color="auto"/>
              <w:right w:val="single" w:sz="4" w:space="0" w:color="auto"/>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c>
          <w:tcPr>
            <w:tcW w:w="1134" w:type="dxa"/>
            <w:tcBorders>
              <w:top w:val="single" w:sz="4" w:space="0" w:color="auto"/>
              <w:left w:val="nil"/>
              <w:bottom w:val="single" w:sz="4" w:space="0" w:color="auto"/>
              <w:right w:val="nil"/>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c>
          <w:tcPr>
            <w:tcW w:w="1134" w:type="dxa"/>
            <w:tcBorders>
              <w:top w:val="single" w:sz="4" w:space="0" w:color="auto"/>
              <w:left w:val="nil"/>
              <w:bottom w:val="single" w:sz="4" w:space="0" w:color="auto"/>
              <w:right w:val="nil"/>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r>
      <w:tr w:rsidR="00865953" w:rsidRPr="00327A61" w:rsidTr="00364BFE">
        <w:trPr>
          <w:gridAfter w:val="4"/>
          <w:wAfter w:w="4396" w:type="dxa"/>
          <w:trHeight w:val="172"/>
        </w:trPr>
        <w:tc>
          <w:tcPr>
            <w:tcW w:w="4641" w:type="dxa"/>
            <w:tcBorders>
              <w:top w:val="single" w:sz="4" w:space="0" w:color="auto"/>
              <w:left w:val="single" w:sz="4" w:space="0" w:color="auto"/>
              <w:bottom w:val="single" w:sz="4" w:space="0" w:color="auto"/>
              <w:right w:val="single" w:sz="4" w:space="0" w:color="auto"/>
            </w:tcBorders>
            <w:vAlign w:val="bottom"/>
          </w:tcPr>
          <w:p w:rsidR="00865953" w:rsidRPr="00327A61" w:rsidRDefault="00865953" w:rsidP="00865953">
            <w:pPr>
              <w:rPr>
                <w:rFonts w:ascii="Arial" w:hAnsi="Arial" w:cs="Arial"/>
                <w:i/>
                <w:sz w:val="22"/>
                <w:szCs w:val="22"/>
              </w:rPr>
            </w:pPr>
            <w:r w:rsidRPr="00327A61">
              <w:rPr>
                <w:rFonts w:ascii="Arial" w:hAnsi="Arial" w:cs="Arial"/>
                <w:i/>
                <w:sz w:val="20"/>
                <w:szCs w:val="22"/>
              </w:rPr>
              <w:t>в хил. лева</w:t>
            </w:r>
          </w:p>
        </w:tc>
        <w:tc>
          <w:tcPr>
            <w:tcW w:w="993" w:type="dxa"/>
            <w:tcBorders>
              <w:top w:val="single" w:sz="4" w:space="0" w:color="auto"/>
              <w:left w:val="single" w:sz="4" w:space="0" w:color="auto"/>
              <w:bottom w:val="single" w:sz="4" w:space="0" w:color="auto"/>
              <w:right w:val="single" w:sz="4" w:space="0" w:color="auto"/>
            </w:tcBorders>
            <w:vAlign w:val="center"/>
          </w:tcPr>
          <w:p w:rsidR="00865953" w:rsidRPr="00865953" w:rsidRDefault="00865953" w:rsidP="00865953">
            <w:pPr>
              <w:jc w:val="center"/>
              <w:rPr>
                <w:rFonts w:ascii="Arial" w:hAnsi="Arial" w:cs="Arial"/>
                <w:sz w:val="22"/>
                <w:szCs w:val="22"/>
                <w:lang w:eastAsia="bg-BG"/>
              </w:rPr>
            </w:pPr>
            <w:r w:rsidRPr="00865953">
              <w:rPr>
                <w:rFonts w:ascii="Arial" w:hAnsi="Arial" w:cs="Arial"/>
                <w:sz w:val="22"/>
                <w:szCs w:val="22"/>
              </w:rPr>
              <w:t>2017 г.</w:t>
            </w:r>
          </w:p>
        </w:tc>
        <w:tc>
          <w:tcPr>
            <w:tcW w:w="1134" w:type="dxa"/>
            <w:tcBorders>
              <w:top w:val="single" w:sz="4" w:space="0" w:color="auto"/>
              <w:left w:val="single" w:sz="4" w:space="0" w:color="auto"/>
              <w:bottom w:val="single" w:sz="4" w:space="0" w:color="auto"/>
              <w:right w:val="single" w:sz="4" w:space="0" w:color="auto"/>
            </w:tcBorders>
            <w:vAlign w:val="center"/>
          </w:tcPr>
          <w:p w:rsidR="00865953" w:rsidRPr="00865953" w:rsidRDefault="00865953" w:rsidP="00865953">
            <w:pPr>
              <w:jc w:val="center"/>
              <w:rPr>
                <w:rFonts w:ascii="Arial" w:hAnsi="Arial" w:cs="Arial"/>
                <w:sz w:val="22"/>
                <w:szCs w:val="22"/>
              </w:rPr>
            </w:pPr>
            <w:r w:rsidRPr="00364BFE">
              <w:rPr>
                <w:rFonts w:ascii="Arial" w:hAnsi="Arial" w:cs="Arial"/>
                <w:sz w:val="20"/>
                <w:szCs w:val="22"/>
              </w:rPr>
              <w:t>бизнес план</w:t>
            </w:r>
          </w:p>
        </w:tc>
        <w:tc>
          <w:tcPr>
            <w:tcW w:w="1134" w:type="dxa"/>
            <w:tcBorders>
              <w:top w:val="single" w:sz="4" w:space="0" w:color="auto"/>
              <w:left w:val="single" w:sz="4" w:space="0" w:color="auto"/>
              <w:bottom w:val="single" w:sz="4" w:space="0" w:color="auto"/>
              <w:right w:val="single" w:sz="4" w:space="0" w:color="auto"/>
            </w:tcBorders>
            <w:vAlign w:val="center"/>
          </w:tcPr>
          <w:p w:rsidR="00865953" w:rsidRPr="00865953" w:rsidRDefault="00865953" w:rsidP="00865953">
            <w:pPr>
              <w:jc w:val="center"/>
              <w:rPr>
                <w:rFonts w:ascii="Arial" w:hAnsi="Arial" w:cs="Arial"/>
                <w:sz w:val="22"/>
                <w:szCs w:val="22"/>
              </w:rPr>
            </w:pPr>
            <w:r w:rsidRPr="00865953">
              <w:rPr>
                <w:rFonts w:ascii="Arial" w:hAnsi="Arial" w:cs="Arial"/>
                <w:sz w:val="22"/>
                <w:szCs w:val="22"/>
              </w:rPr>
              <w:t>1/2 (%)</w:t>
            </w:r>
          </w:p>
        </w:tc>
        <w:tc>
          <w:tcPr>
            <w:tcW w:w="1134" w:type="dxa"/>
            <w:tcBorders>
              <w:top w:val="single" w:sz="4" w:space="0" w:color="auto"/>
              <w:left w:val="single" w:sz="4" w:space="0" w:color="auto"/>
              <w:bottom w:val="single" w:sz="4" w:space="0" w:color="auto"/>
              <w:right w:val="single" w:sz="4" w:space="0" w:color="auto"/>
            </w:tcBorders>
            <w:vAlign w:val="center"/>
          </w:tcPr>
          <w:p w:rsidR="00865953" w:rsidRPr="00865953" w:rsidRDefault="00865953" w:rsidP="00865953">
            <w:pPr>
              <w:jc w:val="center"/>
              <w:rPr>
                <w:rFonts w:ascii="Arial" w:hAnsi="Arial" w:cs="Arial"/>
                <w:sz w:val="22"/>
                <w:szCs w:val="22"/>
              </w:rPr>
            </w:pPr>
            <w:r w:rsidRPr="00865953">
              <w:rPr>
                <w:rFonts w:ascii="Arial" w:hAnsi="Arial" w:cs="Arial"/>
                <w:sz w:val="22"/>
                <w:szCs w:val="22"/>
              </w:rPr>
              <w:t>2016 г.</w:t>
            </w:r>
          </w:p>
        </w:tc>
        <w:tc>
          <w:tcPr>
            <w:tcW w:w="1134" w:type="dxa"/>
            <w:tcBorders>
              <w:top w:val="single" w:sz="4" w:space="0" w:color="auto"/>
              <w:left w:val="single" w:sz="4" w:space="0" w:color="auto"/>
              <w:bottom w:val="single" w:sz="4" w:space="0" w:color="auto"/>
              <w:right w:val="single" w:sz="4" w:space="0" w:color="auto"/>
            </w:tcBorders>
            <w:vAlign w:val="center"/>
          </w:tcPr>
          <w:p w:rsidR="00865953" w:rsidRPr="00865953" w:rsidRDefault="00865953" w:rsidP="00865953">
            <w:pPr>
              <w:jc w:val="center"/>
              <w:rPr>
                <w:rFonts w:ascii="Arial" w:hAnsi="Arial" w:cs="Arial"/>
                <w:sz w:val="22"/>
                <w:szCs w:val="22"/>
              </w:rPr>
            </w:pPr>
            <w:r w:rsidRPr="00865953">
              <w:rPr>
                <w:rFonts w:ascii="Arial" w:hAnsi="Arial" w:cs="Arial"/>
                <w:sz w:val="22"/>
                <w:szCs w:val="22"/>
              </w:rPr>
              <w:t> 1/3 (%)</w:t>
            </w:r>
          </w:p>
        </w:tc>
      </w:tr>
      <w:tr w:rsidR="00865953" w:rsidRPr="00327A61" w:rsidTr="00364BFE">
        <w:trPr>
          <w:gridAfter w:val="4"/>
          <w:wAfter w:w="4396" w:type="dxa"/>
          <w:trHeight w:val="330"/>
        </w:trPr>
        <w:tc>
          <w:tcPr>
            <w:tcW w:w="4641" w:type="dxa"/>
            <w:tcBorders>
              <w:top w:val="single" w:sz="4" w:space="0" w:color="auto"/>
              <w:left w:val="single" w:sz="4" w:space="0" w:color="auto"/>
              <w:bottom w:val="single" w:sz="4" w:space="0" w:color="auto"/>
              <w:right w:val="single" w:sz="4" w:space="0" w:color="auto"/>
            </w:tcBorders>
            <w:vAlign w:val="bottom"/>
          </w:tcPr>
          <w:p w:rsidR="00865953" w:rsidRPr="00327A61" w:rsidRDefault="00865953" w:rsidP="00865953">
            <w:r w:rsidRPr="00327A61">
              <w:t>Краткотрайни активи</w:t>
            </w:r>
          </w:p>
        </w:tc>
        <w:tc>
          <w:tcPr>
            <w:tcW w:w="993" w:type="dxa"/>
            <w:tcBorders>
              <w:top w:val="nil"/>
              <w:left w:val="nil"/>
              <w:bottom w:val="nil"/>
              <w:right w:val="nil"/>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11 828</w:t>
            </w:r>
          </w:p>
        </w:tc>
        <w:tc>
          <w:tcPr>
            <w:tcW w:w="1134" w:type="dxa"/>
            <w:tcBorders>
              <w:top w:val="nil"/>
              <w:left w:val="single" w:sz="4" w:space="0" w:color="auto"/>
              <w:bottom w:val="nil"/>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11 634</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1.7%</w:t>
            </w:r>
          </w:p>
        </w:tc>
        <w:tc>
          <w:tcPr>
            <w:tcW w:w="1134" w:type="dxa"/>
            <w:tcBorders>
              <w:top w:val="nil"/>
              <w:left w:val="nil"/>
              <w:bottom w:val="nil"/>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11 404</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3.7%</w:t>
            </w:r>
          </w:p>
        </w:tc>
      </w:tr>
      <w:tr w:rsidR="00865953" w:rsidRPr="00327A61" w:rsidTr="00364BFE">
        <w:trPr>
          <w:gridAfter w:val="4"/>
          <w:wAfter w:w="4396" w:type="dxa"/>
          <w:trHeight w:val="330"/>
        </w:trPr>
        <w:tc>
          <w:tcPr>
            <w:tcW w:w="4641" w:type="dxa"/>
            <w:tcBorders>
              <w:top w:val="single" w:sz="4" w:space="0" w:color="auto"/>
              <w:left w:val="single" w:sz="4" w:space="0" w:color="auto"/>
              <w:bottom w:val="single" w:sz="4" w:space="0" w:color="auto"/>
              <w:right w:val="nil"/>
            </w:tcBorders>
            <w:vAlign w:val="bottom"/>
          </w:tcPr>
          <w:p w:rsidR="00865953" w:rsidRPr="00327A61" w:rsidRDefault="00865953" w:rsidP="00865953">
            <w:r w:rsidRPr="00327A61">
              <w:t>Краткосрочни пасиви</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651</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478</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36.2%</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717</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-9.2%</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single" w:sz="4" w:space="0" w:color="auto"/>
            </w:tcBorders>
            <w:vAlign w:val="bottom"/>
          </w:tcPr>
          <w:p w:rsidR="00865953" w:rsidRPr="00327A61" w:rsidRDefault="00865953" w:rsidP="00865953">
            <w:r w:rsidRPr="00327A61">
              <w:t>Оборотен капитал</w:t>
            </w:r>
          </w:p>
        </w:tc>
        <w:tc>
          <w:tcPr>
            <w:tcW w:w="993" w:type="dxa"/>
            <w:tcBorders>
              <w:top w:val="nil"/>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11 177</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11 156</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0.2%</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10 687</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4.6%</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865953" w:rsidRPr="00327A61" w:rsidRDefault="00865953" w:rsidP="00865953">
            <w:pPr>
              <w:rPr>
                <w:lang w:eastAsia="bg-BG"/>
              </w:rPr>
            </w:pPr>
            <w:r w:rsidRPr="00327A61">
              <w:t>Зает (постоянен) капитал</w:t>
            </w:r>
          </w:p>
        </w:tc>
        <w:tc>
          <w:tcPr>
            <w:tcW w:w="993" w:type="dxa"/>
            <w:tcBorders>
              <w:top w:val="nil"/>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16 456</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16 542</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-0.5%</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16 434</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0.1%</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single" w:sz="4" w:space="0" w:color="auto"/>
            </w:tcBorders>
            <w:vAlign w:val="bottom"/>
          </w:tcPr>
          <w:p w:rsidR="00865953" w:rsidRPr="00327A61" w:rsidRDefault="00865953" w:rsidP="00865953">
            <w:r w:rsidRPr="00327A61">
              <w:t xml:space="preserve">Текуща ликвидност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18.2</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24.3</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-25.4%</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15.9</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14.2%</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865953" w:rsidRPr="00327A61" w:rsidRDefault="00865953" w:rsidP="00865953">
            <w:r w:rsidRPr="00327A61">
              <w:t>Дългосрочни пасиви/Сума на активите (%)</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2.1%</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2.5%</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-15.0%</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2.4%</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-12.1%</w:t>
            </w:r>
          </w:p>
        </w:tc>
      </w:tr>
      <w:tr w:rsidR="00865953" w:rsidRPr="00327A61" w:rsidTr="00364BFE">
        <w:trPr>
          <w:gridAfter w:val="4"/>
          <w:wAfter w:w="4396" w:type="dxa"/>
          <w:trHeight w:val="172"/>
        </w:trPr>
        <w:tc>
          <w:tcPr>
            <w:tcW w:w="4641" w:type="dxa"/>
            <w:tcBorders>
              <w:top w:val="single" w:sz="4" w:space="0" w:color="auto"/>
              <w:left w:val="single" w:sz="4" w:space="0" w:color="auto"/>
              <w:bottom w:val="single" w:sz="4" w:space="0" w:color="auto"/>
              <w:right w:val="nil"/>
            </w:tcBorders>
            <w:shd w:val="clear" w:color="auto" w:fill="C0C0C0"/>
            <w:vAlign w:val="bottom"/>
          </w:tcPr>
          <w:p w:rsidR="00865953" w:rsidRPr="00327A61" w:rsidRDefault="00865953" w:rsidP="00865953">
            <w:pPr>
              <w:rPr>
                <w:sz w:val="22"/>
                <w:szCs w:val="22"/>
              </w:rPr>
            </w:pPr>
            <w:r w:rsidRPr="00327A61">
              <w:rPr>
                <w:sz w:val="22"/>
                <w:szCs w:val="22"/>
              </w:rPr>
              <w:t> </w:t>
            </w:r>
          </w:p>
        </w:tc>
        <w:tc>
          <w:tcPr>
            <w:tcW w:w="993" w:type="dxa"/>
            <w:tcBorders>
              <w:top w:val="single" w:sz="4" w:space="0" w:color="auto"/>
              <w:left w:val="single" w:sz="4" w:space="0" w:color="auto"/>
              <w:bottom w:val="single" w:sz="4" w:space="0" w:color="auto"/>
              <w:right w:val="single" w:sz="4" w:space="0" w:color="auto"/>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c>
          <w:tcPr>
            <w:tcW w:w="1134" w:type="dxa"/>
            <w:tcBorders>
              <w:top w:val="single" w:sz="4" w:space="0" w:color="auto"/>
              <w:left w:val="nil"/>
              <w:bottom w:val="single" w:sz="4" w:space="0" w:color="auto"/>
              <w:right w:val="nil"/>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c>
          <w:tcPr>
            <w:tcW w:w="1134" w:type="dxa"/>
            <w:tcBorders>
              <w:top w:val="single" w:sz="4" w:space="0" w:color="auto"/>
              <w:left w:val="nil"/>
              <w:bottom w:val="single" w:sz="4" w:space="0" w:color="auto"/>
              <w:right w:val="nil"/>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bottom"/>
          </w:tcPr>
          <w:p w:rsidR="00865953" w:rsidRPr="00865953" w:rsidRDefault="00865953" w:rsidP="00865953">
            <w:pPr>
              <w:rPr>
                <w:rFonts w:ascii="Arial" w:hAnsi="Arial" w:cs="Arial"/>
                <w:sz w:val="22"/>
                <w:szCs w:val="22"/>
              </w:rPr>
            </w:pPr>
            <w:r w:rsidRPr="00865953">
              <w:rPr>
                <w:rFonts w:ascii="Arial" w:hAnsi="Arial" w:cs="Arial"/>
                <w:sz w:val="22"/>
                <w:szCs w:val="22"/>
              </w:rPr>
              <w:t> </w:t>
            </w:r>
          </w:p>
        </w:tc>
      </w:tr>
      <w:tr w:rsidR="00865953" w:rsidRPr="00327A61" w:rsidTr="00364BFE">
        <w:trPr>
          <w:gridAfter w:val="4"/>
          <w:wAfter w:w="4396" w:type="dxa"/>
          <w:trHeight w:val="330"/>
        </w:trPr>
        <w:tc>
          <w:tcPr>
            <w:tcW w:w="4641" w:type="dxa"/>
            <w:tcBorders>
              <w:top w:val="single" w:sz="4" w:space="0" w:color="auto"/>
              <w:left w:val="single" w:sz="4" w:space="0" w:color="auto"/>
              <w:bottom w:val="single" w:sz="4" w:space="0" w:color="auto"/>
              <w:right w:val="single" w:sz="4" w:space="0" w:color="auto"/>
            </w:tcBorders>
            <w:vAlign w:val="bottom"/>
          </w:tcPr>
          <w:p w:rsidR="00865953" w:rsidRPr="00327A61" w:rsidRDefault="00865953" w:rsidP="00865953">
            <w:r w:rsidRPr="00327A61">
              <w:t>Средносписъчен брой на служителите за периода</w:t>
            </w:r>
          </w:p>
        </w:tc>
        <w:tc>
          <w:tcPr>
            <w:tcW w:w="993" w:type="dxa"/>
            <w:tcBorders>
              <w:top w:val="nil"/>
              <w:left w:val="single" w:sz="4" w:space="0" w:color="auto"/>
              <w:bottom w:val="nil"/>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lang w:eastAsia="bg-BG"/>
              </w:rPr>
            </w:pPr>
            <w:r w:rsidRPr="00865953">
              <w:rPr>
                <w:rFonts w:ascii="Arial" w:hAnsi="Arial" w:cs="Arial"/>
                <w:sz w:val="22"/>
                <w:szCs w:val="22"/>
              </w:rPr>
              <w:t>146</w:t>
            </w:r>
          </w:p>
        </w:tc>
        <w:tc>
          <w:tcPr>
            <w:tcW w:w="1134" w:type="dxa"/>
            <w:tcBorders>
              <w:top w:val="nil"/>
              <w:left w:val="nil"/>
              <w:bottom w:val="nil"/>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148</w:t>
            </w:r>
          </w:p>
        </w:tc>
        <w:tc>
          <w:tcPr>
            <w:tcW w:w="1134" w:type="dxa"/>
            <w:tcBorders>
              <w:top w:val="nil"/>
              <w:left w:val="nil"/>
              <w:bottom w:val="nil"/>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-1.4%</w:t>
            </w:r>
          </w:p>
        </w:tc>
        <w:tc>
          <w:tcPr>
            <w:tcW w:w="1134" w:type="dxa"/>
            <w:tcBorders>
              <w:top w:val="nil"/>
              <w:left w:val="nil"/>
              <w:bottom w:val="nil"/>
              <w:right w:val="nil"/>
            </w:tcBorders>
            <w:shd w:val="clear" w:color="000000" w:fill="FFFFFF"/>
            <w:vAlign w:val="bottom"/>
          </w:tcPr>
          <w:p w:rsidR="00865953" w:rsidRPr="00865953" w:rsidRDefault="00865953" w:rsidP="00865953">
            <w:pPr>
              <w:jc w:val="right"/>
              <w:rPr>
                <w:rFonts w:ascii="Arial" w:hAnsi="Arial" w:cs="Arial"/>
                <w:sz w:val="22"/>
                <w:szCs w:val="22"/>
                <w:lang w:eastAsia="bg-BG"/>
              </w:rPr>
            </w:pPr>
            <w:r w:rsidRPr="00865953">
              <w:rPr>
                <w:rFonts w:ascii="Arial" w:hAnsi="Arial" w:cs="Arial"/>
                <w:sz w:val="22"/>
                <w:szCs w:val="22"/>
              </w:rPr>
              <w:t>154</w:t>
            </w:r>
          </w:p>
        </w:tc>
        <w:tc>
          <w:tcPr>
            <w:tcW w:w="1134" w:type="dxa"/>
            <w:tcBorders>
              <w:top w:val="nil"/>
              <w:left w:val="single" w:sz="4" w:space="0" w:color="auto"/>
              <w:bottom w:val="nil"/>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-5.2%</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865953" w:rsidRPr="00327A61" w:rsidRDefault="00865953" w:rsidP="00865953">
            <w:r w:rsidRPr="00327A61">
              <w:t>Средна работна заплата за периода (в лева)</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1 044</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1 014</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3.0%</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1 114</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-6.3%</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865953" w:rsidRPr="00327A61" w:rsidRDefault="00865953" w:rsidP="00865953">
            <w:r w:rsidRPr="00327A61">
              <w:t>Обработени товари (хил. физ. тона)</w:t>
            </w:r>
          </w:p>
        </w:tc>
        <w:tc>
          <w:tcPr>
            <w:tcW w:w="993" w:type="dxa"/>
            <w:tcBorders>
              <w:top w:val="nil"/>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728</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623</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16.8%</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706</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3.1%</w:t>
            </w:r>
          </w:p>
        </w:tc>
      </w:tr>
      <w:tr w:rsidR="00865953" w:rsidRPr="00327A61" w:rsidTr="00364BFE">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865953" w:rsidRPr="00327A61" w:rsidRDefault="00865953" w:rsidP="00865953">
            <w:r w:rsidRPr="00327A61">
              <w:t>Приходи от продажби на един зает (в лева)</w:t>
            </w:r>
          </w:p>
        </w:tc>
        <w:tc>
          <w:tcPr>
            <w:tcW w:w="993" w:type="dxa"/>
            <w:tcBorders>
              <w:top w:val="nil"/>
              <w:left w:val="single" w:sz="4" w:space="0" w:color="auto"/>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37 082</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37 135</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-0.1%</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41 299</w:t>
            </w:r>
          </w:p>
        </w:tc>
        <w:tc>
          <w:tcPr>
            <w:tcW w:w="1134" w:type="dxa"/>
            <w:tcBorders>
              <w:top w:val="nil"/>
              <w:left w:val="nil"/>
              <w:bottom w:val="single" w:sz="4" w:space="0" w:color="auto"/>
              <w:right w:val="single" w:sz="4" w:space="0" w:color="auto"/>
            </w:tcBorders>
            <w:shd w:val="clear" w:color="000000" w:fill="FFFFFF"/>
            <w:vAlign w:val="bottom"/>
          </w:tcPr>
          <w:p w:rsidR="00865953" w:rsidRPr="00865953" w:rsidRDefault="00865953" w:rsidP="00865953">
            <w:pPr>
              <w:jc w:val="right"/>
              <w:rPr>
                <w:rFonts w:ascii="Arial" w:hAnsi="Arial" w:cs="Arial"/>
                <w:sz w:val="22"/>
                <w:szCs w:val="22"/>
              </w:rPr>
            </w:pPr>
            <w:r w:rsidRPr="00865953">
              <w:rPr>
                <w:rFonts w:ascii="Arial" w:hAnsi="Arial" w:cs="Arial"/>
                <w:sz w:val="22"/>
                <w:szCs w:val="22"/>
              </w:rPr>
              <w:t>-10.2%</w:t>
            </w:r>
          </w:p>
        </w:tc>
      </w:tr>
    </w:tbl>
    <w:p w:rsidR="006A0844" w:rsidRPr="00327A61" w:rsidRDefault="006A0844" w:rsidP="006A0844">
      <w:pPr>
        <w:tabs>
          <w:tab w:val="left" w:pos="4680"/>
        </w:tabs>
        <w:spacing w:after="120"/>
        <w:ind w:firstLine="709"/>
        <w:jc w:val="both"/>
      </w:pPr>
      <w:bookmarkStart w:id="39" w:name="_Hlk506993297"/>
      <w:bookmarkEnd w:id="38"/>
      <w:r w:rsidRPr="00327A61">
        <w:t>За 201</w:t>
      </w:r>
      <w:r w:rsidR="00DD0C04" w:rsidRPr="00327A61">
        <w:t>7</w:t>
      </w:r>
      <w:r w:rsidRPr="00327A61">
        <w:t xml:space="preserve"> г. е отчетеното </w:t>
      </w:r>
      <w:r w:rsidR="00DD0C04" w:rsidRPr="00327A61">
        <w:t>положително</w:t>
      </w:r>
      <w:r w:rsidRPr="00327A61">
        <w:t xml:space="preserve"> изменение на </w:t>
      </w:r>
      <w:r w:rsidRPr="00327A61">
        <w:rPr>
          <w:i/>
          <w:u w:val="single"/>
        </w:rPr>
        <w:t>паричните наличности</w:t>
      </w:r>
      <w:r w:rsidRPr="00327A61">
        <w:t xml:space="preserve">  в размер на </w:t>
      </w:r>
      <w:r w:rsidR="00DD0C04" w:rsidRPr="00327A61">
        <w:t>531</w:t>
      </w:r>
      <w:r w:rsidRPr="00327A61">
        <w:t xml:space="preserve"> хил.лв</w:t>
      </w:r>
      <w:r w:rsidR="003723F8" w:rsidRPr="00327A61">
        <w:t>.</w:t>
      </w:r>
      <w:r w:rsidRPr="00327A61">
        <w:t xml:space="preserve">  </w:t>
      </w:r>
      <w:r w:rsidR="00D122CB" w:rsidRPr="00327A61">
        <w:t>(</w:t>
      </w:r>
      <w:r w:rsidRPr="00327A61">
        <w:t>в сравнение 201</w:t>
      </w:r>
      <w:r w:rsidR="00DD0C04" w:rsidRPr="00327A61">
        <w:t>6</w:t>
      </w:r>
      <w:r w:rsidR="009147ED" w:rsidRPr="00327A61">
        <w:t xml:space="preserve"> г.</w:t>
      </w:r>
      <w:r w:rsidR="00DD0C04" w:rsidRPr="00327A61">
        <w:t xml:space="preserve"> завършва</w:t>
      </w:r>
      <w:r w:rsidR="009147ED" w:rsidRPr="00327A61">
        <w:t xml:space="preserve"> с </w:t>
      </w:r>
      <w:r w:rsidR="00905380" w:rsidRPr="00327A61">
        <w:t>отрицателен</w:t>
      </w:r>
      <w:r w:rsidR="009147ED" w:rsidRPr="00327A61">
        <w:t xml:space="preserve"> </w:t>
      </w:r>
      <w:r w:rsidR="00DD0C04" w:rsidRPr="00327A61">
        <w:t xml:space="preserve">паричен </w:t>
      </w:r>
      <w:r w:rsidR="009147ED" w:rsidRPr="00327A61">
        <w:t xml:space="preserve">поток от </w:t>
      </w:r>
      <w:r w:rsidR="0073770F" w:rsidRPr="00327A61">
        <w:t>-</w:t>
      </w:r>
      <w:r w:rsidR="00DD0C04" w:rsidRPr="00327A61">
        <w:t>221</w:t>
      </w:r>
      <w:r w:rsidR="009147ED" w:rsidRPr="00327A61">
        <w:t xml:space="preserve"> </w:t>
      </w:r>
      <w:r w:rsidRPr="00327A61">
        <w:t>хил.лв)</w:t>
      </w:r>
      <w:r w:rsidR="00F554B9" w:rsidRPr="00327A61">
        <w:t>.</w:t>
      </w:r>
    </w:p>
    <w:p w:rsidR="00E20C33" w:rsidRPr="00327A61" w:rsidRDefault="00E20C33" w:rsidP="00E20C33">
      <w:pPr>
        <w:pStyle w:val="BodyTextIndent"/>
        <w:tabs>
          <w:tab w:val="left" w:pos="1080"/>
        </w:tabs>
        <w:spacing w:after="120"/>
        <w:ind w:firstLine="0"/>
      </w:pPr>
      <w:r w:rsidRPr="00327A61">
        <w:t xml:space="preserve"> </w:t>
      </w:r>
      <w:r w:rsidRPr="00327A61">
        <w:tab/>
        <w:t xml:space="preserve">- </w:t>
      </w:r>
      <w:r w:rsidR="00811AA5" w:rsidRPr="00327A61">
        <w:t xml:space="preserve">В Отчета за паричния поток </w:t>
      </w:r>
      <w:r w:rsidR="00B25D8E" w:rsidRPr="00327A61">
        <w:rPr>
          <w:i/>
        </w:rPr>
        <w:t>(</w:t>
      </w:r>
      <w:r w:rsidR="00811AA5" w:rsidRPr="00327A61">
        <w:rPr>
          <w:i/>
        </w:rPr>
        <w:t>по косвения метод</w:t>
      </w:r>
      <w:r w:rsidR="00B25D8E" w:rsidRPr="00327A61">
        <w:rPr>
          <w:i/>
        </w:rPr>
        <w:t>)</w:t>
      </w:r>
      <w:r w:rsidR="00811AA5" w:rsidRPr="00327A61">
        <w:t xml:space="preserve"> </w:t>
      </w:r>
      <w:r w:rsidRPr="00327A61">
        <w:t xml:space="preserve">е </w:t>
      </w:r>
      <w:r w:rsidR="00811AA5" w:rsidRPr="00327A61">
        <w:t xml:space="preserve">отчетен </w:t>
      </w:r>
      <w:r w:rsidRPr="00327A61">
        <w:rPr>
          <w:i/>
          <w:u w:val="single"/>
        </w:rPr>
        <w:t>паричен поток от основна дейност</w:t>
      </w:r>
      <w:r w:rsidRPr="00327A61">
        <w:t xml:space="preserve"> от </w:t>
      </w:r>
      <w:r w:rsidR="00DD0C04" w:rsidRPr="00327A61">
        <w:t>+496</w:t>
      </w:r>
      <w:r w:rsidR="003E76C6" w:rsidRPr="00327A61">
        <w:t xml:space="preserve"> </w:t>
      </w:r>
      <w:r w:rsidRPr="00327A61">
        <w:t>хил.лв.</w:t>
      </w:r>
    </w:p>
    <w:p w:rsidR="00302973" w:rsidRPr="00327A61" w:rsidRDefault="00E20C33" w:rsidP="00E20C33">
      <w:pPr>
        <w:pStyle w:val="BodyTextIndent"/>
        <w:tabs>
          <w:tab w:val="left" w:pos="1080"/>
        </w:tabs>
        <w:spacing w:after="120"/>
        <w:ind w:firstLine="0"/>
        <w:rPr>
          <w:lang w:val="ru-RU"/>
        </w:rPr>
      </w:pPr>
      <w:r w:rsidRPr="00327A61">
        <w:tab/>
        <w:t xml:space="preserve">- </w:t>
      </w:r>
      <w:r w:rsidRPr="00327A61">
        <w:rPr>
          <w:i/>
          <w:u w:val="single"/>
        </w:rPr>
        <w:t>Паричния поток от инвестиционна дейност</w:t>
      </w:r>
      <w:r w:rsidRPr="00327A61">
        <w:t xml:space="preserve"> </w:t>
      </w:r>
      <w:r w:rsidR="00AB267E" w:rsidRPr="00327A61">
        <w:t>за</w:t>
      </w:r>
      <w:r w:rsidR="00CF73C8" w:rsidRPr="00327A61">
        <w:t xml:space="preserve"> 20</w:t>
      </w:r>
      <w:r w:rsidR="00302973" w:rsidRPr="00327A61">
        <w:rPr>
          <w:lang w:val="ru-RU"/>
        </w:rPr>
        <w:t>1</w:t>
      </w:r>
      <w:r w:rsidR="00DD0C04" w:rsidRPr="00327A61">
        <w:rPr>
          <w:lang w:val="ru-RU"/>
        </w:rPr>
        <w:t>7</w:t>
      </w:r>
      <w:r w:rsidR="00A96904" w:rsidRPr="00327A61">
        <w:t xml:space="preserve"> г. </w:t>
      </w:r>
      <w:r w:rsidR="003221F3" w:rsidRPr="00327A61">
        <w:t>е в размер</w:t>
      </w:r>
      <w:r w:rsidR="00CF73C8" w:rsidRPr="00327A61">
        <w:t xml:space="preserve"> на </w:t>
      </w:r>
      <w:r w:rsidR="003221F3" w:rsidRPr="00327A61">
        <w:t>+</w:t>
      </w:r>
      <w:r w:rsidR="00DD0C04" w:rsidRPr="00327A61">
        <w:t>35</w:t>
      </w:r>
      <w:r w:rsidR="00CF73C8" w:rsidRPr="00327A61">
        <w:t xml:space="preserve"> хил.лв.  </w:t>
      </w:r>
    </w:p>
    <w:p w:rsidR="00E20C33" w:rsidRPr="00327A61" w:rsidRDefault="00E20C33" w:rsidP="00E20C33">
      <w:pPr>
        <w:pStyle w:val="BodyTextIndent"/>
        <w:tabs>
          <w:tab w:val="left" w:pos="1080"/>
        </w:tabs>
        <w:spacing w:after="120"/>
        <w:ind w:firstLine="0"/>
      </w:pPr>
      <w:r w:rsidRPr="00327A61">
        <w:tab/>
        <w:t xml:space="preserve">- </w:t>
      </w:r>
      <w:r w:rsidR="00DD0C04" w:rsidRPr="00327A61">
        <w:t xml:space="preserve">В дружеството </w:t>
      </w:r>
      <w:r w:rsidR="001F0218" w:rsidRPr="00327A61">
        <w:t xml:space="preserve">няма отчетен </w:t>
      </w:r>
      <w:r w:rsidR="001F0218" w:rsidRPr="00327A61">
        <w:rPr>
          <w:i/>
          <w:u w:val="single"/>
        </w:rPr>
        <w:t>Паричен поток от финансова дейност</w:t>
      </w:r>
      <w:r w:rsidR="001F0218" w:rsidRPr="00327A61">
        <w:t xml:space="preserve"> (съгласно ОПП по косвения метод)</w:t>
      </w:r>
      <w:bookmarkEnd w:id="39"/>
      <w:r w:rsidRPr="00327A61">
        <w:rPr>
          <w:b/>
        </w:rPr>
        <w:t>.</w:t>
      </w:r>
    </w:p>
    <w:p w:rsidR="00E7571B" w:rsidRPr="00327A61" w:rsidRDefault="00E7571B" w:rsidP="00F87D1C">
      <w:pPr>
        <w:pStyle w:val="BodyTextIndent"/>
        <w:spacing w:after="120"/>
        <w:ind w:firstLine="709"/>
        <w:rPr>
          <w:i/>
          <w:lang w:val="ru-RU"/>
        </w:rPr>
      </w:pPr>
    </w:p>
    <w:p w:rsidR="00B140FA" w:rsidRPr="00327A61" w:rsidRDefault="00797519" w:rsidP="00B140FA">
      <w:pPr>
        <w:pStyle w:val="BodyTextIndent"/>
        <w:spacing w:after="120"/>
        <w:ind w:firstLine="0"/>
        <w:jc w:val="center"/>
        <w:rPr>
          <w:b/>
          <w:smallCaps/>
          <w:sz w:val="28"/>
          <w:szCs w:val="28"/>
          <w:lang w:val="en-US"/>
        </w:rPr>
      </w:pPr>
      <w:r w:rsidRPr="00327A61">
        <w:rPr>
          <w:noProof/>
          <w:lang w:eastAsia="bg-BG"/>
        </w:rPr>
        <w:lastRenderedPageBreak/>
        <w:drawing>
          <wp:inline distT="0" distB="0" distL="0" distR="0">
            <wp:extent cx="5162550" cy="2924175"/>
            <wp:effectExtent l="0" t="0" r="0" b="9525"/>
            <wp:docPr id="9" name="Ди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B140FA" w:rsidRPr="00327A61" w:rsidRDefault="00BE7AA2" w:rsidP="00DD76F5">
      <w:pPr>
        <w:pStyle w:val="Heading2"/>
        <w:numPr>
          <w:ilvl w:val="1"/>
          <w:numId w:val="2"/>
        </w:numPr>
        <w:tabs>
          <w:tab w:val="num" w:pos="540"/>
        </w:tabs>
        <w:spacing w:before="240" w:after="120"/>
        <w:rPr>
          <w:rFonts w:ascii="Times New Roman" w:hAnsi="Times New Roman"/>
          <w:i/>
          <w:sz w:val="24"/>
          <w:u w:val="single"/>
        </w:rPr>
      </w:pPr>
      <w:bookmarkStart w:id="40" w:name="_Toc288478115"/>
      <w:bookmarkStart w:id="41" w:name="_Toc477959773"/>
      <w:r w:rsidRPr="00327A61">
        <w:rPr>
          <w:rFonts w:ascii="Times New Roman" w:hAnsi="Times New Roman"/>
          <w:i/>
          <w:sz w:val="24"/>
          <w:u w:val="single"/>
        </w:rPr>
        <w:t>2</w:t>
      </w:r>
      <w:r w:rsidRPr="00327A61">
        <w:rPr>
          <w:rFonts w:ascii="Times New Roman" w:hAnsi="Times New Roman"/>
          <w:i/>
          <w:smallCaps/>
          <w:sz w:val="24"/>
          <w:u w:val="single"/>
        </w:rPr>
        <w:t xml:space="preserve">) </w:t>
      </w:r>
      <w:r w:rsidR="00F615E0" w:rsidRPr="00327A61">
        <w:rPr>
          <w:rFonts w:ascii="Times New Roman" w:hAnsi="Times New Roman"/>
          <w:i/>
          <w:smallCaps/>
          <w:sz w:val="24"/>
          <w:u w:val="single"/>
        </w:rPr>
        <w:t>Финансови коефициенти</w:t>
      </w:r>
      <w:bookmarkEnd w:id="40"/>
      <w:bookmarkEnd w:id="41"/>
      <w:r w:rsidR="00B140FA" w:rsidRPr="00327A61">
        <w:t xml:space="preserve"> </w:t>
      </w:r>
    </w:p>
    <w:p w:rsidR="00FB42B8" w:rsidRPr="00327A61" w:rsidRDefault="009B6476" w:rsidP="009F323F">
      <w:pPr>
        <w:spacing w:after="240"/>
        <w:ind w:firstLine="720"/>
        <w:jc w:val="both"/>
        <w:rPr>
          <w:rFonts w:eastAsia="Times New Roman"/>
          <w:lang w:eastAsia="bg-BG"/>
        </w:rPr>
      </w:pPr>
      <w:r w:rsidRPr="00327A61">
        <w:t>1)</w:t>
      </w:r>
      <w:r w:rsidR="00B97C1A" w:rsidRPr="00327A61">
        <w:t xml:space="preserve"> Като обобщаващ показател, </w:t>
      </w:r>
      <w:r w:rsidR="00B97C1A" w:rsidRPr="00327A61">
        <w:rPr>
          <w:b/>
        </w:rPr>
        <w:t>рентабилността</w:t>
      </w:r>
      <w:r w:rsidR="00B97C1A" w:rsidRPr="00327A61">
        <w:t xml:space="preserve"> отразява цялостната ефективност от дейността на фирмата.</w:t>
      </w:r>
      <w:r w:rsidR="00B97C1A" w:rsidRPr="00327A61">
        <w:rPr>
          <w:lang w:val="ru-RU"/>
        </w:rPr>
        <w:t xml:space="preserve"> </w:t>
      </w:r>
      <w:r w:rsidR="00247B41" w:rsidRPr="00327A61">
        <w:rPr>
          <w:rFonts w:eastAsia="Times New Roman"/>
          <w:lang w:eastAsia="bg-BG"/>
        </w:rPr>
        <w:t xml:space="preserve">Показателите за рентабилност </w:t>
      </w:r>
      <w:r w:rsidR="00467CF6" w:rsidRPr="00327A61">
        <w:rPr>
          <w:rFonts w:eastAsia="Times New Roman"/>
          <w:lang w:eastAsia="bg-BG"/>
        </w:rPr>
        <w:t>отчитат динамиката на различните компоненти на приходите и разходите на дружеството</w:t>
      </w:r>
      <w:r w:rsidR="00365A8E" w:rsidRPr="00327A61">
        <w:rPr>
          <w:rFonts w:eastAsia="Times New Roman"/>
          <w:lang w:eastAsia="bg-BG"/>
        </w:rPr>
        <w:t xml:space="preserve">. </w:t>
      </w:r>
      <w:r w:rsidR="00FB42B8" w:rsidRPr="00327A61">
        <w:rPr>
          <w:rFonts w:eastAsia="Times New Roman"/>
          <w:lang w:eastAsia="bg-BG"/>
        </w:rPr>
        <w:t>Видно е, че за 2017г. стойностите на основните коефициенти на рентабилност спадат</w:t>
      </w:r>
      <w:r w:rsidR="00FB42B8" w:rsidRPr="00B762F8">
        <w:rPr>
          <w:rFonts w:eastAsia="Times New Roman"/>
          <w:lang w:eastAsia="bg-BG"/>
        </w:rPr>
        <w:t>.</w:t>
      </w:r>
      <w:r w:rsidR="00B762F8" w:rsidRPr="00B762F8">
        <w:t xml:space="preserve"> Основна причина за това са значително по-ниските стойности на приходите от продажби и печалбата в сравнение с 2016г</w:t>
      </w:r>
    </w:p>
    <w:tbl>
      <w:tblPr>
        <w:tblStyle w:val="TableContemporary"/>
        <w:tblW w:w="9552" w:type="dxa"/>
        <w:tblLook w:val="0000" w:firstRow="0" w:lastRow="0" w:firstColumn="0" w:lastColumn="0" w:noHBand="0" w:noVBand="0"/>
      </w:tblPr>
      <w:tblGrid>
        <w:gridCol w:w="3402"/>
        <w:gridCol w:w="3402"/>
        <w:gridCol w:w="895"/>
        <w:gridCol w:w="1098"/>
        <w:gridCol w:w="900"/>
      </w:tblGrid>
      <w:tr w:rsidR="003777D2" w:rsidRPr="00327A61" w:rsidTr="003777D2">
        <w:trPr>
          <w:cnfStyle w:val="000000100000" w:firstRow="0" w:lastRow="0" w:firstColumn="0" w:lastColumn="0" w:oddVBand="0" w:evenVBand="0" w:oddHBand="1" w:evenHBand="0" w:firstRowFirstColumn="0" w:firstRowLastColumn="0" w:lastRowFirstColumn="0" w:lastRowLastColumn="0"/>
          <w:trHeight w:val="499"/>
        </w:trPr>
        <w:tc>
          <w:tcPr>
            <w:tcW w:w="3402" w:type="dxa"/>
            <w:shd w:val="clear" w:color="auto" w:fill="BFBFBF" w:themeFill="background1" w:themeFillShade="BF"/>
            <w:vAlign w:val="center"/>
          </w:tcPr>
          <w:p w:rsidR="003777D2" w:rsidRPr="00327A61" w:rsidRDefault="003777D2" w:rsidP="007E25B8">
            <w:pPr>
              <w:jc w:val="center"/>
              <w:rPr>
                <w:rFonts w:ascii="Arial" w:hAnsi="Arial" w:cs="Arial"/>
                <w:b/>
                <w:bCs/>
                <w:sz w:val="20"/>
                <w:szCs w:val="20"/>
              </w:rPr>
            </w:pPr>
            <w:bookmarkStart w:id="42" w:name="_Toc225071145"/>
            <w:r w:rsidRPr="00327A61">
              <w:rPr>
                <w:rFonts w:ascii="Arial" w:hAnsi="Arial" w:cs="Arial"/>
                <w:b/>
                <w:bCs/>
                <w:sz w:val="20"/>
                <w:szCs w:val="20"/>
              </w:rPr>
              <w:t>Показатели /Финансови коефициенти:</w:t>
            </w:r>
          </w:p>
        </w:tc>
        <w:tc>
          <w:tcPr>
            <w:tcW w:w="3402" w:type="dxa"/>
            <w:vMerge w:val="restart"/>
            <w:shd w:val="clear" w:color="auto" w:fill="BFBFBF" w:themeFill="background1" w:themeFillShade="BF"/>
            <w:noWrap/>
            <w:vAlign w:val="center"/>
          </w:tcPr>
          <w:p w:rsidR="003777D2" w:rsidRPr="00327A61" w:rsidRDefault="003777D2" w:rsidP="007E25B8">
            <w:pPr>
              <w:jc w:val="center"/>
              <w:rPr>
                <w:rFonts w:ascii="Arial" w:hAnsi="Arial" w:cs="Arial"/>
                <w:b/>
                <w:bCs/>
                <w:sz w:val="20"/>
                <w:szCs w:val="20"/>
              </w:rPr>
            </w:pPr>
            <w:r w:rsidRPr="00327A61">
              <w:rPr>
                <w:rFonts w:ascii="Arial" w:hAnsi="Arial" w:cs="Arial"/>
                <w:b/>
                <w:bCs/>
                <w:sz w:val="20"/>
                <w:szCs w:val="20"/>
              </w:rPr>
              <w:t>Формула</w:t>
            </w:r>
          </w:p>
        </w:tc>
        <w:tc>
          <w:tcPr>
            <w:tcW w:w="750" w:type="dxa"/>
            <w:vMerge w:val="restart"/>
            <w:shd w:val="clear" w:color="auto" w:fill="BFBFBF" w:themeFill="background1" w:themeFillShade="BF"/>
            <w:noWrap/>
            <w:vAlign w:val="center"/>
          </w:tcPr>
          <w:p w:rsidR="003777D2" w:rsidRPr="00327A61" w:rsidRDefault="003777D2" w:rsidP="007E25B8">
            <w:pPr>
              <w:jc w:val="center"/>
              <w:rPr>
                <w:rFonts w:ascii="Arial" w:hAnsi="Arial" w:cs="Arial"/>
                <w:b/>
                <w:bCs/>
                <w:sz w:val="20"/>
                <w:szCs w:val="20"/>
              </w:rPr>
            </w:pPr>
            <w:r w:rsidRPr="00327A61">
              <w:rPr>
                <w:rFonts w:ascii="Arial" w:hAnsi="Arial" w:cs="Arial"/>
                <w:b/>
                <w:bCs/>
                <w:sz w:val="20"/>
                <w:szCs w:val="20"/>
              </w:rPr>
              <w:t>2016г.</w:t>
            </w:r>
          </w:p>
        </w:tc>
        <w:tc>
          <w:tcPr>
            <w:tcW w:w="1098" w:type="dxa"/>
            <w:vMerge w:val="restart"/>
            <w:shd w:val="clear" w:color="auto" w:fill="BFBFBF" w:themeFill="background1" w:themeFillShade="BF"/>
            <w:noWrap/>
            <w:vAlign w:val="center"/>
          </w:tcPr>
          <w:p w:rsidR="003777D2" w:rsidRPr="00327A61" w:rsidRDefault="003777D2" w:rsidP="007E25B8">
            <w:pPr>
              <w:jc w:val="center"/>
              <w:rPr>
                <w:rFonts w:ascii="Arial" w:hAnsi="Arial" w:cs="Arial"/>
                <w:b/>
                <w:bCs/>
                <w:sz w:val="20"/>
                <w:szCs w:val="20"/>
              </w:rPr>
            </w:pPr>
            <w:r w:rsidRPr="00327A61">
              <w:rPr>
                <w:rFonts w:ascii="Arial" w:hAnsi="Arial" w:cs="Arial"/>
                <w:b/>
                <w:bCs/>
                <w:sz w:val="20"/>
                <w:szCs w:val="20"/>
              </w:rPr>
              <w:t>БП</w:t>
            </w:r>
          </w:p>
          <w:p w:rsidR="003777D2" w:rsidRPr="00327A61" w:rsidRDefault="003777D2" w:rsidP="007E25B8">
            <w:pPr>
              <w:jc w:val="center"/>
              <w:rPr>
                <w:rFonts w:ascii="Arial" w:hAnsi="Arial" w:cs="Arial"/>
                <w:b/>
                <w:bCs/>
                <w:sz w:val="20"/>
                <w:szCs w:val="20"/>
                <w:lang w:val="en-US"/>
              </w:rPr>
            </w:pPr>
            <w:r w:rsidRPr="00327A61">
              <w:rPr>
                <w:rFonts w:ascii="Arial" w:hAnsi="Arial" w:cs="Arial"/>
                <w:b/>
                <w:bCs/>
                <w:sz w:val="20"/>
                <w:szCs w:val="20"/>
              </w:rPr>
              <w:t>2017</w:t>
            </w:r>
          </w:p>
        </w:tc>
        <w:tc>
          <w:tcPr>
            <w:tcW w:w="900" w:type="dxa"/>
            <w:vMerge w:val="restart"/>
            <w:shd w:val="clear" w:color="auto" w:fill="BFBFBF" w:themeFill="background1" w:themeFillShade="BF"/>
            <w:noWrap/>
            <w:vAlign w:val="center"/>
          </w:tcPr>
          <w:p w:rsidR="003777D2" w:rsidRPr="00327A61" w:rsidRDefault="003777D2" w:rsidP="007E25B8">
            <w:pPr>
              <w:jc w:val="center"/>
              <w:rPr>
                <w:rFonts w:ascii="Arial" w:hAnsi="Arial" w:cs="Arial"/>
                <w:b/>
                <w:bCs/>
                <w:sz w:val="20"/>
                <w:szCs w:val="20"/>
              </w:rPr>
            </w:pPr>
            <w:r w:rsidRPr="00327A61">
              <w:rPr>
                <w:rFonts w:ascii="Arial" w:hAnsi="Arial" w:cs="Arial"/>
                <w:b/>
                <w:bCs/>
                <w:sz w:val="20"/>
                <w:szCs w:val="20"/>
              </w:rPr>
              <w:t>2017г.</w:t>
            </w:r>
          </w:p>
        </w:tc>
      </w:tr>
      <w:tr w:rsidR="003777D2" w:rsidRPr="00327A61" w:rsidTr="003777D2">
        <w:trPr>
          <w:cnfStyle w:val="000000010000" w:firstRow="0" w:lastRow="0" w:firstColumn="0" w:lastColumn="0" w:oddVBand="0" w:evenVBand="0" w:oddHBand="0" w:evenHBand="1" w:firstRowFirstColumn="0" w:firstRowLastColumn="0" w:lastRowFirstColumn="0" w:lastRowLastColumn="0"/>
          <w:trHeight w:val="355"/>
        </w:trPr>
        <w:tc>
          <w:tcPr>
            <w:tcW w:w="3402" w:type="dxa"/>
            <w:shd w:val="clear" w:color="auto" w:fill="BFBFBF" w:themeFill="background1" w:themeFillShade="BF"/>
            <w:noWrap/>
            <w:vAlign w:val="center"/>
          </w:tcPr>
          <w:p w:rsidR="003777D2" w:rsidRPr="00327A61" w:rsidRDefault="003777D2" w:rsidP="003777D2">
            <w:pPr>
              <w:jc w:val="center"/>
              <w:rPr>
                <w:rFonts w:ascii="Arial" w:hAnsi="Arial" w:cs="Arial"/>
                <w:b/>
                <w:bCs/>
                <w:i/>
                <w:iCs/>
                <w:sz w:val="20"/>
                <w:szCs w:val="20"/>
                <w:u w:val="single"/>
              </w:rPr>
            </w:pPr>
            <w:r w:rsidRPr="00327A61">
              <w:rPr>
                <w:rFonts w:ascii="Arial" w:hAnsi="Arial" w:cs="Arial"/>
                <w:b/>
                <w:bCs/>
                <w:i/>
                <w:iCs/>
                <w:sz w:val="20"/>
                <w:szCs w:val="20"/>
                <w:u w:val="single"/>
              </w:rPr>
              <w:t>Проценти на рентабилност:</w:t>
            </w:r>
          </w:p>
        </w:tc>
        <w:tc>
          <w:tcPr>
            <w:tcW w:w="3402" w:type="dxa"/>
            <w:vMerge/>
            <w:shd w:val="clear" w:color="auto" w:fill="BFBFBF" w:themeFill="background1" w:themeFillShade="BF"/>
            <w:noWrap/>
          </w:tcPr>
          <w:p w:rsidR="003777D2" w:rsidRPr="00327A61" w:rsidRDefault="003777D2">
            <w:pPr>
              <w:rPr>
                <w:rFonts w:ascii="Arial" w:hAnsi="Arial" w:cs="Arial"/>
                <w:b/>
                <w:bCs/>
                <w:i/>
                <w:iCs/>
                <w:sz w:val="20"/>
                <w:szCs w:val="20"/>
                <w:u w:val="single"/>
              </w:rPr>
            </w:pPr>
          </w:p>
        </w:tc>
        <w:tc>
          <w:tcPr>
            <w:tcW w:w="750" w:type="dxa"/>
            <w:vMerge/>
            <w:shd w:val="clear" w:color="auto" w:fill="BFBFBF" w:themeFill="background1" w:themeFillShade="BF"/>
            <w:noWrap/>
          </w:tcPr>
          <w:p w:rsidR="003777D2" w:rsidRPr="00327A61" w:rsidRDefault="003777D2">
            <w:pPr>
              <w:rPr>
                <w:rFonts w:ascii="Arial" w:hAnsi="Arial" w:cs="Arial"/>
                <w:b/>
                <w:bCs/>
                <w:i/>
                <w:iCs/>
                <w:sz w:val="20"/>
                <w:szCs w:val="20"/>
                <w:u w:val="single"/>
              </w:rPr>
            </w:pPr>
          </w:p>
        </w:tc>
        <w:tc>
          <w:tcPr>
            <w:tcW w:w="1098" w:type="dxa"/>
            <w:vMerge/>
            <w:shd w:val="clear" w:color="auto" w:fill="BFBFBF" w:themeFill="background1" w:themeFillShade="BF"/>
            <w:noWrap/>
          </w:tcPr>
          <w:p w:rsidR="003777D2" w:rsidRPr="00327A61" w:rsidRDefault="003777D2">
            <w:pPr>
              <w:rPr>
                <w:rFonts w:ascii="Arial" w:hAnsi="Arial" w:cs="Arial"/>
                <w:b/>
                <w:bCs/>
                <w:i/>
                <w:iCs/>
                <w:sz w:val="20"/>
                <w:szCs w:val="20"/>
                <w:u w:val="single"/>
              </w:rPr>
            </w:pPr>
          </w:p>
        </w:tc>
        <w:tc>
          <w:tcPr>
            <w:tcW w:w="900" w:type="dxa"/>
            <w:vMerge/>
            <w:shd w:val="clear" w:color="auto" w:fill="BFBFBF" w:themeFill="background1" w:themeFillShade="BF"/>
            <w:noWrap/>
          </w:tcPr>
          <w:p w:rsidR="003777D2" w:rsidRPr="00327A61" w:rsidRDefault="003777D2">
            <w:pPr>
              <w:rPr>
                <w:rFonts w:ascii="Arial" w:hAnsi="Arial" w:cs="Arial"/>
                <w:b/>
                <w:bCs/>
                <w:i/>
                <w:iCs/>
                <w:sz w:val="20"/>
                <w:szCs w:val="20"/>
                <w:u w:val="single"/>
              </w:rPr>
            </w:pPr>
          </w:p>
        </w:tc>
      </w:tr>
      <w:tr w:rsidR="003777D2" w:rsidRPr="00327A61" w:rsidTr="003777D2">
        <w:trPr>
          <w:cnfStyle w:val="000000100000" w:firstRow="0" w:lastRow="0" w:firstColumn="0" w:lastColumn="0" w:oddVBand="0" w:evenVBand="0" w:oddHBand="1" w:evenHBand="0" w:firstRowFirstColumn="0" w:firstRowLastColumn="0" w:lastRowFirstColumn="0" w:lastRowLastColumn="0"/>
          <w:trHeight w:val="390"/>
        </w:trPr>
        <w:tc>
          <w:tcPr>
            <w:tcW w:w="3402" w:type="dxa"/>
            <w:vMerge w:val="restart"/>
            <w:shd w:val="clear" w:color="auto" w:fill="D9D9D9" w:themeFill="background1" w:themeFillShade="D9"/>
            <w:vAlign w:val="center"/>
          </w:tcPr>
          <w:p w:rsidR="003777D2" w:rsidRPr="00327A61" w:rsidRDefault="003777D2" w:rsidP="003D0207">
            <w:pPr>
              <w:rPr>
                <w:rFonts w:ascii="Arial" w:hAnsi="Arial" w:cs="Arial"/>
                <w:sz w:val="20"/>
                <w:szCs w:val="20"/>
              </w:rPr>
            </w:pPr>
            <w:r w:rsidRPr="00327A61">
              <w:rPr>
                <w:rFonts w:ascii="Arial" w:hAnsi="Arial" w:cs="Arial"/>
                <w:sz w:val="20"/>
                <w:szCs w:val="20"/>
              </w:rPr>
              <w:t>1. На печалбата преди лихви и данъци</w:t>
            </w:r>
          </w:p>
        </w:tc>
        <w:tc>
          <w:tcPr>
            <w:tcW w:w="3402" w:type="dxa"/>
            <w:shd w:val="clear" w:color="auto" w:fill="D9D9D9" w:themeFill="background1" w:themeFillShade="D9"/>
            <w:noWrap/>
            <w:vAlign w:val="bottom"/>
          </w:tcPr>
          <w:p w:rsidR="003777D2" w:rsidRPr="00327A61" w:rsidRDefault="003777D2" w:rsidP="007E25B8">
            <w:pPr>
              <w:jc w:val="center"/>
              <w:rPr>
                <w:rFonts w:ascii="Arial" w:hAnsi="Arial" w:cs="Arial"/>
                <w:sz w:val="20"/>
                <w:szCs w:val="20"/>
              </w:rPr>
            </w:pPr>
            <w:r w:rsidRPr="00327A61">
              <w:rPr>
                <w:rFonts w:ascii="Arial" w:hAnsi="Arial" w:cs="Arial"/>
                <w:sz w:val="20"/>
                <w:szCs w:val="20"/>
              </w:rPr>
              <w:t>Печ. преди лихви и данъци (EBIT)</w:t>
            </w:r>
          </w:p>
        </w:tc>
        <w:tc>
          <w:tcPr>
            <w:tcW w:w="750" w:type="dxa"/>
            <w:vMerge w:val="restart"/>
            <w:shd w:val="clear" w:color="auto" w:fill="D9D9D9" w:themeFill="background1" w:themeFillShade="D9"/>
            <w:noWrap/>
            <w:vAlign w:val="center"/>
          </w:tcPr>
          <w:p w:rsidR="003777D2" w:rsidRPr="00327A61" w:rsidRDefault="003777D2" w:rsidP="003D0207">
            <w:pPr>
              <w:jc w:val="right"/>
              <w:rPr>
                <w:rFonts w:ascii="Arial" w:hAnsi="Arial" w:cs="Arial"/>
                <w:sz w:val="20"/>
                <w:szCs w:val="20"/>
                <w:lang w:eastAsia="bg-BG"/>
              </w:rPr>
            </w:pPr>
            <w:r w:rsidRPr="00327A61">
              <w:rPr>
                <w:rFonts w:ascii="Arial" w:hAnsi="Arial" w:cs="Arial"/>
                <w:sz w:val="20"/>
                <w:szCs w:val="20"/>
              </w:rPr>
              <w:t>19.</w:t>
            </w:r>
            <w:r w:rsidR="002A4234">
              <w:rPr>
                <w:rFonts w:ascii="Arial" w:hAnsi="Arial" w:cs="Arial"/>
                <w:sz w:val="20"/>
                <w:szCs w:val="20"/>
              </w:rPr>
              <w:t>03</w:t>
            </w:r>
            <w:r w:rsidRPr="00327A61">
              <w:rPr>
                <w:rFonts w:ascii="Arial" w:hAnsi="Arial" w:cs="Arial"/>
                <w:sz w:val="20"/>
                <w:szCs w:val="20"/>
              </w:rPr>
              <w:t>%</w:t>
            </w:r>
          </w:p>
        </w:tc>
        <w:tc>
          <w:tcPr>
            <w:tcW w:w="1098" w:type="dxa"/>
            <w:vMerge w:val="restart"/>
            <w:shd w:val="clear" w:color="auto" w:fill="D9D9D9" w:themeFill="background1" w:themeFillShade="D9"/>
            <w:noWrap/>
            <w:vAlign w:val="center"/>
          </w:tcPr>
          <w:p w:rsidR="003777D2" w:rsidRPr="00327A61" w:rsidRDefault="003777D2" w:rsidP="003D0207">
            <w:pPr>
              <w:jc w:val="right"/>
              <w:rPr>
                <w:rFonts w:ascii="Arial" w:hAnsi="Arial" w:cs="Arial"/>
                <w:sz w:val="20"/>
                <w:szCs w:val="20"/>
              </w:rPr>
            </w:pPr>
            <w:r w:rsidRPr="00327A61">
              <w:rPr>
                <w:rFonts w:ascii="Arial" w:hAnsi="Arial" w:cs="Arial"/>
                <w:sz w:val="20"/>
                <w:szCs w:val="20"/>
              </w:rPr>
              <w:t>9.68%</w:t>
            </w:r>
          </w:p>
        </w:tc>
        <w:tc>
          <w:tcPr>
            <w:tcW w:w="900" w:type="dxa"/>
            <w:vMerge w:val="restart"/>
            <w:shd w:val="clear" w:color="auto" w:fill="D9D9D9" w:themeFill="background1" w:themeFillShade="D9"/>
            <w:noWrap/>
            <w:vAlign w:val="center"/>
          </w:tcPr>
          <w:p w:rsidR="003777D2" w:rsidRPr="00327A61" w:rsidRDefault="003777D2" w:rsidP="003D0207">
            <w:pPr>
              <w:jc w:val="right"/>
              <w:rPr>
                <w:rFonts w:ascii="Arial" w:hAnsi="Arial" w:cs="Arial"/>
                <w:sz w:val="20"/>
                <w:szCs w:val="20"/>
              </w:rPr>
            </w:pPr>
            <w:r w:rsidRPr="00327A61">
              <w:rPr>
                <w:rFonts w:ascii="Arial" w:hAnsi="Arial" w:cs="Arial"/>
                <w:sz w:val="20"/>
                <w:szCs w:val="20"/>
              </w:rPr>
              <w:t>11.64%</w:t>
            </w:r>
          </w:p>
        </w:tc>
      </w:tr>
      <w:tr w:rsidR="003777D2" w:rsidRPr="00327A61" w:rsidTr="003777D2">
        <w:trPr>
          <w:cnfStyle w:val="000000010000" w:firstRow="0" w:lastRow="0" w:firstColumn="0" w:lastColumn="0" w:oddVBand="0" w:evenVBand="0" w:oddHBand="0" w:evenHBand="1" w:firstRowFirstColumn="0" w:firstRowLastColumn="0" w:lastRowFirstColumn="0" w:lastRowLastColumn="0"/>
          <w:trHeight w:val="394"/>
        </w:trPr>
        <w:tc>
          <w:tcPr>
            <w:tcW w:w="3402" w:type="dxa"/>
            <w:vMerge/>
          </w:tcPr>
          <w:p w:rsidR="003777D2" w:rsidRPr="00327A61" w:rsidRDefault="003777D2" w:rsidP="00361FC0">
            <w:pPr>
              <w:rPr>
                <w:rFonts w:ascii="Arial" w:eastAsia="Times New Roman" w:hAnsi="Arial" w:cs="Arial"/>
                <w:sz w:val="20"/>
                <w:szCs w:val="20"/>
                <w:lang w:eastAsia="bg-BG"/>
              </w:rPr>
            </w:pPr>
          </w:p>
        </w:tc>
        <w:tc>
          <w:tcPr>
            <w:tcW w:w="3402" w:type="dxa"/>
            <w:shd w:val="clear" w:color="auto" w:fill="D9D9D9" w:themeFill="background1" w:themeFillShade="D9"/>
            <w:noWrap/>
          </w:tcPr>
          <w:p w:rsidR="003777D2" w:rsidRPr="00327A61" w:rsidRDefault="003777D2" w:rsidP="00361FC0">
            <w:pPr>
              <w:jc w:val="center"/>
              <w:rPr>
                <w:rFonts w:ascii="Arial" w:eastAsia="Times New Roman" w:hAnsi="Arial" w:cs="Arial"/>
                <w:sz w:val="20"/>
                <w:szCs w:val="20"/>
                <w:lang w:eastAsia="bg-BG"/>
              </w:rPr>
            </w:pPr>
            <w:r w:rsidRPr="00327A61">
              <w:rPr>
                <w:rFonts w:ascii="Arial" w:hAnsi="Arial" w:cs="Arial"/>
                <w:sz w:val="20"/>
                <w:szCs w:val="20"/>
              </w:rPr>
              <w:t>Нетни приходи от продажби</w:t>
            </w:r>
          </w:p>
        </w:tc>
        <w:tc>
          <w:tcPr>
            <w:tcW w:w="750" w:type="dxa"/>
            <w:vMerge/>
            <w:vAlign w:val="center"/>
          </w:tcPr>
          <w:p w:rsidR="003777D2" w:rsidRPr="00327A61" w:rsidRDefault="003777D2" w:rsidP="003D0207">
            <w:pPr>
              <w:jc w:val="right"/>
              <w:rPr>
                <w:rFonts w:ascii="Arial" w:eastAsia="Times New Roman" w:hAnsi="Arial" w:cs="Arial"/>
                <w:sz w:val="20"/>
                <w:szCs w:val="20"/>
                <w:lang w:eastAsia="bg-BG"/>
              </w:rPr>
            </w:pPr>
          </w:p>
        </w:tc>
        <w:tc>
          <w:tcPr>
            <w:tcW w:w="1098" w:type="dxa"/>
            <w:vMerge/>
            <w:vAlign w:val="center"/>
          </w:tcPr>
          <w:p w:rsidR="003777D2" w:rsidRPr="00327A61" w:rsidRDefault="003777D2" w:rsidP="003D0207">
            <w:pPr>
              <w:jc w:val="right"/>
              <w:rPr>
                <w:rFonts w:ascii="Arial" w:eastAsia="Times New Roman" w:hAnsi="Arial" w:cs="Arial"/>
                <w:sz w:val="20"/>
                <w:szCs w:val="20"/>
                <w:lang w:eastAsia="bg-BG"/>
              </w:rPr>
            </w:pPr>
          </w:p>
        </w:tc>
        <w:tc>
          <w:tcPr>
            <w:tcW w:w="900" w:type="dxa"/>
            <w:vMerge/>
            <w:vAlign w:val="center"/>
          </w:tcPr>
          <w:p w:rsidR="003777D2" w:rsidRPr="00327A61" w:rsidRDefault="003777D2" w:rsidP="003D0207">
            <w:pPr>
              <w:jc w:val="right"/>
              <w:rPr>
                <w:rFonts w:ascii="Arial" w:eastAsia="Times New Roman" w:hAnsi="Arial" w:cs="Arial"/>
                <w:sz w:val="20"/>
                <w:szCs w:val="20"/>
                <w:lang w:eastAsia="bg-BG"/>
              </w:rPr>
            </w:pPr>
          </w:p>
        </w:tc>
      </w:tr>
      <w:tr w:rsidR="003777D2" w:rsidRPr="00327A61" w:rsidTr="003777D2">
        <w:trPr>
          <w:cnfStyle w:val="000000100000" w:firstRow="0" w:lastRow="0" w:firstColumn="0" w:lastColumn="0" w:oddVBand="0" w:evenVBand="0" w:oddHBand="1" w:evenHBand="0" w:firstRowFirstColumn="0" w:firstRowLastColumn="0" w:lastRowFirstColumn="0" w:lastRowLastColumn="0"/>
          <w:trHeight w:val="331"/>
        </w:trPr>
        <w:tc>
          <w:tcPr>
            <w:tcW w:w="3402" w:type="dxa"/>
            <w:vMerge w:val="restart"/>
            <w:shd w:val="clear" w:color="auto" w:fill="F2F2F2" w:themeFill="background1" w:themeFillShade="F2"/>
            <w:vAlign w:val="center"/>
          </w:tcPr>
          <w:p w:rsidR="003777D2" w:rsidRPr="00327A61" w:rsidRDefault="003777D2" w:rsidP="003D0207">
            <w:pPr>
              <w:rPr>
                <w:rFonts w:ascii="Arial" w:hAnsi="Arial" w:cs="Arial"/>
                <w:sz w:val="20"/>
                <w:szCs w:val="20"/>
              </w:rPr>
            </w:pPr>
            <w:r w:rsidRPr="00327A61">
              <w:rPr>
                <w:rFonts w:ascii="Arial" w:hAnsi="Arial" w:cs="Arial"/>
                <w:sz w:val="20"/>
                <w:szCs w:val="20"/>
              </w:rPr>
              <w:t>2. На счетоводна печалба</w:t>
            </w:r>
          </w:p>
        </w:tc>
        <w:tc>
          <w:tcPr>
            <w:tcW w:w="3402" w:type="dxa"/>
            <w:shd w:val="clear" w:color="auto" w:fill="F2F2F2" w:themeFill="background1" w:themeFillShade="F2"/>
            <w:noWrap/>
            <w:vAlign w:val="bottom"/>
          </w:tcPr>
          <w:p w:rsidR="003777D2" w:rsidRPr="00327A61" w:rsidRDefault="003777D2" w:rsidP="003D0207">
            <w:pPr>
              <w:jc w:val="center"/>
              <w:rPr>
                <w:rFonts w:ascii="Arial" w:hAnsi="Arial" w:cs="Arial"/>
                <w:sz w:val="20"/>
                <w:szCs w:val="20"/>
              </w:rPr>
            </w:pPr>
            <w:r w:rsidRPr="00327A61">
              <w:rPr>
                <w:rFonts w:ascii="Arial" w:hAnsi="Arial" w:cs="Arial"/>
                <w:sz w:val="20"/>
                <w:szCs w:val="20"/>
              </w:rPr>
              <w:t>Счетоводна печалба</w:t>
            </w:r>
          </w:p>
        </w:tc>
        <w:tc>
          <w:tcPr>
            <w:tcW w:w="750" w:type="dxa"/>
            <w:vMerge w:val="restart"/>
            <w:shd w:val="clear" w:color="auto" w:fill="F2F2F2" w:themeFill="background1" w:themeFillShade="F2"/>
            <w:noWrap/>
            <w:vAlign w:val="center"/>
          </w:tcPr>
          <w:p w:rsidR="003777D2" w:rsidRPr="00327A61" w:rsidRDefault="003777D2" w:rsidP="003D0207">
            <w:pPr>
              <w:jc w:val="right"/>
              <w:rPr>
                <w:rFonts w:ascii="Arial" w:hAnsi="Arial" w:cs="Arial"/>
                <w:sz w:val="20"/>
                <w:szCs w:val="20"/>
              </w:rPr>
            </w:pPr>
            <w:r w:rsidRPr="00327A61">
              <w:rPr>
                <w:rFonts w:ascii="Arial" w:hAnsi="Arial" w:cs="Arial"/>
                <w:sz w:val="20"/>
                <w:szCs w:val="20"/>
              </w:rPr>
              <w:t>16.16%</w:t>
            </w:r>
          </w:p>
        </w:tc>
        <w:tc>
          <w:tcPr>
            <w:tcW w:w="1098" w:type="dxa"/>
            <w:vMerge w:val="restart"/>
            <w:shd w:val="clear" w:color="auto" w:fill="F2F2F2" w:themeFill="background1" w:themeFillShade="F2"/>
            <w:noWrap/>
            <w:vAlign w:val="center"/>
          </w:tcPr>
          <w:p w:rsidR="003777D2" w:rsidRPr="00327A61" w:rsidRDefault="003777D2" w:rsidP="003D0207">
            <w:pPr>
              <w:jc w:val="right"/>
              <w:rPr>
                <w:rFonts w:ascii="Arial" w:hAnsi="Arial" w:cs="Arial"/>
                <w:sz w:val="20"/>
                <w:szCs w:val="20"/>
              </w:rPr>
            </w:pPr>
            <w:r w:rsidRPr="00327A61">
              <w:rPr>
                <w:rFonts w:ascii="Arial" w:hAnsi="Arial" w:cs="Arial"/>
                <w:sz w:val="20"/>
                <w:szCs w:val="20"/>
              </w:rPr>
              <w:t>10.41%</w:t>
            </w:r>
          </w:p>
        </w:tc>
        <w:tc>
          <w:tcPr>
            <w:tcW w:w="900" w:type="dxa"/>
            <w:vMerge w:val="restart"/>
            <w:shd w:val="clear" w:color="auto" w:fill="F2F2F2" w:themeFill="background1" w:themeFillShade="F2"/>
            <w:noWrap/>
            <w:vAlign w:val="center"/>
          </w:tcPr>
          <w:p w:rsidR="003777D2" w:rsidRPr="00327A61" w:rsidRDefault="003777D2" w:rsidP="003D0207">
            <w:pPr>
              <w:jc w:val="right"/>
              <w:rPr>
                <w:rFonts w:ascii="Arial" w:hAnsi="Arial" w:cs="Arial"/>
                <w:sz w:val="20"/>
                <w:szCs w:val="20"/>
              </w:rPr>
            </w:pPr>
            <w:r w:rsidRPr="00327A61">
              <w:rPr>
                <w:rFonts w:ascii="Arial" w:hAnsi="Arial" w:cs="Arial"/>
                <w:sz w:val="20"/>
                <w:szCs w:val="20"/>
              </w:rPr>
              <w:t>11.08%</w:t>
            </w:r>
          </w:p>
        </w:tc>
      </w:tr>
      <w:tr w:rsidR="003777D2" w:rsidRPr="00327A61" w:rsidTr="003777D2">
        <w:trPr>
          <w:cnfStyle w:val="000000010000" w:firstRow="0" w:lastRow="0" w:firstColumn="0" w:lastColumn="0" w:oddVBand="0" w:evenVBand="0" w:oddHBand="0" w:evenHBand="1" w:firstRowFirstColumn="0" w:firstRowLastColumn="0" w:lastRowFirstColumn="0" w:lastRowLastColumn="0"/>
          <w:trHeight w:val="273"/>
        </w:trPr>
        <w:tc>
          <w:tcPr>
            <w:tcW w:w="3402" w:type="dxa"/>
            <w:vMerge/>
          </w:tcPr>
          <w:p w:rsidR="003777D2" w:rsidRPr="00327A61" w:rsidRDefault="003777D2" w:rsidP="00361FC0">
            <w:pPr>
              <w:rPr>
                <w:rFonts w:ascii="Arial" w:eastAsia="Times New Roman" w:hAnsi="Arial" w:cs="Arial"/>
                <w:sz w:val="20"/>
                <w:szCs w:val="20"/>
                <w:lang w:eastAsia="bg-BG"/>
              </w:rPr>
            </w:pPr>
          </w:p>
        </w:tc>
        <w:tc>
          <w:tcPr>
            <w:tcW w:w="3402" w:type="dxa"/>
            <w:shd w:val="clear" w:color="auto" w:fill="F2F2F2" w:themeFill="background1" w:themeFillShade="F2"/>
            <w:noWrap/>
          </w:tcPr>
          <w:p w:rsidR="003777D2" w:rsidRPr="00327A61" w:rsidRDefault="003777D2" w:rsidP="00361FC0">
            <w:pPr>
              <w:jc w:val="center"/>
              <w:rPr>
                <w:rFonts w:ascii="Arial" w:eastAsia="Times New Roman" w:hAnsi="Arial" w:cs="Arial"/>
                <w:sz w:val="20"/>
                <w:szCs w:val="20"/>
                <w:lang w:eastAsia="bg-BG"/>
              </w:rPr>
            </w:pPr>
            <w:r w:rsidRPr="00327A61">
              <w:rPr>
                <w:rFonts w:ascii="Arial" w:hAnsi="Arial" w:cs="Arial"/>
                <w:sz w:val="20"/>
                <w:szCs w:val="20"/>
              </w:rPr>
              <w:t>Нетни приходи от продажби</w:t>
            </w:r>
          </w:p>
        </w:tc>
        <w:tc>
          <w:tcPr>
            <w:tcW w:w="750" w:type="dxa"/>
            <w:vMerge/>
            <w:vAlign w:val="center"/>
          </w:tcPr>
          <w:p w:rsidR="003777D2" w:rsidRPr="00327A61" w:rsidRDefault="003777D2" w:rsidP="003D0207">
            <w:pPr>
              <w:jc w:val="right"/>
              <w:rPr>
                <w:rFonts w:ascii="Arial" w:eastAsia="Times New Roman" w:hAnsi="Arial" w:cs="Arial"/>
                <w:sz w:val="20"/>
                <w:szCs w:val="20"/>
                <w:lang w:eastAsia="bg-BG"/>
              </w:rPr>
            </w:pPr>
          </w:p>
        </w:tc>
        <w:tc>
          <w:tcPr>
            <w:tcW w:w="1098" w:type="dxa"/>
            <w:vMerge/>
            <w:vAlign w:val="center"/>
          </w:tcPr>
          <w:p w:rsidR="003777D2" w:rsidRPr="00327A61" w:rsidRDefault="003777D2" w:rsidP="003D0207">
            <w:pPr>
              <w:jc w:val="right"/>
              <w:rPr>
                <w:rFonts w:ascii="Arial" w:eastAsia="Times New Roman" w:hAnsi="Arial" w:cs="Arial"/>
                <w:sz w:val="20"/>
                <w:szCs w:val="20"/>
                <w:lang w:eastAsia="bg-BG"/>
              </w:rPr>
            </w:pPr>
          </w:p>
        </w:tc>
        <w:tc>
          <w:tcPr>
            <w:tcW w:w="900" w:type="dxa"/>
            <w:vMerge/>
            <w:vAlign w:val="center"/>
          </w:tcPr>
          <w:p w:rsidR="003777D2" w:rsidRPr="00327A61" w:rsidRDefault="003777D2" w:rsidP="003D0207">
            <w:pPr>
              <w:jc w:val="right"/>
              <w:rPr>
                <w:rFonts w:ascii="Arial" w:eastAsia="Times New Roman" w:hAnsi="Arial" w:cs="Arial"/>
                <w:sz w:val="20"/>
                <w:szCs w:val="20"/>
                <w:lang w:eastAsia="bg-BG"/>
              </w:rPr>
            </w:pPr>
          </w:p>
        </w:tc>
      </w:tr>
      <w:tr w:rsidR="003777D2" w:rsidRPr="00327A61" w:rsidTr="003777D2">
        <w:trPr>
          <w:cnfStyle w:val="000000100000" w:firstRow="0" w:lastRow="0" w:firstColumn="0" w:lastColumn="0" w:oddVBand="0" w:evenVBand="0" w:oddHBand="1" w:evenHBand="0" w:firstRowFirstColumn="0" w:firstRowLastColumn="0" w:lastRowFirstColumn="0" w:lastRowLastColumn="0"/>
          <w:trHeight w:val="375"/>
        </w:trPr>
        <w:tc>
          <w:tcPr>
            <w:tcW w:w="3402" w:type="dxa"/>
            <w:vMerge w:val="restart"/>
            <w:shd w:val="clear" w:color="auto" w:fill="D9D9D9" w:themeFill="background1" w:themeFillShade="D9"/>
            <w:vAlign w:val="center"/>
          </w:tcPr>
          <w:p w:rsidR="003777D2" w:rsidRPr="00327A61" w:rsidRDefault="003777D2" w:rsidP="003D0207">
            <w:pPr>
              <w:rPr>
                <w:rFonts w:ascii="Arial" w:hAnsi="Arial" w:cs="Arial"/>
                <w:sz w:val="20"/>
                <w:szCs w:val="20"/>
              </w:rPr>
            </w:pPr>
            <w:r w:rsidRPr="00327A61">
              <w:rPr>
                <w:rFonts w:ascii="Arial" w:hAnsi="Arial" w:cs="Arial"/>
                <w:sz w:val="20"/>
                <w:szCs w:val="20"/>
              </w:rPr>
              <w:t>3. На нетната печалба</w:t>
            </w:r>
          </w:p>
        </w:tc>
        <w:tc>
          <w:tcPr>
            <w:tcW w:w="3402" w:type="dxa"/>
            <w:shd w:val="clear" w:color="auto" w:fill="D9D9D9" w:themeFill="background1" w:themeFillShade="D9"/>
            <w:noWrap/>
            <w:vAlign w:val="bottom"/>
          </w:tcPr>
          <w:p w:rsidR="003777D2" w:rsidRPr="00327A61" w:rsidRDefault="003777D2" w:rsidP="003D0207">
            <w:pPr>
              <w:jc w:val="center"/>
              <w:rPr>
                <w:rFonts w:ascii="Arial" w:hAnsi="Arial" w:cs="Arial"/>
                <w:sz w:val="20"/>
                <w:szCs w:val="20"/>
              </w:rPr>
            </w:pPr>
            <w:r w:rsidRPr="00327A61">
              <w:rPr>
                <w:rFonts w:ascii="Arial" w:hAnsi="Arial" w:cs="Arial"/>
                <w:sz w:val="20"/>
                <w:szCs w:val="20"/>
              </w:rPr>
              <w:t>Нетна печалба</w:t>
            </w:r>
          </w:p>
        </w:tc>
        <w:tc>
          <w:tcPr>
            <w:tcW w:w="750" w:type="dxa"/>
            <w:vMerge w:val="restart"/>
            <w:shd w:val="clear" w:color="auto" w:fill="D9D9D9" w:themeFill="background1" w:themeFillShade="D9"/>
            <w:noWrap/>
            <w:vAlign w:val="center"/>
          </w:tcPr>
          <w:p w:rsidR="003777D2" w:rsidRPr="00327A61" w:rsidRDefault="003777D2" w:rsidP="003D0207">
            <w:pPr>
              <w:jc w:val="right"/>
              <w:rPr>
                <w:rFonts w:ascii="Arial" w:hAnsi="Arial" w:cs="Arial"/>
                <w:sz w:val="20"/>
                <w:szCs w:val="20"/>
              </w:rPr>
            </w:pPr>
            <w:r w:rsidRPr="00327A61">
              <w:rPr>
                <w:rFonts w:ascii="Arial" w:hAnsi="Arial" w:cs="Arial"/>
                <w:sz w:val="20"/>
                <w:szCs w:val="20"/>
              </w:rPr>
              <w:t>14.56%</w:t>
            </w:r>
          </w:p>
        </w:tc>
        <w:tc>
          <w:tcPr>
            <w:tcW w:w="1098" w:type="dxa"/>
            <w:vMerge w:val="restart"/>
            <w:shd w:val="clear" w:color="auto" w:fill="D9D9D9" w:themeFill="background1" w:themeFillShade="D9"/>
            <w:noWrap/>
            <w:vAlign w:val="center"/>
          </w:tcPr>
          <w:p w:rsidR="003777D2" w:rsidRPr="00327A61" w:rsidRDefault="003777D2" w:rsidP="003D0207">
            <w:pPr>
              <w:jc w:val="right"/>
              <w:rPr>
                <w:rFonts w:ascii="Arial" w:hAnsi="Arial" w:cs="Arial"/>
                <w:sz w:val="20"/>
                <w:szCs w:val="20"/>
              </w:rPr>
            </w:pPr>
            <w:r w:rsidRPr="00327A61">
              <w:rPr>
                <w:rFonts w:ascii="Arial" w:hAnsi="Arial" w:cs="Arial"/>
                <w:sz w:val="20"/>
                <w:szCs w:val="20"/>
              </w:rPr>
              <w:t>9.37%</w:t>
            </w:r>
          </w:p>
        </w:tc>
        <w:tc>
          <w:tcPr>
            <w:tcW w:w="900" w:type="dxa"/>
            <w:vMerge w:val="restart"/>
            <w:shd w:val="clear" w:color="auto" w:fill="D9D9D9" w:themeFill="background1" w:themeFillShade="D9"/>
            <w:noWrap/>
            <w:vAlign w:val="center"/>
          </w:tcPr>
          <w:p w:rsidR="003777D2" w:rsidRPr="00327A61" w:rsidRDefault="003777D2" w:rsidP="003D0207">
            <w:pPr>
              <w:jc w:val="right"/>
              <w:rPr>
                <w:rFonts w:ascii="Arial" w:hAnsi="Arial" w:cs="Arial"/>
                <w:sz w:val="20"/>
                <w:szCs w:val="20"/>
              </w:rPr>
            </w:pPr>
            <w:r w:rsidRPr="00327A61">
              <w:rPr>
                <w:rFonts w:ascii="Arial" w:hAnsi="Arial" w:cs="Arial"/>
                <w:sz w:val="20"/>
                <w:szCs w:val="20"/>
              </w:rPr>
              <w:t>9.97%</w:t>
            </w:r>
          </w:p>
        </w:tc>
      </w:tr>
      <w:tr w:rsidR="003777D2" w:rsidRPr="00327A61" w:rsidTr="003777D2">
        <w:trPr>
          <w:cnfStyle w:val="000000010000" w:firstRow="0" w:lastRow="0" w:firstColumn="0" w:lastColumn="0" w:oddVBand="0" w:evenVBand="0" w:oddHBand="0" w:evenHBand="1" w:firstRowFirstColumn="0" w:firstRowLastColumn="0" w:lastRowFirstColumn="0" w:lastRowLastColumn="0"/>
          <w:trHeight w:val="375"/>
        </w:trPr>
        <w:tc>
          <w:tcPr>
            <w:tcW w:w="3402" w:type="dxa"/>
            <w:vMerge/>
          </w:tcPr>
          <w:p w:rsidR="003777D2" w:rsidRPr="00327A61" w:rsidRDefault="003777D2" w:rsidP="00665DA4">
            <w:pPr>
              <w:rPr>
                <w:rFonts w:ascii="Arial" w:eastAsia="Times New Roman" w:hAnsi="Arial" w:cs="Arial"/>
                <w:sz w:val="20"/>
                <w:szCs w:val="20"/>
                <w:lang w:eastAsia="bg-BG"/>
              </w:rPr>
            </w:pPr>
          </w:p>
        </w:tc>
        <w:tc>
          <w:tcPr>
            <w:tcW w:w="3402" w:type="dxa"/>
            <w:shd w:val="clear" w:color="auto" w:fill="D9D9D9" w:themeFill="background1" w:themeFillShade="D9"/>
            <w:noWrap/>
          </w:tcPr>
          <w:p w:rsidR="003777D2" w:rsidRPr="00327A61" w:rsidRDefault="003777D2" w:rsidP="00665DA4">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Нетни приходи от продажби</w:t>
            </w:r>
          </w:p>
        </w:tc>
        <w:tc>
          <w:tcPr>
            <w:tcW w:w="750" w:type="dxa"/>
            <w:vMerge/>
          </w:tcPr>
          <w:p w:rsidR="003777D2" w:rsidRPr="00327A61" w:rsidRDefault="003777D2" w:rsidP="00665DA4">
            <w:pPr>
              <w:rPr>
                <w:rFonts w:ascii="Arial" w:eastAsia="Times New Roman" w:hAnsi="Arial" w:cs="Arial"/>
                <w:sz w:val="20"/>
                <w:szCs w:val="20"/>
                <w:lang w:eastAsia="bg-BG"/>
              </w:rPr>
            </w:pPr>
          </w:p>
        </w:tc>
        <w:tc>
          <w:tcPr>
            <w:tcW w:w="1098" w:type="dxa"/>
            <w:vMerge/>
          </w:tcPr>
          <w:p w:rsidR="003777D2" w:rsidRPr="00327A61" w:rsidRDefault="003777D2" w:rsidP="00665DA4">
            <w:pPr>
              <w:rPr>
                <w:rFonts w:ascii="Arial" w:eastAsia="Times New Roman" w:hAnsi="Arial" w:cs="Arial"/>
                <w:sz w:val="20"/>
                <w:szCs w:val="20"/>
                <w:lang w:eastAsia="bg-BG"/>
              </w:rPr>
            </w:pPr>
          </w:p>
        </w:tc>
        <w:tc>
          <w:tcPr>
            <w:tcW w:w="900" w:type="dxa"/>
            <w:vMerge/>
          </w:tcPr>
          <w:p w:rsidR="003777D2" w:rsidRPr="00327A61" w:rsidRDefault="003777D2" w:rsidP="00665DA4">
            <w:pPr>
              <w:rPr>
                <w:rFonts w:ascii="Arial" w:eastAsia="Times New Roman" w:hAnsi="Arial" w:cs="Arial"/>
                <w:sz w:val="20"/>
                <w:szCs w:val="20"/>
                <w:lang w:eastAsia="bg-BG"/>
              </w:rPr>
            </w:pPr>
          </w:p>
        </w:tc>
      </w:tr>
    </w:tbl>
    <w:p w:rsidR="00D32C0D" w:rsidRDefault="00B97C1A" w:rsidP="000B7D1D">
      <w:pPr>
        <w:spacing w:before="240" w:after="120"/>
        <w:ind w:firstLine="720"/>
        <w:jc w:val="both"/>
        <w:rPr>
          <w:rFonts w:eastAsia="Times New Roman"/>
          <w:lang w:eastAsia="bg-BG"/>
        </w:rPr>
      </w:pPr>
      <w:r w:rsidRPr="00327A61">
        <w:rPr>
          <w:b/>
        </w:rPr>
        <w:t xml:space="preserve"> </w:t>
      </w:r>
      <w:r w:rsidR="009B6476" w:rsidRPr="00327A61">
        <w:rPr>
          <w:rFonts w:eastAsia="Times New Roman"/>
          <w:lang w:eastAsia="bg-BG"/>
        </w:rPr>
        <w:t xml:space="preserve">2) </w:t>
      </w:r>
      <w:r w:rsidR="00025B42" w:rsidRPr="00327A61">
        <w:rPr>
          <w:rFonts w:eastAsia="Times New Roman"/>
          <w:lang w:eastAsia="bg-BG"/>
        </w:rPr>
        <w:t>О</w:t>
      </w:r>
      <w:r w:rsidR="00B6249A" w:rsidRPr="00327A61">
        <w:rPr>
          <w:rFonts w:eastAsia="Times New Roman"/>
          <w:lang w:eastAsia="bg-BG"/>
        </w:rPr>
        <w:t xml:space="preserve">тчетените стойности на коефициентите за ликвидност </w:t>
      </w:r>
      <w:r w:rsidR="00025B42" w:rsidRPr="00327A61">
        <w:rPr>
          <w:rFonts w:eastAsia="Times New Roman"/>
          <w:lang w:eastAsia="bg-BG"/>
        </w:rPr>
        <w:t xml:space="preserve">свидетелстват за традиционно </w:t>
      </w:r>
      <w:r w:rsidR="00FE0422" w:rsidRPr="00327A61">
        <w:rPr>
          <w:rFonts w:eastAsia="Times New Roman"/>
          <w:lang w:eastAsia="bg-BG"/>
        </w:rPr>
        <w:t>добрите нива, на които тя се поддържа в дейността на „Пристанищен комплекс – Русе“ ЕАД</w:t>
      </w:r>
      <w:r w:rsidR="006838E1" w:rsidRPr="00327A61">
        <w:rPr>
          <w:rFonts w:eastAsia="Times New Roman"/>
          <w:lang w:eastAsia="bg-BG"/>
        </w:rPr>
        <w:t>.</w:t>
      </w:r>
    </w:p>
    <w:tbl>
      <w:tblPr>
        <w:tblStyle w:val="TableContemporary"/>
        <w:tblW w:w="9723" w:type="dxa"/>
        <w:tblLook w:val="0000" w:firstRow="0" w:lastRow="0" w:firstColumn="0" w:lastColumn="0" w:noHBand="0" w:noVBand="0"/>
      </w:tblPr>
      <w:tblGrid>
        <w:gridCol w:w="3261"/>
        <w:gridCol w:w="3682"/>
        <w:gridCol w:w="995"/>
        <w:gridCol w:w="885"/>
        <w:gridCol w:w="900"/>
      </w:tblGrid>
      <w:tr w:rsidR="00F2098A" w:rsidRPr="00327A61" w:rsidTr="00F2098A">
        <w:trPr>
          <w:cnfStyle w:val="000000100000" w:firstRow="0" w:lastRow="0" w:firstColumn="0" w:lastColumn="0" w:oddVBand="0" w:evenVBand="0" w:oddHBand="1" w:evenHBand="0" w:firstRowFirstColumn="0" w:firstRowLastColumn="0" w:lastRowFirstColumn="0" w:lastRowLastColumn="0"/>
          <w:trHeight w:val="375"/>
        </w:trPr>
        <w:tc>
          <w:tcPr>
            <w:tcW w:w="6943" w:type="dxa"/>
            <w:gridSpan w:val="2"/>
            <w:shd w:val="clear" w:color="auto" w:fill="BFBFBF" w:themeFill="background1" w:themeFillShade="BF"/>
            <w:noWrap/>
            <w:vAlign w:val="center"/>
          </w:tcPr>
          <w:bookmarkEnd w:id="42"/>
          <w:p w:rsidR="00F2098A" w:rsidRPr="00327A61" w:rsidRDefault="00F2098A" w:rsidP="00F2098A">
            <w:pPr>
              <w:rPr>
                <w:rFonts w:ascii="Arial" w:eastAsia="Times New Roman" w:hAnsi="Arial" w:cs="Arial"/>
                <w:b/>
                <w:bCs/>
                <w:i/>
                <w:iCs/>
                <w:sz w:val="20"/>
                <w:szCs w:val="20"/>
                <w:u w:val="single"/>
                <w:lang w:eastAsia="bg-BG"/>
              </w:rPr>
            </w:pPr>
            <w:r w:rsidRPr="00327A61">
              <w:rPr>
                <w:rFonts w:ascii="Arial" w:eastAsia="Times New Roman" w:hAnsi="Arial" w:cs="Arial"/>
                <w:b/>
                <w:bCs/>
                <w:i/>
                <w:iCs/>
                <w:sz w:val="20"/>
                <w:szCs w:val="20"/>
                <w:u w:val="single"/>
                <w:lang w:eastAsia="bg-BG"/>
              </w:rPr>
              <w:t>Коефициенти на ликвидност</w:t>
            </w:r>
          </w:p>
        </w:tc>
        <w:tc>
          <w:tcPr>
            <w:tcW w:w="995" w:type="dxa"/>
            <w:shd w:val="clear" w:color="auto" w:fill="BFBFBF" w:themeFill="background1" w:themeFillShade="BF"/>
            <w:noWrap/>
            <w:vAlign w:val="center"/>
          </w:tcPr>
          <w:p w:rsidR="00F2098A" w:rsidRPr="00327A61" w:rsidRDefault="00F2098A" w:rsidP="003777D2">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2016г.</w:t>
            </w:r>
          </w:p>
        </w:tc>
        <w:tc>
          <w:tcPr>
            <w:tcW w:w="885" w:type="dxa"/>
            <w:shd w:val="clear" w:color="auto" w:fill="BFBFBF" w:themeFill="background1" w:themeFillShade="BF"/>
            <w:noWrap/>
            <w:vAlign w:val="center"/>
          </w:tcPr>
          <w:p w:rsidR="00F2098A" w:rsidRPr="00327A61" w:rsidRDefault="00F2098A" w:rsidP="003777D2">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БП 2017</w:t>
            </w:r>
          </w:p>
        </w:tc>
        <w:tc>
          <w:tcPr>
            <w:tcW w:w="900" w:type="dxa"/>
            <w:shd w:val="clear" w:color="auto" w:fill="BFBFBF" w:themeFill="background1" w:themeFillShade="BF"/>
            <w:noWrap/>
            <w:vAlign w:val="center"/>
          </w:tcPr>
          <w:p w:rsidR="00F2098A" w:rsidRPr="00327A61" w:rsidRDefault="00F2098A" w:rsidP="003777D2">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2017г.</w:t>
            </w:r>
          </w:p>
        </w:tc>
      </w:tr>
      <w:tr w:rsidR="003777D2" w:rsidRPr="00327A61" w:rsidTr="003777D2">
        <w:trPr>
          <w:cnfStyle w:val="000000010000" w:firstRow="0" w:lastRow="0" w:firstColumn="0" w:lastColumn="0" w:oddVBand="0" w:evenVBand="0" w:oddHBand="0" w:evenHBand="1" w:firstRowFirstColumn="0" w:firstRowLastColumn="0" w:lastRowFirstColumn="0" w:lastRowLastColumn="0"/>
          <w:trHeight w:val="315"/>
        </w:trPr>
        <w:tc>
          <w:tcPr>
            <w:tcW w:w="3261" w:type="dxa"/>
            <w:vMerge w:val="restart"/>
            <w:shd w:val="clear" w:color="auto" w:fill="D9D9D9" w:themeFill="background1" w:themeFillShade="D9"/>
            <w:vAlign w:val="center"/>
          </w:tcPr>
          <w:p w:rsidR="003777D2" w:rsidRPr="00327A61" w:rsidRDefault="003777D2" w:rsidP="003777D2">
            <w:pPr>
              <w:rPr>
                <w:rFonts w:ascii="Arial" w:hAnsi="Arial" w:cs="Arial"/>
                <w:sz w:val="20"/>
                <w:szCs w:val="20"/>
              </w:rPr>
            </w:pPr>
            <w:r w:rsidRPr="00327A61">
              <w:rPr>
                <w:rFonts w:ascii="Arial" w:hAnsi="Arial" w:cs="Arial"/>
                <w:sz w:val="20"/>
                <w:szCs w:val="20"/>
              </w:rPr>
              <w:t>1. Кф. на обща ликвидност (current ratio)</w:t>
            </w:r>
          </w:p>
        </w:tc>
        <w:tc>
          <w:tcPr>
            <w:tcW w:w="3682" w:type="dxa"/>
            <w:shd w:val="clear" w:color="auto" w:fill="D9D9D9" w:themeFill="background1" w:themeFillShade="D9"/>
            <w:vAlign w:val="bottom"/>
          </w:tcPr>
          <w:p w:rsidR="003777D2" w:rsidRPr="00327A61" w:rsidRDefault="003777D2" w:rsidP="003777D2">
            <w:pPr>
              <w:jc w:val="center"/>
              <w:rPr>
                <w:rFonts w:ascii="Arial" w:hAnsi="Arial" w:cs="Arial"/>
                <w:sz w:val="20"/>
                <w:szCs w:val="20"/>
              </w:rPr>
            </w:pPr>
            <w:r w:rsidRPr="00327A61">
              <w:rPr>
                <w:rFonts w:ascii="Arial" w:hAnsi="Arial" w:cs="Arial"/>
                <w:sz w:val="20"/>
                <w:szCs w:val="20"/>
              </w:rPr>
              <w:t>Краткотрайни активи</w:t>
            </w:r>
          </w:p>
        </w:tc>
        <w:tc>
          <w:tcPr>
            <w:tcW w:w="995"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lang w:eastAsia="bg-BG"/>
              </w:rPr>
            </w:pPr>
            <w:r w:rsidRPr="00327A61">
              <w:rPr>
                <w:rFonts w:ascii="Arial" w:hAnsi="Arial" w:cs="Arial"/>
                <w:sz w:val="20"/>
                <w:szCs w:val="20"/>
              </w:rPr>
              <w:t>15.91</w:t>
            </w:r>
          </w:p>
        </w:tc>
        <w:tc>
          <w:tcPr>
            <w:tcW w:w="885"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24.34</w:t>
            </w:r>
          </w:p>
        </w:tc>
        <w:tc>
          <w:tcPr>
            <w:tcW w:w="900"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18.1</w:t>
            </w:r>
            <w:r w:rsidR="001769EA">
              <w:rPr>
                <w:rFonts w:ascii="Arial" w:hAnsi="Arial" w:cs="Arial"/>
                <w:sz w:val="20"/>
                <w:szCs w:val="20"/>
              </w:rPr>
              <w:t>7</w:t>
            </w:r>
          </w:p>
        </w:tc>
      </w:tr>
      <w:tr w:rsidR="003777D2" w:rsidRPr="00327A61" w:rsidTr="003777D2">
        <w:trPr>
          <w:cnfStyle w:val="000000100000" w:firstRow="0" w:lastRow="0" w:firstColumn="0" w:lastColumn="0" w:oddVBand="0" w:evenVBand="0" w:oddHBand="1" w:evenHBand="0" w:firstRowFirstColumn="0" w:firstRowLastColumn="0" w:lastRowFirstColumn="0" w:lastRowLastColumn="0"/>
          <w:trHeight w:val="315"/>
        </w:trPr>
        <w:tc>
          <w:tcPr>
            <w:tcW w:w="3261" w:type="dxa"/>
            <w:vMerge/>
            <w:vAlign w:val="center"/>
          </w:tcPr>
          <w:p w:rsidR="003777D2" w:rsidRPr="00327A61" w:rsidRDefault="003777D2" w:rsidP="003777D2">
            <w:pPr>
              <w:rPr>
                <w:rFonts w:ascii="Arial" w:eastAsia="Times New Roman" w:hAnsi="Arial" w:cs="Arial"/>
                <w:sz w:val="20"/>
                <w:szCs w:val="20"/>
                <w:lang w:eastAsia="bg-BG"/>
              </w:rPr>
            </w:pPr>
          </w:p>
        </w:tc>
        <w:tc>
          <w:tcPr>
            <w:tcW w:w="3682" w:type="dxa"/>
            <w:shd w:val="clear" w:color="auto" w:fill="D9D9D9" w:themeFill="background1" w:themeFillShade="D9"/>
          </w:tcPr>
          <w:p w:rsidR="003777D2" w:rsidRPr="00327A61" w:rsidRDefault="003777D2" w:rsidP="00361FC0">
            <w:pPr>
              <w:jc w:val="center"/>
              <w:rPr>
                <w:rFonts w:ascii="Arial" w:eastAsia="Times New Roman" w:hAnsi="Arial" w:cs="Arial"/>
                <w:sz w:val="20"/>
                <w:szCs w:val="20"/>
                <w:lang w:eastAsia="bg-BG"/>
              </w:rPr>
            </w:pPr>
            <w:r w:rsidRPr="00327A61">
              <w:rPr>
                <w:rFonts w:ascii="Arial" w:hAnsi="Arial" w:cs="Arial"/>
                <w:sz w:val="20"/>
                <w:szCs w:val="20"/>
              </w:rPr>
              <w:t>Краткосрочни задължения</w:t>
            </w:r>
          </w:p>
        </w:tc>
        <w:tc>
          <w:tcPr>
            <w:tcW w:w="995" w:type="dxa"/>
            <w:vMerge/>
            <w:vAlign w:val="center"/>
          </w:tcPr>
          <w:p w:rsidR="003777D2" w:rsidRPr="00327A61" w:rsidRDefault="003777D2" w:rsidP="003777D2">
            <w:pPr>
              <w:jc w:val="right"/>
              <w:rPr>
                <w:rFonts w:ascii="Arial" w:eastAsia="Times New Roman" w:hAnsi="Arial" w:cs="Arial"/>
                <w:sz w:val="20"/>
                <w:szCs w:val="20"/>
                <w:lang w:eastAsia="bg-BG"/>
              </w:rPr>
            </w:pPr>
          </w:p>
        </w:tc>
        <w:tc>
          <w:tcPr>
            <w:tcW w:w="885" w:type="dxa"/>
            <w:vMerge/>
            <w:vAlign w:val="center"/>
          </w:tcPr>
          <w:p w:rsidR="003777D2" w:rsidRPr="00327A61" w:rsidRDefault="003777D2" w:rsidP="003777D2">
            <w:pPr>
              <w:jc w:val="right"/>
              <w:rPr>
                <w:rFonts w:ascii="Arial" w:eastAsia="Times New Roman" w:hAnsi="Arial" w:cs="Arial"/>
                <w:sz w:val="20"/>
                <w:szCs w:val="20"/>
                <w:lang w:eastAsia="bg-BG"/>
              </w:rPr>
            </w:pPr>
          </w:p>
        </w:tc>
        <w:tc>
          <w:tcPr>
            <w:tcW w:w="900" w:type="dxa"/>
            <w:vMerge/>
            <w:vAlign w:val="center"/>
          </w:tcPr>
          <w:p w:rsidR="003777D2" w:rsidRPr="00327A61" w:rsidRDefault="003777D2" w:rsidP="003777D2">
            <w:pPr>
              <w:jc w:val="right"/>
              <w:rPr>
                <w:rFonts w:ascii="Arial" w:eastAsia="Times New Roman" w:hAnsi="Arial" w:cs="Arial"/>
                <w:sz w:val="20"/>
                <w:szCs w:val="20"/>
                <w:lang w:eastAsia="bg-BG"/>
              </w:rPr>
            </w:pPr>
          </w:p>
        </w:tc>
      </w:tr>
      <w:tr w:rsidR="003777D2" w:rsidRPr="00327A61" w:rsidTr="003777D2">
        <w:trPr>
          <w:cnfStyle w:val="000000010000" w:firstRow="0" w:lastRow="0" w:firstColumn="0" w:lastColumn="0" w:oddVBand="0" w:evenVBand="0" w:oddHBand="0" w:evenHBand="1" w:firstRowFirstColumn="0" w:firstRowLastColumn="0" w:lastRowFirstColumn="0" w:lastRowLastColumn="0"/>
          <w:trHeight w:val="315"/>
        </w:trPr>
        <w:tc>
          <w:tcPr>
            <w:tcW w:w="3261" w:type="dxa"/>
            <w:vMerge w:val="restart"/>
            <w:shd w:val="clear" w:color="auto" w:fill="F2F2F2" w:themeFill="background1" w:themeFillShade="F2"/>
            <w:vAlign w:val="center"/>
          </w:tcPr>
          <w:p w:rsidR="003777D2" w:rsidRPr="00327A61" w:rsidRDefault="003777D2" w:rsidP="003777D2">
            <w:pPr>
              <w:rPr>
                <w:rFonts w:ascii="Arial" w:hAnsi="Arial" w:cs="Arial"/>
                <w:sz w:val="20"/>
                <w:szCs w:val="20"/>
              </w:rPr>
            </w:pPr>
            <w:r w:rsidRPr="00327A61">
              <w:rPr>
                <w:rFonts w:ascii="Arial" w:hAnsi="Arial" w:cs="Arial"/>
                <w:sz w:val="20"/>
                <w:szCs w:val="20"/>
              </w:rPr>
              <w:t>2. Кф. на бърза ликвидност (quick ratio)</w:t>
            </w:r>
          </w:p>
        </w:tc>
        <w:tc>
          <w:tcPr>
            <w:tcW w:w="3682" w:type="dxa"/>
            <w:shd w:val="clear" w:color="auto" w:fill="F2F2F2" w:themeFill="background1" w:themeFillShade="F2"/>
            <w:vAlign w:val="bottom"/>
          </w:tcPr>
          <w:p w:rsidR="003777D2" w:rsidRPr="00327A61" w:rsidRDefault="003777D2" w:rsidP="003777D2">
            <w:pPr>
              <w:jc w:val="center"/>
              <w:rPr>
                <w:rFonts w:ascii="Arial" w:hAnsi="Arial" w:cs="Arial"/>
                <w:sz w:val="20"/>
                <w:szCs w:val="20"/>
              </w:rPr>
            </w:pPr>
            <w:r w:rsidRPr="00327A61">
              <w:rPr>
                <w:rFonts w:ascii="Arial" w:hAnsi="Arial" w:cs="Arial"/>
                <w:sz w:val="20"/>
                <w:szCs w:val="20"/>
              </w:rPr>
              <w:t>Краткотрайни активи - Мат.запаси</w:t>
            </w:r>
          </w:p>
        </w:tc>
        <w:tc>
          <w:tcPr>
            <w:tcW w:w="995" w:type="dxa"/>
            <w:vMerge w:val="restart"/>
            <w:shd w:val="clear" w:color="auto" w:fill="F2F2F2" w:themeFill="background1" w:themeFillShade="F2"/>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15.63</w:t>
            </w:r>
          </w:p>
        </w:tc>
        <w:tc>
          <w:tcPr>
            <w:tcW w:w="885" w:type="dxa"/>
            <w:vMerge w:val="restart"/>
            <w:shd w:val="clear" w:color="auto" w:fill="F2F2F2" w:themeFill="background1" w:themeFillShade="F2"/>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23.92</w:t>
            </w:r>
          </w:p>
        </w:tc>
        <w:tc>
          <w:tcPr>
            <w:tcW w:w="900" w:type="dxa"/>
            <w:vMerge w:val="restart"/>
            <w:shd w:val="clear" w:color="auto" w:fill="F2F2F2" w:themeFill="background1" w:themeFillShade="F2"/>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17.75</w:t>
            </w:r>
          </w:p>
        </w:tc>
      </w:tr>
      <w:tr w:rsidR="003777D2" w:rsidRPr="00327A61" w:rsidTr="003777D2">
        <w:trPr>
          <w:cnfStyle w:val="000000100000" w:firstRow="0" w:lastRow="0" w:firstColumn="0" w:lastColumn="0" w:oddVBand="0" w:evenVBand="0" w:oddHBand="1" w:evenHBand="0" w:firstRowFirstColumn="0" w:firstRowLastColumn="0" w:lastRowFirstColumn="0" w:lastRowLastColumn="0"/>
          <w:trHeight w:val="315"/>
        </w:trPr>
        <w:tc>
          <w:tcPr>
            <w:tcW w:w="3261" w:type="dxa"/>
            <w:vMerge/>
            <w:vAlign w:val="center"/>
          </w:tcPr>
          <w:p w:rsidR="003777D2" w:rsidRPr="00327A61" w:rsidRDefault="003777D2" w:rsidP="003777D2">
            <w:pPr>
              <w:rPr>
                <w:rFonts w:ascii="Arial" w:eastAsia="Times New Roman" w:hAnsi="Arial" w:cs="Arial"/>
                <w:sz w:val="20"/>
                <w:szCs w:val="20"/>
                <w:lang w:eastAsia="bg-BG"/>
              </w:rPr>
            </w:pPr>
          </w:p>
        </w:tc>
        <w:tc>
          <w:tcPr>
            <w:tcW w:w="3682" w:type="dxa"/>
            <w:shd w:val="clear" w:color="auto" w:fill="F2F2F2" w:themeFill="background1" w:themeFillShade="F2"/>
          </w:tcPr>
          <w:p w:rsidR="003777D2" w:rsidRPr="00327A61" w:rsidRDefault="003777D2" w:rsidP="00361FC0">
            <w:pPr>
              <w:jc w:val="center"/>
              <w:rPr>
                <w:rFonts w:ascii="Arial" w:eastAsia="Times New Roman" w:hAnsi="Arial" w:cs="Arial"/>
                <w:sz w:val="20"/>
                <w:szCs w:val="20"/>
                <w:lang w:eastAsia="bg-BG"/>
              </w:rPr>
            </w:pPr>
            <w:r w:rsidRPr="00327A61">
              <w:rPr>
                <w:rFonts w:ascii="Arial" w:hAnsi="Arial" w:cs="Arial"/>
                <w:sz w:val="20"/>
                <w:szCs w:val="20"/>
              </w:rPr>
              <w:t>Краткосрочни задължения</w:t>
            </w:r>
          </w:p>
        </w:tc>
        <w:tc>
          <w:tcPr>
            <w:tcW w:w="995" w:type="dxa"/>
            <w:vMerge/>
            <w:vAlign w:val="center"/>
          </w:tcPr>
          <w:p w:rsidR="003777D2" w:rsidRPr="00327A61" w:rsidRDefault="003777D2" w:rsidP="003777D2">
            <w:pPr>
              <w:jc w:val="right"/>
              <w:rPr>
                <w:rFonts w:ascii="Arial" w:eastAsia="Times New Roman" w:hAnsi="Arial" w:cs="Arial"/>
                <w:sz w:val="20"/>
                <w:szCs w:val="20"/>
                <w:lang w:eastAsia="bg-BG"/>
              </w:rPr>
            </w:pPr>
          </w:p>
        </w:tc>
        <w:tc>
          <w:tcPr>
            <w:tcW w:w="885" w:type="dxa"/>
            <w:vMerge/>
            <w:vAlign w:val="center"/>
          </w:tcPr>
          <w:p w:rsidR="003777D2" w:rsidRPr="00327A61" w:rsidRDefault="003777D2" w:rsidP="003777D2">
            <w:pPr>
              <w:jc w:val="right"/>
              <w:rPr>
                <w:rFonts w:ascii="Arial" w:eastAsia="Times New Roman" w:hAnsi="Arial" w:cs="Arial"/>
                <w:sz w:val="20"/>
                <w:szCs w:val="20"/>
                <w:lang w:eastAsia="bg-BG"/>
              </w:rPr>
            </w:pPr>
          </w:p>
        </w:tc>
        <w:tc>
          <w:tcPr>
            <w:tcW w:w="900" w:type="dxa"/>
            <w:vMerge/>
            <w:vAlign w:val="center"/>
          </w:tcPr>
          <w:p w:rsidR="003777D2" w:rsidRPr="00327A61" w:rsidRDefault="003777D2" w:rsidP="003777D2">
            <w:pPr>
              <w:jc w:val="right"/>
              <w:rPr>
                <w:rFonts w:ascii="Arial" w:eastAsia="Times New Roman" w:hAnsi="Arial" w:cs="Arial"/>
                <w:sz w:val="20"/>
                <w:szCs w:val="20"/>
                <w:lang w:eastAsia="bg-BG"/>
              </w:rPr>
            </w:pPr>
          </w:p>
        </w:tc>
      </w:tr>
      <w:tr w:rsidR="003777D2" w:rsidRPr="00327A61" w:rsidTr="003777D2">
        <w:trPr>
          <w:cnfStyle w:val="000000010000" w:firstRow="0" w:lastRow="0" w:firstColumn="0" w:lastColumn="0" w:oddVBand="0" w:evenVBand="0" w:oddHBand="0" w:evenHBand="1" w:firstRowFirstColumn="0" w:firstRowLastColumn="0" w:lastRowFirstColumn="0" w:lastRowLastColumn="0"/>
          <w:trHeight w:val="315"/>
        </w:trPr>
        <w:tc>
          <w:tcPr>
            <w:tcW w:w="3261" w:type="dxa"/>
            <w:vMerge w:val="restart"/>
            <w:shd w:val="clear" w:color="auto" w:fill="D9D9D9" w:themeFill="background1" w:themeFillShade="D9"/>
            <w:vAlign w:val="center"/>
          </w:tcPr>
          <w:p w:rsidR="003777D2" w:rsidRPr="00327A61" w:rsidRDefault="003777D2" w:rsidP="003777D2">
            <w:pPr>
              <w:rPr>
                <w:rFonts w:ascii="Arial" w:hAnsi="Arial" w:cs="Arial"/>
                <w:sz w:val="20"/>
                <w:szCs w:val="20"/>
              </w:rPr>
            </w:pPr>
            <w:r w:rsidRPr="00327A61">
              <w:rPr>
                <w:rFonts w:ascii="Arial" w:hAnsi="Arial" w:cs="Arial"/>
                <w:sz w:val="20"/>
                <w:szCs w:val="20"/>
              </w:rPr>
              <w:t>3. Кф. на незабавна/финансова ликвидност (Cash position ratio)</w:t>
            </w:r>
          </w:p>
        </w:tc>
        <w:tc>
          <w:tcPr>
            <w:tcW w:w="3682" w:type="dxa"/>
            <w:shd w:val="clear" w:color="auto" w:fill="D9D9D9" w:themeFill="background1" w:themeFillShade="D9"/>
            <w:vAlign w:val="bottom"/>
          </w:tcPr>
          <w:p w:rsidR="003777D2" w:rsidRPr="00327A61" w:rsidRDefault="003777D2" w:rsidP="003777D2">
            <w:pPr>
              <w:jc w:val="center"/>
              <w:rPr>
                <w:rFonts w:ascii="Arial" w:hAnsi="Arial" w:cs="Arial"/>
                <w:sz w:val="20"/>
                <w:szCs w:val="20"/>
              </w:rPr>
            </w:pPr>
            <w:r w:rsidRPr="00327A61">
              <w:rPr>
                <w:rFonts w:ascii="Arial" w:hAnsi="Arial" w:cs="Arial"/>
                <w:sz w:val="20"/>
                <w:szCs w:val="20"/>
              </w:rPr>
              <w:t>Кр.фин.актив + Парични ср-ва</w:t>
            </w:r>
          </w:p>
        </w:tc>
        <w:tc>
          <w:tcPr>
            <w:tcW w:w="995"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11.86</w:t>
            </w:r>
          </w:p>
        </w:tc>
        <w:tc>
          <w:tcPr>
            <w:tcW w:w="885"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18.25</w:t>
            </w:r>
          </w:p>
        </w:tc>
        <w:tc>
          <w:tcPr>
            <w:tcW w:w="900"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13.88</w:t>
            </w:r>
          </w:p>
        </w:tc>
      </w:tr>
      <w:tr w:rsidR="003777D2" w:rsidRPr="00327A61" w:rsidTr="003777D2">
        <w:trPr>
          <w:cnfStyle w:val="000000100000" w:firstRow="0" w:lastRow="0" w:firstColumn="0" w:lastColumn="0" w:oddVBand="0" w:evenVBand="0" w:oddHBand="1" w:evenHBand="0" w:firstRowFirstColumn="0" w:firstRowLastColumn="0" w:lastRowFirstColumn="0" w:lastRowLastColumn="0"/>
          <w:trHeight w:val="315"/>
        </w:trPr>
        <w:tc>
          <w:tcPr>
            <w:tcW w:w="3261" w:type="dxa"/>
            <w:vMerge/>
            <w:vAlign w:val="center"/>
          </w:tcPr>
          <w:p w:rsidR="003777D2" w:rsidRPr="00327A61" w:rsidRDefault="003777D2" w:rsidP="003777D2">
            <w:pPr>
              <w:rPr>
                <w:rFonts w:ascii="Arial" w:eastAsia="Times New Roman" w:hAnsi="Arial" w:cs="Arial"/>
                <w:sz w:val="20"/>
                <w:szCs w:val="20"/>
                <w:lang w:eastAsia="bg-BG"/>
              </w:rPr>
            </w:pPr>
          </w:p>
        </w:tc>
        <w:tc>
          <w:tcPr>
            <w:tcW w:w="3682" w:type="dxa"/>
            <w:shd w:val="clear" w:color="auto" w:fill="D9D9D9" w:themeFill="background1" w:themeFillShade="D9"/>
          </w:tcPr>
          <w:p w:rsidR="003777D2" w:rsidRPr="00327A61" w:rsidRDefault="003777D2" w:rsidP="00361FC0">
            <w:pPr>
              <w:jc w:val="center"/>
              <w:rPr>
                <w:rFonts w:ascii="Arial" w:eastAsia="Times New Roman" w:hAnsi="Arial" w:cs="Arial"/>
                <w:sz w:val="20"/>
                <w:szCs w:val="20"/>
                <w:lang w:eastAsia="bg-BG"/>
              </w:rPr>
            </w:pPr>
            <w:r w:rsidRPr="00327A61">
              <w:rPr>
                <w:rFonts w:ascii="Arial" w:hAnsi="Arial" w:cs="Arial"/>
                <w:sz w:val="20"/>
                <w:szCs w:val="20"/>
              </w:rPr>
              <w:t>Краткосрочни задължения</w:t>
            </w:r>
          </w:p>
        </w:tc>
        <w:tc>
          <w:tcPr>
            <w:tcW w:w="995" w:type="dxa"/>
            <w:vMerge/>
            <w:vAlign w:val="center"/>
          </w:tcPr>
          <w:p w:rsidR="003777D2" w:rsidRPr="00327A61" w:rsidRDefault="003777D2" w:rsidP="003777D2">
            <w:pPr>
              <w:jc w:val="right"/>
              <w:rPr>
                <w:rFonts w:ascii="Arial" w:eastAsia="Times New Roman" w:hAnsi="Arial" w:cs="Arial"/>
                <w:sz w:val="20"/>
                <w:szCs w:val="20"/>
                <w:lang w:eastAsia="bg-BG"/>
              </w:rPr>
            </w:pPr>
          </w:p>
        </w:tc>
        <w:tc>
          <w:tcPr>
            <w:tcW w:w="885" w:type="dxa"/>
            <w:vMerge/>
            <w:vAlign w:val="center"/>
          </w:tcPr>
          <w:p w:rsidR="003777D2" w:rsidRPr="00327A61" w:rsidRDefault="003777D2" w:rsidP="003777D2">
            <w:pPr>
              <w:jc w:val="right"/>
              <w:rPr>
                <w:rFonts w:ascii="Arial" w:eastAsia="Times New Roman" w:hAnsi="Arial" w:cs="Arial"/>
                <w:sz w:val="20"/>
                <w:szCs w:val="20"/>
                <w:lang w:eastAsia="bg-BG"/>
              </w:rPr>
            </w:pPr>
          </w:p>
        </w:tc>
        <w:tc>
          <w:tcPr>
            <w:tcW w:w="900" w:type="dxa"/>
            <w:vMerge/>
            <w:vAlign w:val="center"/>
          </w:tcPr>
          <w:p w:rsidR="003777D2" w:rsidRPr="00327A61" w:rsidRDefault="003777D2" w:rsidP="003777D2">
            <w:pPr>
              <w:jc w:val="right"/>
              <w:rPr>
                <w:rFonts w:ascii="Arial" w:eastAsia="Times New Roman" w:hAnsi="Arial" w:cs="Arial"/>
                <w:sz w:val="20"/>
                <w:szCs w:val="20"/>
                <w:lang w:eastAsia="bg-BG"/>
              </w:rPr>
            </w:pPr>
          </w:p>
        </w:tc>
      </w:tr>
      <w:tr w:rsidR="003777D2" w:rsidRPr="00327A61" w:rsidTr="003777D2">
        <w:trPr>
          <w:cnfStyle w:val="000000010000" w:firstRow="0" w:lastRow="0" w:firstColumn="0" w:lastColumn="0" w:oddVBand="0" w:evenVBand="0" w:oddHBand="0" w:evenHBand="1" w:firstRowFirstColumn="0" w:firstRowLastColumn="0" w:lastRowFirstColumn="0" w:lastRowLastColumn="0"/>
          <w:trHeight w:val="315"/>
        </w:trPr>
        <w:tc>
          <w:tcPr>
            <w:tcW w:w="3261" w:type="dxa"/>
            <w:vMerge w:val="restart"/>
            <w:shd w:val="clear" w:color="auto" w:fill="F2F2F2" w:themeFill="background1" w:themeFillShade="F2"/>
            <w:vAlign w:val="center"/>
          </w:tcPr>
          <w:p w:rsidR="003777D2" w:rsidRPr="00327A61" w:rsidRDefault="003777D2" w:rsidP="003777D2">
            <w:pPr>
              <w:rPr>
                <w:rFonts w:ascii="Arial" w:hAnsi="Arial" w:cs="Arial"/>
                <w:sz w:val="20"/>
                <w:szCs w:val="20"/>
              </w:rPr>
            </w:pPr>
            <w:r w:rsidRPr="00327A61">
              <w:rPr>
                <w:rFonts w:ascii="Arial" w:hAnsi="Arial" w:cs="Arial"/>
                <w:sz w:val="20"/>
                <w:szCs w:val="20"/>
              </w:rPr>
              <w:lastRenderedPageBreak/>
              <w:t>4. Кф. на абсолютна ликвидност</w:t>
            </w:r>
          </w:p>
        </w:tc>
        <w:tc>
          <w:tcPr>
            <w:tcW w:w="3682" w:type="dxa"/>
            <w:shd w:val="clear" w:color="auto" w:fill="F2F2F2" w:themeFill="background1" w:themeFillShade="F2"/>
            <w:vAlign w:val="bottom"/>
          </w:tcPr>
          <w:p w:rsidR="003777D2" w:rsidRPr="00327A61" w:rsidRDefault="003777D2" w:rsidP="003777D2">
            <w:pPr>
              <w:jc w:val="center"/>
              <w:rPr>
                <w:rFonts w:ascii="Arial" w:hAnsi="Arial" w:cs="Arial"/>
                <w:sz w:val="20"/>
                <w:szCs w:val="20"/>
              </w:rPr>
            </w:pPr>
            <w:r w:rsidRPr="00327A61">
              <w:rPr>
                <w:rFonts w:ascii="Arial" w:hAnsi="Arial" w:cs="Arial"/>
                <w:sz w:val="20"/>
                <w:szCs w:val="20"/>
              </w:rPr>
              <w:t>Парични средства</w:t>
            </w:r>
          </w:p>
        </w:tc>
        <w:tc>
          <w:tcPr>
            <w:tcW w:w="995" w:type="dxa"/>
            <w:vMerge w:val="restart"/>
            <w:shd w:val="clear" w:color="auto" w:fill="F2F2F2" w:themeFill="background1" w:themeFillShade="F2"/>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11.86</w:t>
            </w:r>
          </w:p>
        </w:tc>
        <w:tc>
          <w:tcPr>
            <w:tcW w:w="885" w:type="dxa"/>
            <w:vMerge w:val="restart"/>
            <w:shd w:val="clear" w:color="auto" w:fill="F2F2F2" w:themeFill="background1" w:themeFillShade="F2"/>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18.25</w:t>
            </w:r>
          </w:p>
        </w:tc>
        <w:tc>
          <w:tcPr>
            <w:tcW w:w="900" w:type="dxa"/>
            <w:vMerge w:val="restart"/>
            <w:shd w:val="clear" w:color="auto" w:fill="F2F2F2" w:themeFill="background1" w:themeFillShade="F2"/>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13.88</w:t>
            </w:r>
          </w:p>
        </w:tc>
      </w:tr>
      <w:tr w:rsidR="003777D2" w:rsidRPr="00327A61" w:rsidTr="003777D2">
        <w:trPr>
          <w:cnfStyle w:val="000000100000" w:firstRow="0" w:lastRow="0" w:firstColumn="0" w:lastColumn="0" w:oddVBand="0" w:evenVBand="0" w:oddHBand="1" w:evenHBand="0" w:firstRowFirstColumn="0" w:firstRowLastColumn="0" w:lastRowFirstColumn="0" w:lastRowLastColumn="0"/>
          <w:trHeight w:val="315"/>
        </w:trPr>
        <w:tc>
          <w:tcPr>
            <w:tcW w:w="3261" w:type="dxa"/>
            <w:vMerge/>
            <w:vAlign w:val="center"/>
          </w:tcPr>
          <w:p w:rsidR="003777D2" w:rsidRPr="00327A61" w:rsidRDefault="003777D2" w:rsidP="003777D2">
            <w:pPr>
              <w:rPr>
                <w:rFonts w:ascii="Arial" w:eastAsia="Times New Roman" w:hAnsi="Arial" w:cs="Arial"/>
                <w:sz w:val="20"/>
                <w:szCs w:val="20"/>
                <w:lang w:eastAsia="bg-BG"/>
              </w:rPr>
            </w:pPr>
          </w:p>
        </w:tc>
        <w:tc>
          <w:tcPr>
            <w:tcW w:w="3682" w:type="dxa"/>
            <w:shd w:val="clear" w:color="auto" w:fill="F2F2F2" w:themeFill="background1" w:themeFillShade="F2"/>
          </w:tcPr>
          <w:p w:rsidR="003777D2" w:rsidRPr="00327A61" w:rsidRDefault="003777D2" w:rsidP="00361FC0">
            <w:pPr>
              <w:jc w:val="center"/>
              <w:rPr>
                <w:rFonts w:ascii="Arial" w:eastAsia="Times New Roman" w:hAnsi="Arial" w:cs="Arial"/>
                <w:sz w:val="20"/>
                <w:szCs w:val="20"/>
                <w:lang w:eastAsia="bg-BG"/>
              </w:rPr>
            </w:pPr>
            <w:r w:rsidRPr="00327A61">
              <w:rPr>
                <w:rFonts w:ascii="Arial" w:hAnsi="Arial" w:cs="Arial"/>
                <w:sz w:val="20"/>
                <w:szCs w:val="20"/>
              </w:rPr>
              <w:t>Краткосрочни задължения</w:t>
            </w:r>
          </w:p>
        </w:tc>
        <w:tc>
          <w:tcPr>
            <w:tcW w:w="995" w:type="dxa"/>
            <w:vMerge/>
            <w:vAlign w:val="center"/>
          </w:tcPr>
          <w:p w:rsidR="003777D2" w:rsidRPr="00327A61" w:rsidRDefault="003777D2" w:rsidP="003777D2">
            <w:pPr>
              <w:jc w:val="right"/>
              <w:rPr>
                <w:rFonts w:ascii="Arial" w:eastAsia="Times New Roman" w:hAnsi="Arial" w:cs="Arial"/>
                <w:sz w:val="20"/>
                <w:szCs w:val="20"/>
                <w:lang w:eastAsia="bg-BG"/>
              </w:rPr>
            </w:pPr>
          </w:p>
        </w:tc>
        <w:tc>
          <w:tcPr>
            <w:tcW w:w="885" w:type="dxa"/>
            <w:vMerge/>
            <w:vAlign w:val="center"/>
          </w:tcPr>
          <w:p w:rsidR="003777D2" w:rsidRPr="00327A61" w:rsidRDefault="003777D2" w:rsidP="003777D2">
            <w:pPr>
              <w:jc w:val="right"/>
              <w:rPr>
                <w:rFonts w:ascii="Arial" w:eastAsia="Times New Roman" w:hAnsi="Arial" w:cs="Arial"/>
                <w:sz w:val="20"/>
                <w:szCs w:val="20"/>
                <w:lang w:eastAsia="bg-BG"/>
              </w:rPr>
            </w:pPr>
          </w:p>
        </w:tc>
        <w:tc>
          <w:tcPr>
            <w:tcW w:w="900" w:type="dxa"/>
            <w:vMerge/>
            <w:vAlign w:val="center"/>
          </w:tcPr>
          <w:p w:rsidR="003777D2" w:rsidRPr="00327A61" w:rsidRDefault="003777D2" w:rsidP="003777D2">
            <w:pPr>
              <w:jc w:val="right"/>
              <w:rPr>
                <w:rFonts w:ascii="Arial" w:eastAsia="Times New Roman" w:hAnsi="Arial" w:cs="Arial"/>
                <w:sz w:val="20"/>
                <w:szCs w:val="20"/>
                <w:lang w:eastAsia="bg-BG"/>
              </w:rPr>
            </w:pPr>
          </w:p>
        </w:tc>
      </w:tr>
      <w:tr w:rsidR="003777D2" w:rsidRPr="00665DA4" w:rsidTr="003777D2">
        <w:trPr>
          <w:cnfStyle w:val="000000010000" w:firstRow="0" w:lastRow="0" w:firstColumn="0" w:lastColumn="0" w:oddVBand="0" w:evenVBand="0" w:oddHBand="0" w:evenHBand="1" w:firstRowFirstColumn="0" w:firstRowLastColumn="0" w:lastRowFirstColumn="0" w:lastRowLastColumn="0"/>
          <w:trHeight w:val="315"/>
        </w:trPr>
        <w:tc>
          <w:tcPr>
            <w:tcW w:w="3261" w:type="dxa"/>
            <w:vMerge w:val="restart"/>
            <w:shd w:val="clear" w:color="auto" w:fill="D9D9D9" w:themeFill="background1" w:themeFillShade="D9"/>
            <w:vAlign w:val="center"/>
          </w:tcPr>
          <w:p w:rsidR="003777D2" w:rsidRPr="00327A61" w:rsidRDefault="003777D2" w:rsidP="003777D2">
            <w:pPr>
              <w:rPr>
                <w:rFonts w:ascii="Arial" w:hAnsi="Arial" w:cs="Arial"/>
                <w:sz w:val="20"/>
                <w:szCs w:val="20"/>
              </w:rPr>
            </w:pPr>
            <w:r w:rsidRPr="00327A61">
              <w:rPr>
                <w:rFonts w:ascii="Arial" w:hAnsi="Arial" w:cs="Arial"/>
                <w:sz w:val="20"/>
                <w:szCs w:val="20"/>
              </w:rPr>
              <w:t>Нетен оборотен капитал -хил.лв. (Net Working Capital)</w:t>
            </w:r>
          </w:p>
        </w:tc>
        <w:tc>
          <w:tcPr>
            <w:tcW w:w="3682" w:type="dxa"/>
            <w:shd w:val="clear" w:color="auto" w:fill="D9D9D9" w:themeFill="background1" w:themeFillShade="D9"/>
            <w:vAlign w:val="bottom"/>
          </w:tcPr>
          <w:p w:rsidR="003777D2" w:rsidRPr="00327A61" w:rsidRDefault="003777D2" w:rsidP="003777D2">
            <w:pPr>
              <w:jc w:val="center"/>
              <w:rPr>
                <w:rFonts w:ascii="Arial" w:hAnsi="Arial" w:cs="Arial"/>
                <w:sz w:val="20"/>
                <w:szCs w:val="20"/>
              </w:rPr>
            </w:pPr>
            <w:r w:rsidRPr="00327A61">
              <w:rPr>
                <w:rFonts w:ascii="Arial" w:hAnsi="Arial" w:cs="Arial"/>
                <w:sz w:val="20"/>
                <w:szCs w:val="20"/>
              </w:rPr>
              <w:t>Краткотрайни активи</w:t>
            </w:r>
          </w:p>
        </w:tc>
        <w:tc>
          <w:tcPr>
            <w:tcW w:w="995"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10 687</w:t>
            </w:r>
          </w:p>
        </w:tc>
        <w:tc>
          <w:tcPr>
            <w:tcW w:w="885"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11 156</w:t>
            </w:r>
          </w:p>
        </w:tc>
        <w:tc>
          <w:tcPr>
            <w:tcW w:w="900"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11 177</w:t>
            </w:r>
          </w:p>
        </w:tc>
      </w:tr>
      <w:tr w:rsidR="003777D2" w:rsidRPr="00665DA4" w:rsidTr="003777D2">
        <w:trPr>
          <w:cnfStyle w:val="000000100000" w:firstRow="0" w:lastRow="0" w:firstColumn="0" w:lastColumn="0" w:oddVBand="0" w:evenVBand="0" w:oddHBand="1" w:evenHBand="0" w:firstRowFirstColumn="0" w:firstRowLastColumn="0" w:lastRowFirstColumn="0" w:lastRowLastColumn="0"/>
          <w:trHeight w:val="315"/>
        </w:trPr>
        <w:tc>
          <w:tcPr>
            <w:tcW w:w="3261" w:type="dxa"/>
            <w:vMerge/>
          </w:tcPr>
          <w:p w:rsidR="003777D2" w:rsidRPr="00E105AB" w:rsidRDefault="003777D2" w:rsidP="00665DA4">
            <w:pPr>
              <w:rPr>
                <w:rFonts w:ascii="Arial" w:eastAsia="Times New Roman" w:hAnsi="Arial" w:cs="Arial"/>
                <w:sz w:val="20"/>
                <w:szCs w:val="20"/>
                <w:lang w:eastAsia="bg-BG"/>
              </w:rPr>
            </w:pPr>
          </w:p>
        </w:tc>
        <w:tc>
          <w:tcPr>
            <w:tcW w:w="3682" w:type="dxa"/>
            <w:shd w:val="clear" w:color="auto" w:fill="D9D9D9" w:themeFill="background1" w:themeFillShade="D9"/>
          </w:tcPr>
          <w:p w:rsidR="003777D2" w:rsidRPr="00E105AB" w:rsidRDefault="003777D2" w:rsidP="00665DA4">
            <w:pPr>
              <w:jc w:val="center"/>
              <w:rPr>
                <w:rFonts w:ascii="Arial" w:eastAsia="Times New Roman" w:hAnsi="Arial" w:cs="Arial"/>
                <w:sz w:val="20"/>
                <w:szCs w:val="20"/>
                <w:lang w:eastAsia="bg-BG"/>
              </w:rPr>
            </w:pPr>
            <w:r w:rsidRPr="00E105AB">
              <w:rPr>
                <w:rFonts w:ascii="Arial" w:eastAsia="Times New Roman" w:hAnsi="Arial" w:cs="Arial"/>
                <w:sz w:val="20"/>
                <w:szCs w:val="20"/>
                <w:lang w:eastAsia="bg-BG"/>
              </w:rPr>
              <w:t>Краткосрочни задължения</w:t>
            </w:r>
          </w:p>
        </w:tc>
        <w:tc>
          <w:tcPr>
            <w:tcW w:w="995" w:type="dxa"/>
            <w:vMerge/>
          </w:tcPr>
          <w:p w:rsidR="003777D2" w:rsidRPr="00665DA4" w:rsidRDefault="003777D2" w:rsidP="00665DA4">
            <w:pPr>
              <w:rPr>
                <w:rFonts w:ascii="Arial" w:eastAsia="Times New Roman" w:hAnsi="Arial" w:cs="Arial"/>
                <w:sz w:val="20"/>
                <w:szCs w:val="20"/>
                <w:highlight w:val="green"/>
                <w:lang w:eastAsia="bg-BG"/>
              </w:rPr>
            </w:pPr>
          </w:p>
        </w:tc>
        <w:tc>
          <w:tcPr>
            <w:tcW w:w="885" w:type="dxa"/>
            <w:vMerge/>
          </w:tcPr>
          <w:p w:rsidR="003777D2" w:rsidRPr="00665DA4" w:rsidRDefault="003777D2" w:rsidP="00665DA4">
            <w:pPr>
              <w:rPr>
                <w:rFonts w:ascii="Arial" w:eastAsia="Times New Roman" w:hAnsi="Arial" w:cs="Arial"/>
                <w:sz w:val="20"/>
                <w:szCs w:val="20"/>
                <w:highlight w:val="green"/>
                <w:lang w:eastAsia="bg-BG"/>
              </w:rPr>
            </w:pPr>
          </w:p>
        </w:tc>
        <w:tc>
          <w:tcPr>
            <w:tcW w:w="900" w:type="dxa"/>
            <w:vMerge/>
          </w:tcPr>
          <w:p w:rsidR="003777D2" w:rsidRPr="00665DA4" w:rsidRDefault="003777D2" w:rsidP="00665DA4">
            <w:pPr>
              <w:rPr>
                <w:rFonts w:ascii="Arial" w:eastAsia="Times New Roman" w:hAnsi="Arial" w:cs="Arial"/>
                <w:sz w:val="20"/>
                <w:szCs w:val="20"/>
                <w:highlight w:val="green"/>
                <w:lang w:eastAsia="bg-BG"/>
              </w:rPr>
            </w:pPr>
          </w:p>
        </w:tc>
      </w:tr>
    </w:tbl>
    <w:p w:rsidR="00B6249A" w:rsidRPr="00327A61" w:rsidRDefault="00E622F4" w:rsidP="00B6249A">
      <w:pPr>
        <w:pStyle w:val="BodyTextIndent"/>
        <w:spacing w:before="120" w:after="120"/>
        <w:ind w:firstLine="709"/>
      </w:pPr>
      <w:r w:rsidRPr="00327A61">
        <w:t xml:space="preserve">В края на </w:t>
      </w:r>
      <w:r w:rsidR="00B6249A" w:rsidRPr="00327A61">
        <w:t>20</w:t>
      </w:r>
      <w:r w:rsidR="00B6249A" w:rsidRPr="00327A61">
        <w:rPr>
          <w:lang w:val="ru-RU"/>
        </w:rPr>
        <w:t>1</w:t>
      </w:r>
      <w:r w:rsidR="006750D9" w:rsidRPr="00327A61">
        <w:rPr>
          <w:lang w:val="ru-RU"/>
        </w:rPr>
        <w:t>7</w:t>
      </w:r>
      <w:r w:rsidR="00B6249A" w:rsidRPr="00327A61">
        <w:t xml:space="preserve">г. </w:t>
      </w:r>
      <w:r w:rsidR="0092180E" w:rsidRPr="00327A61">
        <w:t>е отчетен</w:t>
      </w:r>
      <w:r w:rsidR="00B6249A" w:rsidRPr="00327A61">
        <w:t xml:space="preserve"> </w:t>
      </w:r>
      <w:r w:rsidR="005A5AF2" w:rsidRPr="00327A61">
        <w:t>ръст</w:t>
      </w:r>
      <w:r w:rsidR="0092180E" w:rsidRPr="00327A61">
        <w:t xml:space="preserve"> в стойността</w:t>
      </w:r>
      <w:r w:rsidR="00FE0422" w:rsidRPr="00327A61">
        <w:t xml:space="preserve"> на</w:t>
      </w:r>
      <w:r w:rsidR="00B6249A" w:rsidRPr="00327A61">
        <w:t xml:space="preserve"> краткосрочните активи</w:t>
      </w:r>
      <w:r w:rsidR="0092180E" w:rsidRPr="00327A61">
        <w:t xml:space="preserve"> – те на</w:t>
      </w:r>
      <w:r w:rsidR="005A5AF2" w:rsidRPr="00327A61">
        <w:t>растват</w:t>
      </w:r>
      <w:r w:rsidR="0092180E" w:rsidRPr="00327A61">
        <w:t xml:space="preserve"> с</w:t>
      </w:r>
      <w:r w:rsidR="00F0727A" w:rsidRPr="00327A61">
        <w:t xml:space="preserve"> </w:t>
      </w:r>
      <w:r w:rsidR="006750D9" w:rsidRPr="00327A61">
        <w:t>424</w:t>
      </w:r>
      <w:r w:rsidR="00B6249A" w:rsidRPr="00327A61">
        <w:t xml:space="preserve"> хил.лв</w:t>
      </w:r>
      <w:r w:rsidR="00A96904" w:rsidRPr="00327A61">
        <w:t>. (</w:t>
      </w:r>
      <w:r w:rsidR="006750D9" w:rsidRPr="00327A61">
        <w:t>4</w:t>
      </w:r>
      <w:r w:rsidR="00A96904" w:rsidRPr="00327A61">
        <w:t>%)</w:t>
      </w:r>
      <w:r w:rsidR="00A84B34" w:rsidRPr="00327A61">
        <w:t xml:space="preserve"> спрямо предходната година</w:t>
      </w:r>
      <w:r w:rsidR="00F0727A" w:rsidRPr="00327A61">
        <w:t xml:space="preserve">, </w:t>
      </w:r>
      <w:r w:rsidR="00A96904" w:rsidRPr="00327A61">
        <w:t>като същевременно</w:t>
      </w:r>
      <w:r w:rsidR="00F0727A" w:rsidRPr="00327A61">
        <w:t xml:space="preserve"> краткосрочните задължения </w:t>
      </w:r>
      <w:r w:rsidR="006750D9" w:rsidRPr="00327A61">
        <w:t>намаляват</w:t>
      </w:r>
      <w:r w:rsidR="0092180E" w:rsidRPr="00327A61">
        <w:t xml:space="preserve"> </w:t>
      </w:r>
      <w:r w:rsidR="006254E5" w:rsidRPr="00327A61">
        <w:t>с</w:t>
      </w:r>
      <w:r w:rsidR="00F0727A" w:rsidRPr="00327A61">
        <w:t xml:space="preserve"> </w:t>
      </w:r>
      <w:r w:rsidR="006750D9" w:rsidRPr="00327A61">
        <w:t>-66</w:t>
      </w:r>
      <w:r w:rsidR="00F0727A" w:rsidRPr="00327A61">
        <w:t xml:space="preserve"> хил.лв</w:t>
      </w:r>
      <w:r w:rsidR="00B6249A" w:rsidRPr="00327A61">
        <w:t>.</w:t>
      </w:r>
      <w:r w:rsidR="00A96904" w:rsidRPr="00327A61">
        <w:t xml:space="preserve"> (</w:t>
      </w:r>
      <w:r w:rsidR="006750D9" w:rsidRPr="00327A61">
        <w:t>-9</w:t>
      </w:r>
      <w:r w:rsidR="00A96904" w:rsidRPr="00327A61">
        <w:t>%).</w:t>
      </w:r>
      <w:r w:rsidR="00B6249A" w:rsidRPr="00327A61">
        <w:t xml:space="preserve"> В резултат на </w:t>
      </w:r>
      <w:r w:rsidR="0092180E" w:rsidRPr="00327A61">
        <w:t>цитираната</w:t>
      </w:r>
      <w:r w:rsidR="00F0727A" w:rsidRPr="00327A61">
        <w:t xml:space="preserve"> динамика</w:t>
      </w:r>
      <w:r w:rsidR="00A96904" w:rsidRPr="00327A61">
        <w:t>,</w:t>
      </w:r>
      <w:r w:rsidR="00B6249A" w:rsidRPr="00327A61">
        <w:t xml:space="preserve"> дружеството </w:t>
      </w:r>
      <w:r w:rsidR="00FE0422" w:rsidRPr="00327A61">
        <w:t>формира</w:t>
      </w:r>
      <w:r w:rsidR="00B6249A" w:rsidRPr="00327A61">
        <w:t xml:space="preserve"> </w:t>
      </w:r>
      <w:r w:rsidR="006750D9" w:rsidRPr="00327A61">
        <w:t>увеличение</w:t>
      </w:r>
      <w:r w:rsidR="00B6249A" w:rsidRPr="00327A61">
        <w:t xml:space="preserve"> от </w:t>
      </w:r>
      <w:r w:rsidR="006750D9" w:rsidRPr="00327A61">
        <w:t>2</w:t>
      </w:r>
      <w:r w:rsidR="005A5AF2" w:rsidRPr="00327A61">
        <w:t>,2</w:t>
      </w:r>
      <w:r w:rsidR="0092180E" w:rsidRPr="00327A61">
        <w:t xml:space="preserve"> </w:t>
      </w:r>
      <w:r w:rsidR="00FE0422" w:rsidRPr="00327A61">
        <w:t>пункта</w:t>
      </w:r>
      <w:r w:rsidR="00B6249A" w:rsidRPr="00327A61">
        <w:t xml:space="preserve"> на </w:t>
      </w:r>
      <w:r w:rsidR="00B6249A" w:rsidRPr="00327A61">
        <w:rPr>
          <w:i/>
          <w:u w:val="single"/>
        </w:rPr>
        <w:t>коефициента на обща ликвидност</w:t>
      </w:r>
      <w:r w:rsidR="00B6249A" w:rsidRPr="00327A61">
        <w:t xml:space="preserve"> (от </w:t>
      </w:r>
      <w:r w:rsidR="006750D9" w:rsidRPr="00327A61">
        <w:t>15,91</w:t>
      </w:r>
      <w:r w:rsidR="00B6249A" w:rsidRPr="00327A61">
        <w:t xml:space="preserve"> за 20</w:t>
      </w:r>
      <w:r w:rsidR="00F0727A" w:rsidRPr="00327A61">
        <w:t>1</w:t>
      </w:r>
      <w:r w:rsidR="006750D9" w:rsidRPr="00327A61">
        <w:t>6</w:t>
      </w:r>
      <w:r w:rsidR="00B6249A" w:rsidRPr="00327A61">
        <w:t xml:space="preserve"> г. </w:t>
      </w:r>
      <w:r w:rsidR="00D3284C" w:rsidRPr="00327A61">
        <w:t>до</w:t>
      </w:r>
      <w:r w:rsidR="00B6249A" w:rsidRPr="00327A61">
        <w:t xml:space="preserve"> </w:t>
      </w:r>
      <w:r w:rsidR="006750D9" w:rsidRPr="00327A61">
        <w:t>18,1</w:t>
      </w:r>
      <w:r w:rsidR="001769EA">
        <w:t>7</w:t>
      </w:r>
      <w:r w:rsidR="00B6249A" w:rsidRPr="00327A61">
        <w:t xml:space="preserve"> през 201</w:t>
      </w:r>
      <w:r w:rsidR="006750D9" w:rsidRPr="00327A61">
        <w:t>7</w:t>
      </w:r>
      <w:r w:rsidR="00B6249A" w:rsidRPr="00327A61">
        <w:t>г.).</w:t>
      </w:r>
      <w:r w:rsidR="00F54199" w:rsidRPr="00327A61">
        <w:t xml:space="preserve"> </w:t>
      </w:r>
      <w:r w:rsidR="00206380" w:rsidRPr="00327A61">
        <w:t xml:space="preserve">Поради </w:t>
      </w:r>
      <w:r w:rsidR="00BA7986" w:rsidRPr="00327A61">
        <w:t>малкото</w:t>
      </w:r>
      <w:r w:rsidR="00206380" w:rsidRPr="00327A61">
        <w:t xml:space="preserve"> </w:t>
      </w:r>
      <w:r w:rsidR="00BA7986" w:rsidRPr="00327A61">
        <w:t>тегло</w:t>
      </w:r>
      <w:r w:rsidR="00206380" w:rsidRPr="00327A61">
        <w:t xml:space="preserve"> на </w:t>
      </w:r>
      <w:r w:rsidRPr="00327A61">
        <w:t>материалните запаси</w:t>
      </w:r>
      <w:r w:rsidR="00206380" w:rsidRPr="00327A61">
        <w:t xml:space="preserve"> </w:t>
      </w:r>
      <w:r w:rsidR="00BA7986" w:rsidRPr="00327A61">
        <w:t>при</w:t>
      </w:r>
      <w:r w:rsidR="00206380" w:rsidRPr="00327A61">
        <w:t xml:space="preserve"> формиране на краткосрочния актив на дружеството, </w:t>
      </w:r>
      <w:r w:rsidR="00206380" w:rsidRPr="00327A61">
        <w:rPr>
          <w:i/>
          <w:u w:val="single"/>
        </w:rPr>
        <w:t>коефициентът на бърза ликвидност (quick ratio)</w:t>
      </w:r>
      <w:r w:rsidR="00206380" w:rsidRPr="00327A61">
        <w:t xml:space="preserve"> не се различава съществено</w:t>
      </w:r>
      <w:r w:rsidR="009B6476" w:rsidRPr="00327A61">
        <w:t xml:space="preserve"> като стойност</w:t>
      </w:r>
      <w:r w:rsidR="00206380" w:rsidRPr="00327A61">
        <w:t xml:space="preserve"> от коефициента на обща ликвидност. </w:t>
      </w:r>
      <w:r w:rsidR="00BA7986" w:rsidRPr="00327A61">
        <w:t>„</w:t>
      </w:r>
      <w:r w:rsidR="00206380" w:rsidRPr="00327A61">
        <w:t>Пристанищен комплекс – Русе</w:t>
      </w:r>
      <w:r w:rsidR="00BA7986" w:rsidRPr="00327A61">
        <w:t>“</w:t>
      </w:r>
      <w:r w:rsidR="009B6476" w:rsidRPr="00327A61">
        <w:t xml:space="preserve"> ЕАД</w:t>
      </w:r>
      <w:r w:rsidR="00206380" w:rsidRPr="00327A61">
        <w:t xml:space="preserve"> няма краткосрочни финансови активи и по тази причина показателите за </w:t>
      </w:r>
      <w:r w:rsidR="00206380" w:rsidRPr="00327A61">
        <w:rPr>
          <w:i/>
          <w:u w:val="single"/>
        </w:rPr>
        <w:t>незабавна (финансова</w:t>
      </w:r>
      <w:r w:rsidR="00F41629" w:rsidRPr="00327A61">
        <w:rPr>
          <w:rStyle w:val="FootnoteReference"/>
          <w:i/>
          <w:u w:val="single"/>
        </w:rPr>
        <w:footnoteReference w:customMarkFollows="1" w:id="1"/>
        <w:t>*</w:t>
      </w:r>
      <w:r w:rsidR="00206380" w:rsidRPr="00327A61">
        <w:rPr>
          <w:i/>
          <w:u w:val="single"/>
        </w:rPr>
        <w:t>) и абсолютна ликвидност</w:t>
      </w:r>
      <w:r w:rsidR="00206380" w:rsidRPr="00327A61">
        <w:t xml:space="preserve"> съвпадат. </w:t>
      </w:r>
      <w:r w:rsidR="00206380" w:rsidRPr="00327A61">
        <w:rPr>
          <w:i/>
          <w:u w:val="single"/>
        </w:rPr>
        <w:t>Абсолютната ликвидност</w:t>
      </w:r>
      <w:r w:rsidR="00206380" w:rsidRPr="00327A61">
        <w:t xml:space="preserve"> изразява възможността на фирмата да покрие текущите си задължения изцяло с наличните си парични средства и техните еквиваленти. </w:t>
      </w:r>
      <w:r w:rsidR="00F0727A" w:rsidRPr="00327A61">
        <w:t>През отчетния период</w:t>
      </w:r>
      <w:r w:rsidR="00B6249A" w:rsidRPr="00327A61">
        <w:t xml:space="preserve"> този показател </w:t>
      </w:r>
      <w:r w:rsidR="006750D9" w:rsidRPr="00327A61">
        <w:t>също отчита увеличение</w:t>
      </w:r>
      <w:r w:rsidR="00D3284C" w:rsidRPr="00327A61">
        <w:t xml:space="preserve"> </w:t>
      </w:r>
      <w:r w:rsidR="00BA7986" w:rsidRPr="00327A61">
        <w:t>от</w:t>
      </w:r>
      <w:r w:rsidR="00B6249A" w:rsidRPr="00327A61">
        <w:t xml:space="preserve"> </w:t>
      </w:r>
      <w:r w:rsidR="006750D9" w:rsidRPr="00327A61">
        <w:t>2</w:t>
      </w:r>
      <w:r w:rsidR="005A5AF2" w:rsidRPr="00327A61">
        <w:t>,</w:t>
      </w:r>
      <w:r w:rsidR="006750D9" w:rsidRPr="00327A61">
        <w:t>02</w:t>
      </w:r>
      <w:r w:rsidR="00FE0422" w:rsidRPr="00327A61">
        <w:t xml:space="preserve"> пункта</w:t>
      </w:r>
      <w:r w:rsidR="006750D9" w:rsidRPr="00327A61">
        <w:t>,</w:t>
      </w:r>
      <w:r w:rsidR="00B6249A" w:rsidRPr="00327A61">
        <w:t xml:space="preserve">  като достига </w:t>
      </w:r>
      <w:r w:rsidR="006750D9" w:rsidRPr="00327A61">
        <w:t>13</w:t>
      </w:r>
      <w:r w:rsidR="00FE0422" w:rsidRPr="00327A61">
        <w:t>,</w:t>
      </w:r>
      <w:r w:rsidR="005A5AF2" w:rsidRPr="00327A61">
        <w:t>8</w:t>
      </w:r>
      <w:r w:rsidR="006750D9" w:rsidRPr="00327A61">
        <w:t>8</w:t>
      </w:r>
      <w:r w:rsidR="00B6249A" w:rsidRPr="00327A61">
        <w:t xml:space="preserve"> при</w:t>
      </w:r>
      <w:r w:rsidR="00FE0422" w:rsidRPr="00327A61">
        <w:t xml:space="preserve"> </w:t>
      </w:r>
      <w:r w:rsidR="00BA7986" w:rsidRPr="00327A61">
        <w:t>1</w:t>
      </w:r>
      <w:r w:rsidR="006750D9" w:rsidRPr="00327A61">
        <w:t>1</w:t>
      </w:r>
      <w:r w:rsidR="00B6249A" w:rsidRPr="00327A61">
        <w:t>,</w:t>
      </w:r>
      <w:r w:rsidR="006750D9" w:rsidRPr="00327A61">
        <w:t>86</w:t>
      </w:r>
      <w:r w:rsidR="00B6249A" w:rsidRPr="00327A61">
        <w:t xml:space="preserve"> </w:t>
      </w:r>
      <w:r w:rsidR="00FE0422" w:rsidRPr="00327A61">
        <w:t>за</w:t>
      </w:r>
      <w:r w:rsidR="00B6249A" w:rsidRPr="00327A61">
        <w:t xml:space="preserve"> предходната 20</w:t>
      </w:r>
      <w:r w:rsidR="00F0727A" w:rsidRPr="00327A61">
        <w:t>1</w:t>
      </w:r>
      <w:r w:rsidR="006750D9" w:rsidRPr="00327A61">
        <w:t>6</w:t>
      </w:r>
      <w:r w:rsidR="00B6249A" w:rsidRPr="00327A61">
        <w:t>г.</w:t>
      </w:r>
      <w:r w:rsidR="0092180E" w:rsidRPr="00327A61">
        <w:t xml:space="preserve"> Това се дължи на динамиката от </w:t>
      </w:r>
      <w:r w:rsidR="005A5AF2" w:rsidRPr="00327A61">
        <w:t>увеличението в стойността</w:t>
      </w:r>
      <w:r w:rsidR="0092180E" w:rsidRPr="00327A61">
        <w:t xml:space="preserve"> от една страна на </w:t>
      </w:r>
      <w:r w:rsidR="006750D9" w:rsidRPr="00327A61">
        <w:t>краткотрайните активи</w:t>
      </w:r>
      <w:r w:rsidR="005A5AF2" w:rsidRPr="00327A61">
        <w:t xml:space="preserve"> като цяло</w:t>
      </w:r>
      <w:r w:rsidR="0092180E" w:rsidRPr="00327A61">
        <w:t>, а от друга на</w:t>
      </w:r>
      <w:r w:rsidR="006750D9" w:rsidRPr="00327A61">
        <w:t xml:space="preserve"> намалението на</w:t>
      </w:r>
      <w:r w:rsidR="0092180E" w:rsidRPr="00327A61">
        <w:t xml:space="preserve"> краткосрочните задължения.</w:t>
      </w:r>
    </w:p>
    <w:p w:rsidR="001023B2" w:rsidRPr="00327A61" w:rsidRDefault="00B6249A" w:rsidP="00B6249A">
      <w:pPr>
        <w:pStyle w:val="BodyTextIndent"/>
        <w:spacing w:before="120" w:after="120"/>
        <w:ind w:firstLine="709"/>
      </w:pPr>
      <w:r w:rsidRPr="00327A61">
        <w:t xml:space="preserve"> </w:t>
      </w:r>
      <w:r w:rsidR="001023B2" w:rsidRPr="00327A61">
        <w:rPr>
          <w:b/>
        </w:rPr>
        <w:t xml:space="preserve">Нетният оборотен капитал </w:t>
      </w:r>
      <w:r w:rsidR="001023B2" w:rsidRPr="00327A61">
        <w:t xml:space="preserve">е тясно свързан с ликвидността. </w:t>
      </w:r>
      <w:r w:rsidR="00BD3134" w:rsidRPr="00327A61">
        <w:t xml:space="preserve">Той изразява способността на фирмата да покрие текущите си задължения с бързоликвидни/краткосрочни активи. </w:t>
      </w:r>
      <w:r w:rsidR="001023B2" w:rsidRPr="00327A61">
        <w:t xml:space="preserve">Индикатор за неплатежоспособност е отрицателната величина на НОК. Прекалено големият размер на </w:t>
      </w:r>
      <w:r w:rsidR="0002233A" w:rsidRPr="00327A61">
        <w:t xml:space="preserve">НОК </w:t>
      </w:r>
      <w:r w:rsidR="001023B2" w:rsidRPr="00327A61">
        <w:t>от друга страна може също да е причина за загриженост, тъй като може да е показател за голям обем замразени средства в складови запаси или трудно</w:t>
      </w:r>
      <w:r w:rsidR="0002233A" w:rsidRPr="00327A61">
        <w:t xml:space="preserve"> </w:t>
      </w:r>
      <w:r w:rsidR="001023B2" w:rsidRPr="00327A61">
        <w:t xml:space="preserve">събираеми вземания. </w:t>
      </w:r>
    </w:p>
    <w:p w:rsidR="001023B2" w:rsidRPr="00327A61" w:rsidRDefault="002A70B6" w:rsidP="00BE51A2">
      <w:pPr>
        <w:spacing w:after="120"/>
        <w:ind w:firstLine="720"/>
        <w:jc w:val="both"/>
      </w:pPr>
      <w:r w:rsidRPr="00327A61">
        <w:t>„</w:t>
      </w:r>
      <w:r w:rsidR="001023B2" w:rsidRPr="00327A61">
        <w:t>Пристанищен комплекс – Русе</w:t>
      </w:r>
      <w:r w:rsidRPr="00327A61">
        <w:t>“</w:t>
      </w:r>
      <w:r w:rsidR="001023B2" w:rsidRPr="00327A61">
        <w:t xml:space="preserve"> ЕАД приключва 20</w:t>
      </w:r>
      <w:r w:rsidR="00B6249A" w:rsidRPr="00327A61">
        <w:t>1</w:t>
      </w:r>
      <w:r w:rsidR="001F7790" w:rsidRPr="00327A61">
        <w:t>7</w:t>
      </w:r>
      <w:r w:rsidR="001023B2" w:rsidRPr="00327A61">
        <w:t>г. с</w:t>
      </w:r>
      <w:r w:rsidR="001023B2" w:rsidRPr="00327A61">
        <w:rPr>
          <w:b/>
        </w:rPr>
        <w:t xml:space="preserve"> положителна стойност на Нетния оборотен капитал от </w:t>
      </w:r>
      <w:r w:rsidR="003D456B" w:rsidRPr="00327A61">
        <w:rPr>
          <w:b/>
        </w:rPr>
        <w:t>1</w:t>
      </w:r>
      <w:r w:rsidR="001F7790" w:rsidRPr="00327A61">
        <w:rPr>
          <w:b/>
        </w:rPr>
        <w:t>1</w:t>
      </w:r>
      <w:r w:rsidR="003D456B" w:rsidRPr="00327A61">
        <w:rPr>
          <w:b/>
        </w:rPr>
        <w:t xml:space="preserve"> </w:t>
      </w:r>
      <w:r w:rsidR="001F7790" w:rsidRPr="00327A61">
        <w:rPr>
          <w:b/>
        </w:rPr>
        <w:t>177</w:t>
      </w:r>
      <w:r w:rsidR="001023B2" w:rsidRPr="00327A61">
        <w:rPr>
          <w:b/>
        </w:rPr>
        <w:t xml:space="preserve"> хил. лв.</w:t>
      </w:r>
      <w:r w:rsidR="001023B2" w:rsidRPr="00327A61">
        <w:t xml:space="preserve"> С</w:t>
      </w:r>
      <w:r w:rsidR="003D456B" w:rsidRPr="00327A61">
        <w:t>ъпоставена спрямо предходната</w:t>
      </w:r>
      <w:r w:rsidR="001023B2" w:rsidRPr="00327A61">
        <w:t xml:space="preserve"> 20</w:t>
      </w:r>
      <w:r w:rsidR="00F0727A" w:rsidRPr="00327A61">
        <w:t>1</w:t>
      </w:r>
      <w:r w:rsidR="001F7790" w:rsidRPr="00327A61">
        <w:t>6</w:t>
      </w:r>
      <w:r w:rsidR="001023B2" w:rsidRPr="00327A61">
        <w:t xml:space="preserve"> г. стойността на този показател е </w:t>
      </w:r>
      <w:r w:rsidR="00FD121C" w:rsidRPr="00327A61">
        <w:t>увеличена</w:t>
      </w:r>
      <w:r w:rsidR="001023B2" w:rsidRPr="00327A61">
        <w:t xml:space="preserve"> </w:t>
      </w:r>
      <w:r w:rsidR="00FD121C" w:rsidRPr="00327A61">
        <w:t>с</w:t>
      </w:r>
      <w:r w:rsidR="001023B2" w:rsidRPr="00327A61">
        <w:t xml:space="preserve"> </w:t>
      </w:r>
      <w:r w:rsidR="001F7790" w:rsidRPr="00327A61">
        <w:t>4</w:t>
      </w:r>
      <w:r w:rsidR="009370D4" w:rsidRPr="00327A61">
        <w:t>,</w:t>
      </w:r>
      <w:r w:rsidR="001F7790" w:rsidRPr="00327A61">
        <w:t>6</w:t>
      </w:r>
      <w:r w:rsidR="001023B2" w:rsidRPr="00327A61">
        <w:t>%.</w:t>
      </w:r>
      <w:r w:rsidRPr="00327A61">
        <w:t xml:space="preserve"> </w:t>
      </w:r>
      <w:r w:rsidR="001023B2" w:rsidRPr="00327A61">
        <w:t xml:space="preserve">Дружеството няма опасения от замразяване на големи </w:t>
      </w:r>
      <w:r w:rsidR="00745AD4">
        <w:t xml:space="preserve">парични </w:t>
      </w:r>
      <w:r w:rsidR="001023B2" w:rsidRPr="00327A61">
        <w:t>средства в запаси или вземания, тъй като основна част от оборотния капитал е в парични средства.</w:t>
      </w:r>
    </w:p>
    <w:p w:rsidR="00B97C1A" w:rsidRPr="00327A61" w:rsidRDefault="009B6476" w:rsidP="004B48E2">
      <w:pPr>
        <w:spacing w:after="120"/>
        <w:ind w:firstLine="720"/>
        <w:jc w:val="both"/>
      </w:pPr>
      <w:r w:rsidRPr="00327A61">
        <w:t>3)</w:t>
      </w:r>
      <w:r w:rsidR="008E3FEB" w:rsidRPr="00327A61">
        <w:t xml:space="preserve"> </w:t>
      </w:r>
      <w:r w:rsidR="00B97C1A" w:rsidRPr="00327A61">
        <w:t xml:space="preserve">Степента на </w:t>
      </w:r>
      <w:r w:rsidR="00B97C1A" w:rsidRPr="00327A61">
        <w:rPr>
          <w:i/>
          <w:u w:val="single"/>
        </w:rPr>
        <w:t>финансова автономност</w:t>
      </w:r>
      <w:r w:rsidR="00B97C1A" w:rsidRPr="00327A61">
        <w:t xml:space="preserve"> на фирмата се изразява с възможността й да посреща своите дългосрочни задължения. За благопри</w:t>
      </w:r>
      <w:r w:rsidR="00F72D84" w:rsidRPr="00327A61">
        <w:t xml:space="preserve">ятна се счита всяка стойност на </w:t>
      </w:r>
      <w:r w:rsidR="00B97C1A" w:rsidRPr="00327A61">
        <w:t>коефициента на финансова независимост над 0,5.</w:t>
      </w:r>
    </w:p>
    <w:p w:rsidR="008B74A9" w:rsidRPr="00327A61" w:rsidRDefault="008B74A9" w:rsidP="004B48E2">
      <w:pPr>
        <w:spacing w:after="120"/>
        <w:ind w:firstLine="720"/>
        <w:jc w:val="both"/>
      </w:pPr>
    </w:p>
    <w:tbl>
      <w:tblPr>
        <w:tblStyle w:val="TableContemporary"/>
        <w:tblW w:w="9644" w:type="dxa"/>
        <w:tblLook w:val="0000" w:firstRow="0" w:lastRow="0" w:firstColumn="0" w:lastColumn="0" w:noHBand="0" w:noVBand="0"/>
      </w:tblPr>
      <w:tblGrid>
        <w:gridCol w:w="3155"/>
        <w:gridCol w:w="3549"/>
        <w:gridCol w:w="1000"/>
        <w:gridCol w:w="1000"/>
        <w:gridCol w:w="940"/>
      </w:tblGrid>
      <w:tr w:rsidR="003777D2" w:rsidRPr="00327A61" w:rsidTr="003777D2">
        <w:trPr>
          <w:cnfStyle w:val="000000100000" w:firstRow="0" w:lastRow="0" w:firstColumn="0" w:lastColumn="0" w:oddVBand="0" w:evenVBand="0" w:oddHBand="1" w:evenHBand="0" w:firstRowFirstColumn="0" w:firstRowLastColumn="0" w:lastRowFirstColumn="0" w:lastRowLastColumn="0"/>
          <w:trHeight w:val="375"/>
        </w:trPr>
        <w:tc>
          <w:tcPr>
            <w:tcW w:w="6704" w:type="dxa"/>
            <w:gridSpan w:val="2"/>
            <w:shd w:val="clear" w:color="auto" w:fill="BFBFBF" w:themeFill="background1" w:themeFillShade="BF"/>
            <w:noWrap/>
            <w:vAlign w:val="center"/>
          </w:tcPr>
          <w:p w:rsidR="003777D2" w:rsidRPr="00327A61" w:rsidRDefault="003777D2" w:rsidP="003777D2">
            <w:pPr>
              <w:rPr>
                <w:rFonts w:ascii="Arial" w:eastAsia="Times New Roman" w:hAnsi="Arial" w:cs="Arial"/>
                <w:b/>
                <w:bCs/>
                <w:i/>
                <w:iCs/>
                <w:sz w:val="20"/>
                <w:szCs w:val="20"/>
                <w:u w:val="single"/>
                <w:lang w:eastAsia="bg-BG"/>
              </w:rPr>
            </w:pPr>
            <w:r w:rsidRPr="00327A61">
              <w:rPr>
                <w:rFonts w:ascii="Arial" w:eastAsia="Times New Roman" w:hAnsi="Arial" w:cs="Arial"/>
                <w:b/>
                <w:bCs/>
                <w:i/>
                <w:iCs/>
                <w:sz w:val="20"/>
                <w:szCs w:val="20"/>
                <w:u w:val="single"/>
                <w:lang w:eastAsia="bg-BG"/>
              </w:rPr>
              <w:t>Коефициенти за финансова автономност</w:t>
            </w:r>
          </w:p>
        </w:tc>
        <w:tc>
          <w:tcPr>
            <w:tcW w:w="1000" w:type="dxa"/>
            <w:shd w:val="clear" w:color="auto" w:fill="BFBFBF" w:themeFill="background1" w:themeFillShade="BF"/>
            <w:noWrap/>
            <w:vAlign w:val="center"/>
          </w:tcPr>
          <w:p w:rsidR="003777D2" w:rsidRPr="00327A61" w:rsidRDefault="003777D2" w:rsidP="003777D2">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2016г.</w:t>
            </w:r>
          </w:p>
        </w:tc>
        <w:tc>
          <w:tcPr>
            <w:tcW w:w="1000" w:type="dxa"/>
            <w:shd w:val="clear" w:color="auto" w:fill="BFBFBF" w:themeFill="background1" w:themeFillShade="BF"/>
            <w:noWrap/>
            <w:vAlign w:val="center"/>
          </w:tcPr>
          <w:p w:rsidR="003777D2" w:rsidRPr="00327A61" w:rsidRDefault="003777D2" w:rsidP="003777D2">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БП 2017</w:t>
            </w:r>
          </w:p>
        </w:tc>
        <w:tc>
          <w:tcPr>
            <w:tcW w:w="940" w:type="dxa"/>
            <w:shd w:val="clear" w:color="auto" w:fill="BFBFBF" w:themeFill="background1" w:themeFillShade="BF"/>
            <w:noWrap/>
            <w:vAlign w:val="center"/>
          </w:tcPr>
          <w:p w:rsidR="003777D2" w:rsidRPr="00327A61" w:rsidRDefault="003777D2" w:rsidP="003777D2">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2017г.</w:t>
            </w:r>
          </w:p>
        </w:tc>
      </w:tr>
      <w:tr w:rsidR="003777D2" w:rsidRPr="00327A61" w:rsidTr="003777D2">
        <w:trPr>
          <w:cnfStyle w:val="000000010000" w:firstRow="0" w:lastRow="0" w:firstColumn="0" w:lastColumn="0" w:oddVBand="0" w:evenVBand="0" w:oddHBand="0" w:evenHBand="1" w:firstRowFirstColumn="0" w:firstRowLastColumn="0" w:lastRowFirstColumn="0" w:lastRowLastColumn="0"/>
          <w:trHeight w:val="360"/>
        </w:trPr>
        <w:tc>
          <w:tcPr>
            <w:tcW w:w="3155" w:type="dxa"/>
            <w:vMerge w:val="restart"/>
            <w:shd w:val="clear" w:color="auto" w:fill="F2F2F2" w:themeFill="background1" w:themeFillShade="F2"/>
            <w:vAlign w:val="center"/>
          </w:tcPr>
          <w:p w:rsidR="003777D2" w:rsidRPr="00327A61" w:rsidRDefault="003777D2" w:rsidP="003777D2">
            <w:pPr>
              <w:rPr>
                <w:rFonts w:ascii="Arial" w:hAnsi="Arial" w:cs="Arial"/>
                <w:sz w:val="20"/>
                <w:szCs w:val="20"/>
              </w:rPr>
            </w:pPr>
            <w:r w:rsidRPr="00327A61">
              <w:rPr>
                <w:rFonts w:ascii="Arial" w:hAnsi="Arial" w:cs="Arial"/>
                <w:sz w:val="20"/>
                <w:szCs w:val="20"/>
              </w:rPr>
              <w:t>1. Коефициент на финансова автономност</w:t>
            </w:r>
          </w:p>
        </w:tc>
        <w:tc>
          <w:tcPr>
            <w:tcW w:w="3549" w:type="dxa"/>
            <w:shd w:val="clear" w:color="auto" w:fill="F2F2F2" w:themeFill="background1" w:themeFillShade="F2"/>
            <w:vAlign w:val="bottom"/>
          </w:tcPr>
          <w:p w:rsidR="003777D2" w:rsidRPr="00327A61" w:rsidRDefault="003777D2" w:rsidP="003777D2">
            <w:pPr>
              <w:jc w:val="center"/>
              <w:rPr>
                <w:rFonts w:ascii="Arial" w:hAnsi="Arial" w:cs="Arial"/>
                <w:sz w:val="20"/>
                <w:szCs w:val="20"/>
              </w:rPr>
            </w:pPr>
            <w:r w:rsidRPr="00327A61">
              <w:rPr>
                <w:rFonts w:ascii="Arial" w:hAnsi="Arial" w:cs="Arial"/>
                <w:sz w:val="20"/>
                <w:szCs w:val="20"/>
              </w:rPr>
              <w:t>Собствен капитал</w:t>
            </w:r>
          </w:p>
        </w:tc>
        <w:tc>
          <w:tcPr>
            <w:tcW w:w="1000" w:type="dxa"/>
            <w:vMerge w:val="restart"/>
            <w:shd w:val="clear" w:color="auto" w:fill="F2F2F2" w:themeFill="background1" w:themeFillShade="F2"/>
            <w:noWrap/>
            <w:vAlign w:val="center"/>
          </w:tcPr>
          <w:p w:rsidR="003777D2" w:rsidRPr="00327A61" w:rsidRDefault="003777D2" w:rsidP="003777D2">
            <w:pPr>
              <w:jc w:val="right"/>
              <w:rPr>
                <w:rFonts w:ascii="Arial" w:hAnsi="Arial" w:cs="Arial"/>
                <w:sz w:val="20"/>
                <w:szCs w:val="20"/>
                <w:lang w:eastAsia="bg-BG"/>
              </w:rPr>
            </w:pPr>
            <w:r w:rsidRPr="00327A61">
              <w:rPr>
                <w:rFonts w:ascii="Arial" w:hAnsi="Arial" w:cs="Arial"/>
                <w:sz w:val="20"/>
                <w:szCs w:val="20"/>
              </w:rPr>
              <w:t>14.16</w:t>
            </w:r>
          </w:p>
        </w:tc>
        <w:tc>
          <w:tcPr>
            <w:tcW w:w="1000" w:type="dxa"/>
            <w:vMerge w:val="restart"/>
            <w:shd w:val="clear" w:color="auto" w:fill="F2F2F2" w:themeFill="background1" w:themeFillShade="F2"/>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17.85</w:t>
            </w:r>
          </w:p>
        </w:tc>
        <w:tc>
          <w:tcPr>
            <w:tcW w:w="940" w:type="dxa"/>
            <w:vMerge w:val="restart"/>
            <w:shd w:val="clear" w:color="auto" w:fill="F2F2F2" w:themeFill="background1" w:themeFillShade="F2"/>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15.87</w:t>
            </w:r>
          </w:p>
        </w:tc>
      </w:tr>
      <w:tr w:rsidR="003777D2" w:rsidRPr="00327A61" w:rsidTr="003777D2">
        <w:trPr>
          <w:cnfStyle w:val="000000100000" w:firstRow="0" w:lastRow="0" w:firstColumn="0" w:lastColumn="0" w:oddVBand="0" w:evenVBand="0" w:oddHBand="1" w:evenHBand="0" w:firstRowFirstColumn="0" w:firstRowLastColumn="0" w:lastRowFirstColumn="0" w:lastRowLastColumn="0"/>
          <w:trHeight w:val="360"/>
        </w:trPr>
        <w:tc>
          <w:tcPr>
            <w:tcW w:w="3155" w:type="dxa"/>
            <w:vMerge/>
            <w:vAlign w:val="center"/>
          </w:tcPr>
          <w:p w:rsidR="003777D2" w:rsidRPr="00327A61" w:rsidRDefault="003777D2" w:rsidP="003777D2">
            <w:pPr>
              <w:rPr>
                <w:rFonts w:ascii="Arial" w:eastAsia="Times New Roman" w:hAnsi="Arial" w:cs="Arial"/>
                <w:sz w:val="20"/>
                <w:szCs w:val="20"/>
                <w:lang w:eastAsia="bg-BG"/>
              </w:rPr>
            </w:pPr>
          </w:p>
        </w:tc>
        <w:tc>
          <w:tcPr>
            <w:tcW w:w="3549" w:type="dxa"/>
            <w:shd w:val="clear" w:color="auto" w:fill="F2F2F2" w:themeFill="background1" w:themeFillShade="F2"/>
          </w:tcPr>
          <w:p w:rsidR="003777D2" w:rsidRPr="00327A61" w:rsidRDefault="003777D2" w:rsidP="00361FC0">
            <w:pPr>
              <w:jc w:val="center"/>
              <w:rPr>
                <w:rFonts w:ascii="Arial" w:eastAsia="Times New Roman" w:hAnsi="Arial" w:cs="Arial"/>
                <w:sz w:val="20"/>
                <w:szCs w:val="20"/>
                <w:lang w:eastAsia="bg-BG"/>
              </w:rPr>
            </w:pPr>
            <w:r w:rsidRPr="00327A61">
              <w:rPr>
                <w:rFonts w:ascii="Arial" w:hAnsi="Arial" w:cs="Arial"/>
                <w:sz w:val="20"/>
                <w:szCs w:val="20"/>
              </w:rPr>
              <w:t>Привлечен капитал (Пасиви-СК)</w:t>
            </w:r>
          </w:p>
        </w:tc>
        <w:tc>
          <w:tcPr>
            <w:tcW w:w="1000" w:type="dxa"/>
            <w:vMerge/>
            <w:shd w:val="clear" w:color="auto" w:fill="F2F2F2" w:themeFill="background1" w:themeFillShade="F2"/>
            <w:vAlign w:val="center"/>
          </w:tcPr>
          <w:p w:rsidR="003777D2" w:rsidRPr="00327A61" w:rsidRDefault="003777D2" w:rsidP="003777D2">
            <w:pPr>
              <w:jc w:val="right"/>
              <w:rPr>
                <w:rFonts w:ascii="Arial" w:eastAsia="Times New Roman" w:hAnsi="Arial" w:cs="Arial"/>
                <w:sz w:val="20"/>
                <w:szCs w:val="20"/>
                <w:lang w:eastAsia="bg-BG"/>
              </w:rPr>
            </w:pPr>
          </w:p>
        </w:tc>
        <w:tc>
          <w:tcPr>
            <w:tcW w:w="1000" w:type="dxa"/>
            <w:vMerge/>
            <w:shd w:val="clear" w:color="auto" w:fill="F2F2F2" w:themeFill="background1" w:themeFillShade="F2"/>
            <w:vAlign w:val="center"/>
          </w:tcPr>
          <w:p w:rsidR="003777D2" w:rsidRPr="00327A61" w:rsidRDefault="003777D2" w:rsidP="003777D2">
            <w:pPr>
              <w:jc w:val="right"/>
              <w:rPr>
                <w:rFonts w:ascii="Arial" w:eastAsia="Times New Roman" w:hAnsi="Arial" w:cs="Arial"/>
                <w:sz w:val="20"/>
                <w:szCs w:val="20"/>
                <w:lang w:eastAsia="bg-BG"/>
              </w:rPr>
            </w:pPr>
          </w:p>
        </w:tc>
        <w:tc>
          <w:tcPr>
            <w:tcW w:w="940" w:type="dxa"/>
            <w:vMerge/>
            <w:shd w:val="clear" w:color="auto" w:fill="F2F2F2" w:themeFill="background1" w:themeFillShade="F2"/>
            <w:vAlign w:val="center"/>
          </w:tcPr>
          <w:p w:rsidR="003777D2" w:rsidRPr="00327A61" w:rsidRDefault="003777D2" w:rsidP="003777D2">
            <w:pPr>
              <w:jc w:val="right"/>
              <w:rPr>
                <w:rFonts w:ascii="Arial" w:eastAsia="Times New Roman" w:hAnsi="Arial" w:cs="Arial"/>
                <w:sz w:val="20"/>
                <w:szCs w:val="20"/>
                <w:lang w:eastAsia="bg-BG"/>
              </w:rPr>
            </w:pPr>
          </w:p>
        </w:tc>
      </w:tr>
      <w:tr w:rsidR="003777D2" w:rsidRPr="00327A61" w:rsidTr="003777D2">
        <w:trPr>
          <w:cnfStyle w:val="000000010000" w:firstRow="0" w:lastRow="0" w:firstColumn="0" w:lastColumn="0" w:oddVBand="0" w:evenVBand="0" w:oddHBand="0" w:evenHBand="1" w:firstRowFirstColumn="0" w:firstRowLastColumn="0" w:lastRowFirstColumn="0" w:lastRowLastColumn="0"/>
          <w:trHeight w:val="360"/>
        </w:trPr>
        <w:tc>
          <w:tcPr>
            <w:tcW w:w="3155" w:type="dxa"/>
            <w:vMerge w:val="restart"/>
            <w:shd w:val="clear" w:color="auto" w:fill="D9D9D9" w:themeFill="background1" w:themeFillShade="D9"/>
            <w:vAlign w:val="center"/>
          </w:tcPr>
          <w:p w:rsidR="003777D2" w:rsidRPr="00327A61" w:rsidRDefault="003777D2" w:rsidP="003777D2">
            <w:pPr>
              <w:rPr>
                <w:rFonts w:ascii="Arial" w:hAnsi="Arial" w:cs="Arial"/>
                <w:sz w:val="20"/>
                <w:szCs w:val="20"/>
              </w:rPr>
            </w:pPr>
            <w:r w:rsidRPr="00327A61">
              <w:rPr>
                <w:rFonts w:ascii="Arial" w:hAnsi="Arial" w:cs="Arial"/>
                <w:sz w:val="20"/>
                <w:szCs w:val="20"/>
              </w:rPr>
              <w:t>2. Коефициент на задлъжнялост</w:t>
            </w:r>
          </w:p>
        </w:tc>
        <w:tc>
          <w:tcPr>
            <w:tcW w:w="3549" w:type="dxa"/>
            <w:shd w:val="clear" w:color="auto" w:fill="D9D9D9" w:themeFill="background1" w:themeFillShade="D9"/>
            <w:vAlign w:val="bottom"/>
          </w:tcPr>
          <w:p w:rsidR="003777D2" w:rsidRPr="00327A61" w:rsidRDefault="003777D2" w:rsidP="003777D2">
            <w:pPr>
              <w:jc w:val="center"/>
              <w:rPr>
                <w:rFonts w:ascii="Arial" w:hAnsi="Arial" w:cs="Arial"/>
                <w:sz w:val="20"/>
                <w:szCs w:val="20"/>
              </w:rPr>
            </w:pPr>
            <w:r w:rsidRPr="00327A61">
              <w:rPr>
                <w:rFonts w:ascii="Arial" w:hAnsi="Arial" w:cs="Arial"/>
                <w:sz w:val="20"/>
                <w:szCs w:val="20"/>
              </w:rPr>
              <w:t>Привлечен капитал (Пасиви-СК)</w:t>
            </w:r>
          </w:p>
        </w:tc>
        <w:tc>
          <w:tcPr>
            <w:tcW w:w="1000"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0.07</w:t>
            </w:r>
          </w:p>
        </w:tc>
        <w:tc>
          <w:tcPr>
            <w:tcW w:w="1000"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0.06</w:t>
            </w:r>
          </w:p>
        </w:tc>
        <w:tc>
          <w:tcPr>
            <w:tcW w:w="940"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0.06</w:t>
            </w:r>
          </w:p>
        </w:tc>
      </w:tr>
      <w:tr w:rsidR="003777D2" w:rsidRPr="00327A61" w:rsidTr="003777D2">
        <w:trPr>
          <w:cnfStyle w:val="000000100000" w:firstRow="0" w:lastRow="0" w:firstColumn="0" w:lastColumn="0" w:oddVBand="0" w:evenVBand="0" w:oddHBand="1" w:evenHBand="0" w:firstRowFirstColumn="0" w:firstRowLastColumn="0" w:lastRowFirstColumn="0" w:lastRowLastColumn="0"/>
          <w:trHeight w:val="360"/>
        </w:trPr>
        <w:tc>
          <w:tcPr>
            <w:tcW w:w="3155" w:type="dxa"/>
            <w:vMerge/>
          </w:tcPr>
          <w:p w:rsidR="003777D2" w:rsidRPr="00327A61" w:rsidRDefault="003777D2" w:rsidP="00665DA4">
            <w:pPr>
              <w:rPr>
                <w:rFonts w:ascii="Arial" w:eastAsia="Times New Roman" w:hAnsi="Arial" w:cs="Arial"/>
                <w:sz w:val="20"/>
                <w:szCs w:val="20"/>
                <w:lang w:eastAsia="bg-BG"/>
              </w:rPr>
            </w:pPr>
          </w:p>
        </w:tc>
        <w:tc>
          <w:tcPr>
            <w:tcW w:w="3549" w:type="dxa"/>
            <w:shd w:val="clear" w:color="auto" w:fill="D9D9D9" w:themeFill="background1" w:themeFillShade="D9"/>
          </w:tcPr>
          <w:p w:rsidR="003777D2" w:rsidRPr="00327A61" w:rsidRDefault="003777D2" w:rsidP="00665DA4">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Собствен капитал</w:t>
            </w:r>
          </w:p>
        </w:tc>
        <w:tc>
          <w:tcPr>
            <w:tcW w:w="1000" w:type="dxa"/>
            <w:vMerge/>
            <w:shd w:val="clear" w:color="auto" w:fill="D9D9D9" w:themeFill="background1" w:themeFillShade="D9"/>
          </w:tcPr>
          <w:p w:rsidR="003777D2" w:rsidRPr="00327A61" w:rsidRDefault="003777D2" w:rsidP="00665DA4">
            <w:pPr>
              <w:rPr>
                <w:rFonts w:ascii="Arial" w:eastAsia="Times New Roman" w:hAnsi="Arial" w:cs="Arial"/>
                <w:sz w:val="20"/>
                <w:szCs w:val="20"/>
                <w:lang w:eastAsia="bg-BG"/>
              </w:rPr>
            </w:pPr>
          </w:p>
        </w:tc>
        <w:tc>
          <w:tcPr>
            <w:tcW w:w="1000" w:type="dxa"/>
            <w:vMerge/>
          </w:tcPr>
          <w:p w:rsidR="003777D2" w:rsidRPr="00327A61" w:rsidRDefault="003777D2" w:rsidP="00665DA4">
            <w:pPr>
              <w:rPr>
                <w:rFonts w:ascii="Arial" w:eastAsia="Times New Roman" w:hAnsi="Arial" w:cs="Arial"/>
                <w:sz w:val="20"/>
                <w:szCs w:val="20"/>
                <w:lang w:eastAsia="bg-BG"/>
              </w:rPr>
            </w:pPr>
          </w:p>
        </w:tc>
        <w:tc>
          <w:tcPr>
            <w:tcW w:w="940" w:type="dxa"/>
            <w:vMerge/>
          </w:tcPr>
          <w:p w:rsidR="003777D2" w:rsidRPr="00327A61" w:rsidRDefault="003777D2" w:rsidP="00665DA4">
            <w:pPr>
              <w:rPr>
                <w:rFonts w:ascii="Arial" w:eastAsia="Times New Roman" w:hAnsi="Arial" w:cs="Arial"/>
                <w:sz w:val="20"/>
                <w:szCs w:val="20"/>
                <w:lang w:eastAsia="bg-BG"/>
              </w:rPr>
            </w:pPr>
          </w:p>
        </w:tc>
      </w:tr>
    </w:tbl>
    <w:p w:rsidR="00764CB9" w:rsidRPr="00327A61" w:rsidRDefault="00A922A5" w:rsidP="000B7D1D">
      <w:pPr>
        <w:spacing w:before="240" w:after="120"/>
        <w:ind w:firstLine="720"/>
        <w:jc w:val="both"/>
        <w:rPr>
          <w:rFonts w:eastAsia="Times New Roman"/>
          <w:lang w:eastAsia="bg-BG"/>
        </w:rPr>
      </w:pPr>
      <w:r w:rsidRPr="00327A61">
        <w:rPr>
          <w:b/>
        </w:rPr>
        <w:t>„</w:t>
      </w:r>
      <w:r w:rsidR="00B140FA" w:rsidRPr="00327A61">
        <w:rPr>
          <w:b/>
        </w:rPr>
        <w:t>Пристанищен комплекс–Русе</w:t>
      </w:r>
      <w:r w:rsidRPr="00327A61">
        <w:rPr>
          <w:b/>
        </w:rPr>
        <w:t>“</w:t>
      </w:r>
      <w:r w:rsidR="00B140FA" w:rsidRPr="00327A61">
        <w:rPr>
          <w:b/>
        </w:rPr>
        <w:t xml:space="preserve"> ЕАД няма дългосрочни задължения, </w:t>
      </w:r>
      <w:r w:rsidR="00B140FA" w:rsidRPr="00327A61">
        <w:t>с изключение на нормативно определените провизии при пенсиониране</w:t>
      </w:r>
      <w:r w:rsidR="007E5664" w:rsidRPr="00327A61">
        <w:t xml:space="preserve"> и дългосрочния данъчен пасив</w:t>
      </w:r>
      <w:r w:rsidR="00B140FA" w:rsidRPr="00327A61">
        <w:t>. Дружеството традиционно се отличава с високи стойности на показателя за финансова независимост.</w:t>
      </w:r>
      <w:r w:rsidR="00BD3134" w:rsidRPr="00327A61">
        <w:rPr>
          <w:b/>
        </w:rPr>
        <w:t xml:space="preserve"> </w:t>
      </w:r>
      <w:r w:rsidR="00764CB9" w:rsidRPr="00327A61">
        <w:rPr>
          <w:rFonts w:eastAsia="Times New Roman"/>
          <w:lang w:eastAsia="bg-BG"/>
        </w:rPr>
        <w:t>През 201</w:t>
      </w:r>
      <w:r w:rsidR="0035504F" w:rsidRPr="00327A61">
        <w:rPr>
          <w:rFonts w:eastAsia="Times New Roman"/>
          <w:lang w:eastAsia="bg-BG"/>
        </w:rPr>
        <w:t>7</w:t>
      </w:r>
      <w:r w:rsidR="00764CB9" w:rsidRPr="00327A61">
        <w:rPr>
          <w:rFonts w:eastAsia="Times New Roman"/>
          <w:lang w:eastAsia="bg-BG"/>
        </w:rPr>
        <w:t xml:space="preserve">г. коефициентът на финансова автономност достига </w:t>
      </w:r>
      <w:r w:rsidR="00F0727A" w:rsidRPr="00327A61">
        <w:rPr>
          <w:rFonts w:eastAsia="Times New Roman"/>
          <w:lang w:eastAsia="bg-BG"/>
        </w:rPr>
        <w:t>1</w:t>
      </w:r>
      <w:r w:rsidR="0035504F" w:rsidRPr="00327A61">
        <w:rPr>
          <w:rFonts w:eastAsia="Times New Roman"/>
          <w:lang w:eastAsia="bg-BG"/>
        </w:rPr>
        <w:t>5</w:t>
      </w:r>
      <w:r w:rsidR="00F0727A" w:rsidRPr="00327A61">
        <w:rPr>
          <w:rFonts w:eastAsia="Times New Roman"/>
          <w:lang w:eastAsia="bg-BG"/>
        </w:rPr>
        <w:t>,</w:t>
      </w:r>
      <w:r w:rsidR="0035504F" w:rsidRPr="00327A61">
        <w:rPr>
          <w:rFonts w:eastAsia="Times New Roman"/>
          <w:lang w:eastAsia="bg-BG"/>
        </w:rPr>
        <w:t>87</w:t>
      </w:r>
      <w:r w:rsidR="003D456B" w:rsidRPr="00327A61">
        <w:rPr>
          <w:rFonts w:eastAsia="Times New Roman"/>
          <w:lang w:eastAsia="bg-BG"/>
        </w:rPr>
        <w:t xml:space="preserve"> - стойност </w:t>
      </w:r>
      <w:r w:rsidR="003D456B" w:rsidRPr="00327A61">
        <w:rPr>
          <w:rFonts w:eastAsia="Times New Roman"/>
          <w:lang w:eastAsia="bg-BG"/>
        </w:rPr>
        <w:lastRenderedPageBreak/>
        <w:t>коя</w:t>
      </w:r>
      <w:r w:rsidR="00764CB9" w:rsidRPr="00327A61">
        <w:rPr>
          <w:rFonts w:eastAsia="Times New Roman"/>
          <w:lang w:eastAsia="bg-BG"/>
        </w:rPr>
        <w:t xml:space="preserve">то показва, че всеки 1 лев зает капитал е обезпечен с </w:t>
      </w:r>
      <w:r w:rsidR="00F0727A" w:rsidRPr="00327A61">
        <w:rPr>
          <w:rFonts w:eastAsia="Times New Roman"/>
          <w:lang w:eastAsia="bg-BG"/>
        </w:rPr>
        <w:t>1</w:t>
      </w:r>
      <w:r w:rsidR="0035504F" w:rsidRPr="00327A61">
        <w:rPr>
          <w:rFonts w:eastAsia="Times New Roman"/>
          <w:lang w:eastAsia="bg-BG"/>
        </w:rPr>
        <w:t>5</w:t>
      </w:r>
      <w:r w:rsidR="00F0727A" w:rsidRPr="00327A61">
        <w:rPr>
          <w:rFonts w:eastAsia="Times New Roman"/>
          <w:lang w:eastAsia="bg-BG"/>
        </w:rPr>
        <w:t>,</w:t>
      </w:r>
      <w:r w:rsidR="0035504F" w:rsidRPr="00327A61">
        <w:rPr>
          <w:rFonts w:eastAsia="Times New Roman"/>
          <w:lang w:eastAsia="bg-BG"/>
        </w:rPr>
        <w:t>87</w:t>
      </w:r>
      <w:r w:rsidR="00764CB9" w:rsidRPr="00327A61">
        <w:rPr>
          <w:rFonts w:eastAsia="Times New Roman"/>
          <w:lang w:eastAsia="bg-BG"/>
        </w:rPr>
        <w:t xml:space="preserve"> лв. собствен капитал. Отчетено е</w:t>
      </w:r>
      <w:r w:rsidR="00D106E7" w:rsidRPr="00327A61">
        <w:rPr>
          <w:rFonts w:eastAsia="Times New Roman"/>
          <w:lang w:eastAsia="bg-BG"/>
        </w:rPr>
        <w:t xml:space="preserve"> </w:t>
      </w:r>
      <w:r w:rsidR="0035504F" w:rsidRPr="00327A61">
        <w:rPr>
          <w:rFonts w:eastAsia="Times New Roman"/>
          <w:lang w:eastAsia="bg-BG"/>
        </w:rPr>
        <w:t>увеличение</w:t>
      </w:r>
      <w:r w:rsidR="007E5664" w:rsidRPr="00327A61">
        <w:rPr>
          <w:rFonts w:eastAsia="Times New Roman"/>
          <w:lang w:eastAsia="bg-BG"/>
        </w:rPr>
        <w:t xml:space="preserve"> от </w:t>
      </w:r>
      <w:r w:rsidR="0035504F" w:rsidRPr="00327A61">
        <w:rPr>
          <w:rFonts w:eastAsia="Times New Roman"/>
          <w:lang w:eastAsia="bg-BG"/>
        </w:rPr>
        <w:t>12</w:t>
      </w:r>
      <w:r w:rsidR="00344F53" w:rsidRPr="00327A61">
        <w:rPr>
          <w:rFonts w:eastAsia="Times New Roman"/>
          <w:lang w:eastAsia="bg-BG"/>
        </w:rPr>
        <w:t xml:space="preserve"> % спрямо предходната година.</w:t>
      </w:r>
    </w:p>
    <w:p w:rsidR="00764CB9" w:rsidRPr="00327A61" w:rsidRDefault="00764CB9" w:rsidP="000B7D1D">
      <w:pPr>
        <w:spacing w:after="120"/>
        <w:ind w:firstLine="720"/>
        <w:jc w:val="both"/>
        <w:rPr>
          <w:rFonts w:eastAsia="Times New Roman"/>
          <w:lang w:eastAsia="bg-BG"/>
        </w:rPr>
      </w:pPr>
      <w:r w:rsidRPr="00327A61">
        <w:rPr>
          <w:rFonts w:eastAsia="Times New Roman"/>
          <w:lang w:eastAsia="bg-BG"/>
        </w:rPr>
        <w:t xml:space="preserve">Коефициентът на </w:t>
      </w:r>
      <w:r w:rsidRPr="00327A61">
        <w:rPr>
          <w:rFonts w:eastAsia="Times New Roman"/>
          <w:i/>
          <w:u w:val="single"/>
          <w:lang w:eastAsia="bg-BG"/>
        </w:rPr>
        <w:t xml:space="preserve">финансовата задлъжнялост </w:t>
      </w:r>
      <w:r w:rsidR="00D3284C" w:rsidRPr="00327A61">
        <w:rPr>
          <w:rFonts w:eastAsia="Times New Roman"/>
          <w:lang w:eastAsia="bg-BG"/>
        </w:rPr>
        <w:t xml:space="preserve"> </w:t>
      </w:r>
      <w:r w:rsidR="009370D4" w:rsidRPr="00327A61">
        <w:rPr>
          <w:rFonts w:eastAsia="Times New Roman"/>
          <w:lang w:eastAsia="bg-BG"/>
        </w:rPr>
        <w:t xml:space="preserve">като цяло </w:t>
      </w:r>
      <w:r w:rsidR="003D456B" w:rsidRPr="00327A61">
        <w:rPr>
          <w:rFonts w:eastAsia="Times New Roman"/>
          <w:lang w:eastAsia="bg-BG"/>
        </w:rPr>
        <w:t>задържа нивото си от предходната</w:t>
      </w:r>
      <w:r w:rsidRPr="00327A61">
        <w:rPr>
          <w:rFonts w:eastAsia="Times New Roman"/>
          <w:lang w:eastAsia="bg-BG"/>
        </w:rPr>
        <w:t xml:space="preserve"> 20</w:t>
      </w:r>
      <w:r w:rsidR="00F0727A" w:rsidRPr="00327A61">
        <w:rPr>
          <w:rFonts w:eastAsia="Times New Roman"/>
          <w:lang w:eastAsia="bg-BG"/>
        </w:rPr>
        <w:t>1</w:t>
      </w:r>
      <w:r w:rsidR="0035504F" w:rsidRPr="00327A61">
        <w:rPr>
          <w:rFonts w:eastAsia="Times New Roman"/>
          <w:lang w:eastAsia="bg-BG"/>
        </w:rPr>
        <w:t>6</w:t>
      </w:r>
      <w:r w:rsidRPr="00327A61">
        <w:rPr>
          <w:rFonts w:eastAsia="Times New Roman"/>
          <w:lang w:eastAsia="bg-BG"/>
        </w:rPr>
        <w:t xml:space="preserve">г. </w:t>
      </w:r>
      <w:r w:rsidR="009370D4" w:rsidRPr="00327A61">
        <w:rPr>
          <w:rFonts w:eastAsia="Times New Roman"/>
          <w:lang w:eastAsia="bg-BG"/>
        </w:rPr>
        <w:t xml:space="preserve">с </w:t>
      </w:r>
      <w:r w:rsidR="008E3F15" w:rsidRPr="00327A61">
        <w:rPr>
          <w:rFonts w:eastAsia="Times New Roman"/>
          <w:lang w:eastAsia="bg-BG"/>
        </w:rPr>
        <w:t xml:space="preserve">леко </w:t>
      </w:r>
      <w:r w:rsidR="0035504F" w:rsidRPr="00327A61">
        <w:rPr>
          <w:rFonts w:eastAsia="Times New Roman"/>
          <w:lang w:eastAsia="bg-BG"/>
        </w:rPr>
        <w:t>изменение</w:t>
      </w:r>
      <w:r w:rsidR="009370D4" w:rsidRPr="00327A61">
        <w:rPr>
          <w:rFonts w:eastAsia="Times New Roman"/>
          <w:lang w:eastAsia="bg-BG"/>
        </w:rPr>
        <w:t xml:space="preserve"> от 0,01 пункта.</w:t>
      </w:r>
    </w:p>
    <w:p w:rsidR="00764CB9" w:rsidRPr="00327A61" w:rsidRDefault="00D3284C" w:rsidP="000B7D1D">
      <w:pPr>
        <w:spacing w:after="120"/>
        <w:ind w:firstLine="720"/>
        <w:jc w:val="both"/>
        <w:rPr>
          <w:rFonts w:eastAsia="Times New Roman"/>
          <w:lang w:eastAsia="bg-BG"/>
        </w:rPr>
      </w:pPr>
      <w:r w:rsidRPr="00327A61">
        <w:rPr>
          <w:rFonts w:eastAsia="Times New Roman"/>
          <w:b/>
          <w:lang w:eastAsia="bg-BG"/>
        </w:rPr>
        <w:t>Текущите нива</w:t>
      </w:r>
      <w:r w:rsidR="00764CB9" w:rsidRPr="00327A61">
        <w:rPr>
          <w:rFonts w:eastAsia="Times New Roman"/>
          <w:b/>
          <w:lang w:eastAsia="bg-BG"/>
        </w:rPr>
        <w:t xml:space="preserve"> и </w:t>
      </w:r>
      <w:r w:rsidRPr="00327A61">
        <w:rPr>
          <w:rFonts w:eastAsia="Times New Roman"/>
          <w:b/>
          <w:lang w:eastAsia="bg-BG"/>
        </w:rPr>
        <w:t>на</w:t>
      </w:r>
      <w:r w:rsidR="00764CB9" w:rsidRPr="00327A61">
        <w:rPr>
          <w:rFonts w:eastAsia="Times New Roman"/>
          <w:b/>
          <w:lang w:eastAsia="bg-BG"/>
        </w:rPr>
        <w:t xml:space="preserve"> двата показателя</w:t>
      </w:r>
      <w:r w:rsidR="00F0727A" w:rsidRPr="00327A61">
        <w:rPr>
          <w:rFonts w:eastAsia="Times New Roman"/>
          <w:lang w:eastAsia="bg-BG"/>
        </w:rPr>
        <w:t xml:space="preserve">, </w:t>
      </w:r>
      <w:r w:rsidR="00764CB9" w:rsidRPr="00327A61">
        <w:rPr>
          <w:rFonts w:eastAsia="Times New Roman"/>
          <w:lang w:eastAsia="bg-BG"/>
        </w:rPr>
        <w:t>характеризиращи</w:t>
      </w:r>
      <w:r w:rsidRPr="00327A61">
        <w:rPr>
          <w:rFonts w:eastAsia="Times New Roman"/>
          <w:lang w:eastAsia="bg-BG"/>
        </w:rPr>
        <w:t xml:space="preserve"> добрата</w:t>
      </w:r>
      <w:r w:rsidR="00764CB9" w:rsidRPr="00327A61">
        <w:rPr>
          <w:rFonts w:eastAsia="Times New Roman"/>
          <w:lang w:eastAsia="bg-BG"/>
        </w:rPr>
        <w:t xml:space="preserve"> пл</w:t>
      </w:r>
      <w:r w:rsidRPr="00327A61">
        <w:rPr>
          <w:rFonts w:eastAsia="Times New Roman"/>
          <w:lang w:eastAsia="bg-BG"/>
        </w:rPr>
        <w:t>атежоспособност</w:t>
      </w:r>
      <w:r w:rsidR="00764CB9" w:rsidRPr="00327A61">
        <w:rPr>
          <w:rFonts w:eastAsia="Times New Roman"/>
          <w:lang w:eastAsia="bg-BG"/>
        </w:rPr>
        <w:t xml:space="preserve"> на дружеството</w:t>
      </w:r>
      <w:r w:rsidR="00F0727A" w:rsidRPr="00327A61">
        <w:rPr>
          <w:rFonts w:eastAsia="Times New Roman"/>
          <w:lang w:eastAsia="bg-BG"/>
        </w:rPr>
        <w:t>,</w:t>
      </w:r>
      <w:r w:rsidR="00764CB9" w:rsidRPr="00327A61">
        <w:rPr>
          <w:rFonts w:eastAsia="Times New Roman"/>
          <w:lang w:eastAsia="bg-BG"/>
        </w:rPr>
        <w:t xml:space="preserve"> </w:t>
      </w:r>
      <w:r w:rsidR="00244CD9" w:rsidRPr="00327A61">
        <w:rPr>
          <w:rFonts w:eastAsia="Times New Roman"/>
          <w:lang w:eastAsia="bg-BG"/>
        </w:rPr>
        <w:t>са</w:t>
      </w:r>
      <w:r w:rsidR="00764CB9" w:rsidRPr="00327A61">
        <w:rPr>
          <w:rFonts w:eastAsia="Times New Roman"/>
          <w:lang w:eastAsia="bg-BG"/>
        </w:rPr>
        <w:t xml:space="preserve"> резултат от</w:t>
      </w:r>
      <w:r w:rsidR="00AB26CF" w:rsidRPr="00327A61">
        <w:rPr>
          <w:rFonts w:eastAsia="Times New Roman"/>
          <w:lang w:eastAsia="bg-BG"/>
        </w:rPr>
        <w:t xml:space="preserve"> традиционното</w:t>
      </w:r>
      <w:r w:rsidR="00764CB9" w:rsidRPr="00327A61">
        <w:rPr>
          <w:rFonts w:eastAsia="Times New Roman"/>
          <w:lang w:eastAsia="bg-BG"/>
        </w:rPr>
        <w:t xml:space="preserve"> задържане</w:t>
      </w:r>
      <w:r w:rsidR="00AB26CF" w:rsidRPr="00327A61">
        <w:rPr>
          <w:rFonts w:eastAsia="Times New Roman"/>
          <w:lang w:eastAsia="bg-BG"/>
        </w:rPr>
        <w:t xml:space="preserve"> на</w:t>
      </w:r>
      <w:r w:rsidR="00764CB9" w:rsidRPr="00327A61">
        <w:rPr>
          <w:rFonts w:eastAsia="Times New Roman"/>
          <w:lang w:eastAsia="bg-BG"/>
        </w:rPr>
        <w:t xml:space="preserve"> ниските нива на привлечения капитал</w:t>
      </w:r>
      <w:r w:rsidR="00124261" w:rsidRPr="00124261">
        <w:rPr>
          <w:rFonts w:eastAsia="Times New Roman"/>
          <w:lang w:eastAsia="bg-BG"/>
        </w:rPr>
        <w:t>,</w:t>
      </w:r>
      <w:r w:rsidR="00124261" w:rsidRPr="00124261">
        <w:t xml:space="preserve"> както и високите дял и абсолютна стойност на собствения капитал от друга</w:t>
      </w:r>
      <w:r w:rsidR="00124261">
        <w:t>.</w:t>
      </w:r>
    </w:p>
    <w:p w:rsidR="001B6404" w:rsidRPr="00327A61" w:rsidRDefault="009B6476" w:rsidP="00064DB1">
      <w:pPr>
        <w:spacing w:before="120" w:after="120"/>
        <w:ind w:firstLine="720"/>
        <w:jc w:val="both"/>
      </w:pPr>
      <w:r w:rsidRPr="00327A61">
        <w:t>4)</w:t>
      </w:r>
      <w:r w:rsidR="00B140FA" w:rsidRPr="00327A61">
        <w:t xml:space="preserve"> </w:t>
      </w:r>
      <w:r w:rsidR="001B6404" w:rsidRPr="00327A61">
        <w:rPr>
          <w:i/>
          <w:u w:val="single"/>
        </w:rPr>
        <w:t>Показателите за възвръщаемост</w:t>
      </w:r>
      <w:r w:rsidR="001B6404" w:rsidRPr="00327A61">
        <w:t xml:space="preserve"> изразяват отношението между реализираната от фирмата печалба и използвания от нея капитал за съответния период.</w:t>
      </w:r>
      <w:r w:rsidR="009370D4" w:rsidRPr="00327A61">
        <w:t xml:space="preserve"> </w:t>
      </w:r>
    </w:p>
    <w:tbl>
      <w:tblPr>
        <w:tblStyle w:val="TableContemporary"/>
        <w:tblW w:w="9684" w:type="dxa"/>
        <w:shd w:val="clear" w:color="auto" w:fill="BFBFBF" w:themeFill="background1" w:themeFillShade="BF"/>
        <w:tblLook w:val="0000" w:firstRow="0" w:lastRow="0" w:firstColumn="0" w:lastColumn="0" w:noHBand="0" w:noVBand="0"/>
      </w:tblPr>
      <w:tblGrid>
        <w:gridCol w:w="2694"/>
        <w:gridCol w:w="4010"/>
        <w:gridCol w:w="1040"/>
        <w:gridCol w:w="1000"/>
        <w:gridCol w:w="940"/>
      </w:tblGrid>
      <w:tr w:rsidR="003777D2" w:rsidRPr="00327A61" w:rsidTr="003777D2">
        <w:trPr>
          <w:cnfStyle w:val="000000100000" w:firstRow="0" w:lastRow="0" w:firstColumn="0" w:lastColumn="0" w:oddVBand="0" w:evenVBand="0" w:oddHBand="1" w:evenHBand="0" w:firstRowFirstColumn="0" w:firstRowLastColumn="0" w:lastRowFirstColumn="0" w:lastRowLastColumn="0"/>
          <w:trHeight w:val="420"/>
        </w:trPr>
        <w:tc>
          <w:tcPr>
            <w:tcW w:w="6704" w:type="dxa"/>
            <w:gridSpan w:val="2"/>
            <w:shd w:val="clear" w:color="auto" w:fill="BFBFBF" w:themeFill="background1" w:themeFillShade="BF"/>
            <w:noWrap/>
            <w:vAlign w:val="center"/>
          </w:tcPr>
          <w:p w:rsidR="003777D2" w:rsidRPr="00327A61" w:rsidRDefault="003777D2" w:rsidP="003777D2">
            <w:pPr>
              <w:rPr>
                <w:rFonts w:ascii="Arial" w:eastAsia="Times New Roman" w:hAnsi="Arial" w:cs="Arial"/>
                <w:b/>
                <w:bCs/>
                <w:i/>
                <w:iCs/>
                <w:sz w:val="20"/>
                <w:szCs w:val="20"/>
                <w:u w:val="single"/>
                <w:lang w:eastAsia="bg-BG"/>
              </w:rPr>
            </w:pPr>
            <w:r w:rsidRPr="00327A61">
              <w:rPr>
                <w:rFonts w:ascii="Arial" w:eastAsia="Times New Roman" w:hAnsi="Arial" w:cs="Arial"/>
                <w:b/>
                <w:bCs/>
                <w:i/>
                <w:iCs/>
                <w:sz w:val="20"/>
                <w:szCs w:val="20"/>
                <w:u w:val="single"/>
                <w:lang w:eastAsia="bg-BG"/>
              </w:rPr>
              <w:t>Коефициенти на възвръщаемост:</w:t>
            </w:r>
          </w:p>
        </w:tc>
        <w:tc>
          <w:tcPr>
            <w:tcW w:w="1040" w:type="dxa"/>
            <w:shd w:val="clear" w:color="auto" w:fill="BFBFBF" w:themeFill="background1" w:themeFillShade="BF"/>
            <w:noWrap/>
            <w:vAlign w:val="center"/>
          </w:tcPr>
          <w:p w:rsidR="003777D2" w:rsidRPr="00327A61" w:rsidRDefault="003777D2" w:rsidP="003777D2">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2016г.</w:t>
            </w:r>
          </w:p>
        </w:tc>
        <w:tc>
          <w:tcPr>
            <w:tcW w:w="1000" w:type="dxa"/>
            <w:shd w:val="clear" w:color="auto" w:fill="BFBFBF" w:themeFill="background1" w:themeFillShade="BF"/>
            <w:noWrap/>
            <w:vAlign w:val="center"/>
          </w:tcPr>
          <w:p w:rsidR="003777D2" w:rsidRPr="00327A61" w:rsidRDefault="003777D2" w:rsidP="003777D2">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БП 2017</w:t>
            </w:r>
          </w:p>
        </w:tc>
        <w:tc>
          <w:tcPr>
            <w:tcW w:w="940" w:type="dxa"/>
            <w:shd w:val="clear" w:color="auto" w:fill="BFBFBF" w:themeFill="background1" w:themeFillShade="BF"/>
            <w:noWrap/>
            <w:vAlign w:val="center"/>
          </w:tcPr>
          <w:p w:rsidR="003777D2" w:rsidRPr="00327A61" w:rsidRDefault="003777D2" w:rsidP="003777D2">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2017г.</w:t>
            </w:r>
          </w:p>
        </w:tc>
      </w:tr>
      <w:tr w:rsidR="003777D2" w:rsidRPr="00327A61" w:rsidTr="00E6489F">
        <w:trPr>
          <w:cnfStyle w:val="000000010000" w:firstRow="0" w:lastRow="0" w:firstColumn="0" w:lastColumn="0" w:oddVBand="0" w:evenVBand="0" w:oddHBand="0" w:evenHBand="1" w:firstRowFirstColumn="0" w:firstRowLastColumn="0" w:lastRowFirstColumn="0" w:lastRowLastColumn="0"/>
          <w:trHeight w:val="345"/>
        </w:trPr>
        <w:tc>
          <w:tcPr>
            <w:tcW w:w="2694" w:type="dxa"/>
            <w:vMerge w:val="restart"/>
            <w:shd w:val="clear" w:color="auto" w:fill="D9D9D9" w:themeFill="background1" w:themeFillShade="D9"/>
            <w:vAlign w:val="center"/>
          </w:tcPr>
          <w:p w:rsidR="003777D2" w:rsidRPr="00327A61" w:rsidRDefault="003777D2" w:rsidP="003777D2">
            <w:pPr>
              <w:rPr>
                <w:rFonts w:ascii="Arial" w:eastAsia="Times New Roman" w:hAnsi="Arial" w:cs="Arial"/>
                <w:sz w:val="20"/>
                <w:szCs w:val="20"/>
                <w:lang w:eastAsia="bg-BG"/>
              </w:rPr>
            </w:pPr>
            <w:r w:rsidRPr="00327A61">
              <w:rPr>
                <w:rFonts w:ascii="Arial" w:eastAsia="Times New Roman" w:hAnsi="Arial" w:cs="Arial"/>
                <w:sz w:val="20"/>
                <w:szCs w:val="20"/>
                <w:lang w:eastAsia="bg-BG"/>
              </w:rPr>
              <w:t>1. Капитализация на активите</w:t>
            </w:r>
          </w:p>
        </w:tc>
        <w:tc>
          <w:tcPr>
            <w:tcW w:w="4010" w:type="dxa"/>
            <w:shd w:val="clear" w:color="auto" w:fill="D9D9D9" w:themeFill="background1" w:themeFillShade="D9"/>
            <w:noWrap/>
            <w:vAlign w:val="bottom"/>
          </w:tcPr>
          <w:p w:rsidR="003777D2" w:rsidRPr="00327A61" w:rsidRDefault="003777D2" w:rsidP="003777D2">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Нетна печалба</w:t>
            </w:r>
          </w:p>
        </w:tc>
        <w:tc>
          <w:tcPr>
            <w:tcW w:w="1040"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lang w:eastAsia="bg-BG"/>
              </w:rPr>
            </w:pPr>
            <w:r w:rsidRPr="00327A61">
              <w:rPr>
                <w:rFonts w:ascii="Arial" w:hAnsi="Arial" w:cs="Arial"/>
                <w:sz w:val="20"/>
                <w:szCs w:val="20"/>
              </w:rPr>
              <w:t>0.05</w:t>
            </w:r>
          </w:p>
        </w:tc>
        <w:tc>
          <w:tcPr>
            <w:tcW w:w="1000"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0.03</w:t>
            </w:r>
          </w:p>
        </w:tc>
        <w:tc>
          <w:tcPr>
            <w:tcW w:w="940"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0.03</w:t>
            </w:r>
          </w:p>
        </w:tc>
      </w:tr>
      <w:tr w:rsidR="003777D2" w:rsidRPr="00327A61" w:rsidTr="00E6489F">
        <w:trPr>
          <w:cnfStyle w:val="000000100000" w:firstRow="0" w:lastRow="0" w:firstColumn="0" w:lastColumn="0" w:oddVBand="0" w:evenVBand="0" w:oddHBand="1" w:evenHBand="0" w:firstRowFirstColumn="0" w:firstRowLastColumn="0" w:lastRowFirstColumn="0" w:lastRowLastColumn="0"/>
          <w:trHeight w:val="345"/>
        </w:trPr>
        <w:tc>
          <w:tcPr>
            <w:tcW w:w="2694" w:type="dxa"/>
            <w:vMerge/>
            <w:shd w:val="clear" w:color="auto" w:fill="BFBFBF" w:themeFill="background1" w:themeFillShade="BF"/>
            <w:vAlign w:val="center"/>
          </w:tcPr>
          <w:p w:rsidR="003777D2" w:rsidRPr="00327A61" w:rsidRDefault="003777D2" w:rsidP="003777D2">
            <w:pPr>
              <w:rPr>
                <w:rFonts w:ascii="Arial" w:eastAsia="Times New Roman" w:hAnsi="Arial" w:cs="Arial"/>
                <w:sz w:val="20"/>
                <w:szCs w:val="20"/>
                <w:lang w:eastAsia="bg-BG"/>
              </w:rPr>
            </w:pPr>
          </w:p>
        </w:tc>
        <w:tc>
          <w:tcPr>
            <w:tcW w:w="4010" w:type="dxa"/>
            <w:shd w:val="clear" w:color="auto" w:fill="D9D9D9" w:themeFill="background1" w:themeFillShade="D9"/>
            <w:noWrap/>
          </w:tcPr>
          <w:p w:rsidR="003777D2" w:rsidRPr="00327A61" w:rsidRDefault="003777D2" w:rsidP="00361FC0">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Сума на Актива</w:t>
            </w:r>
          </w:p>
        </w:tc>
        <w:tc>
          <w:tcPr>
            <w:tcW w:w="1040" w:type="dxa"/>
            <w:vMerge/>
            <w:shd w:val="clear" w:color="auto" w:fill="BFBFBF" w:themeFill="background1" w:themeFillShade="BF"/>
            <w:vAlign w:val="center"/>
          </w:tcPr>
          <w:p w:rsidR="003777D2" w:rsidRPr="00327A61" w:rsidRDefault="003777D2" w:rsidP="003777D2">
            <w:pPr>
              <w:jc w:val="right"/>
              <w:rPr>
                <w:rFonts w:ascii="Arial" w:eastAsia="Times New Roman" w:hAnsi="Arial" w:cs="Arial"/>
                <w:sz w:val="20"/>
                <w:szCs w:val="20"/>
                <w:lang w:eastAsia="bg-BG"/>
              </w:rPr>
            </w:pPr>
          </w:p>
        </w:tc>
        <w:tc>
          <w:tcPr>
            <w:tcW w:w="1000" w:type="dxa"/>
            <w:vMerge/>
            <w:shd w:val="clear" w:color="auto" w:fill="BFBFBF" w:themeFill="background1" w:themeFillShade="BF"/>
            <w:vAlign w:val="center"/>
          </w:tcPr>
          <w:p w:rsidR="003777D2" w:rsidRPr="00327A61" w:rsidRDefault="003777D2" w:rsidP="003777D2">
            <w:pPr>
              <w:jc w:val="right"/>
              <w:rPr>
                <w:rFonts w:ascii="Arial" w:eastAsia="Times New Roman" w:hAnsi="Arial" w:cs="Arial"/>
                <w:sz w:val="20"/>
                <w:szCs w:val="20"/>
                <w:lang w:eastAsia="bg-BG"/>
              </w:rPr>
            </w:pPr>
          </w:p>
        </w:tc>
        <w:tc>
          <w:tcPr>
            <w:tcW w:w="940" w:type="dxa"/>
            <w:vMerge/>
            <w:shd w:val="clear" w:color="auto" w:fill="BFBFBF" w:themeFill="background1" w:themeFillShade="BF"/>
            <w:vAlign w:val="center"/>
          </w:tcPr>
          <w:p w:rsidR="003777D2" w:rsidRPr="00327A61" w:rsidRDefault="003777D2" w:rsidP="003777D2">
            <w:pPr>
              <w:jc w:val="right"/>
              <w:rPr>
                <w:rFonts w:ascii="Arial" w:eastAsia="Times New Roman" w:hAnsi="Arial" w:cs="Arial"/>
                <w:sz w:val="20"/>
                <w:szCs w:val="20"/>
                <w:lang w:eastAsia="bg-BG"/>
              </w:rPr>
            </w:pPr>
          </w:p>
        </w:tc>
      </w:tr>
      <w:tr w:rsidR="003777D2" w:rsidRPr="00327A61" w:rsidTr="00E6489F">
        <w:trPr>
          <w:cnfStyle w:val="000000010000" w:firstRow="0" w:lastRow="0" w:firstColumn="0" w:lastColumn="0" w:oddVBand="0" w:evenVBand="0" w:oddHBand="0" w:evenHBand="1" w:firstRowFirstColumn="0" w:firstRowLastColumn="0" w:lastRowFirstColumn="0" w:lastRowLastColumn="0"/>
          <w:trHeight w:val="345"/>
        </w:trPr>
        <w:tc>
          <w:tcPr>
            <w:tcW w:w="2694" w:type="dxa"/>
            <w:vMerge w:val="restart"/>
            <w:shd w:val="clear" w:color="auto" w:fill="F2F2F2" w:themeFill="background1" w:themeFillShade="F2"/>
            <w:vAlign w:val="center"/>
          </w:tcPr>
          <w:p w:rsidR="003777D2" w:rsidRPr="00327A61" w:rsidRDefault="003777D2" w:rsidP="003777D2">
            <w:pPr>
              <w:rPr>
                <w:rFonts w:ascii="Arial" w:eastAsia="Times New Roman" w:hAnsi="Arial" w:cs="Arial"/>
                <w:sz w:val="20"/>
                <w:szCs w:val="20"/>
                <w:lang w:eastAsia="bg-BG"/>
              </w:rPr>
            </w:pPr>
            <w:r w:rsidRPr="00327A61">
              <w:rPr>
                <w:rFonts w:ascii="Arial" w:eastAsia="Times New Roman" w:hAnsi="Arial" w:cs="Arial"/>
                <w:sz w:val="20"/>
                <w:szCs w:val="20"/>
                <w:lang w:eastAsia="bg-BG"/>
              </w:rPr>
              <w:t>2. Възвръщаемост на собствения капитал</w:t>
            </w:r>
          </w:p>
        </w:tc>
        <w:tc>
          <w:tcPr>
            <w:tcW w:w="4010" w:type="dxa"/>
            <w:shd w:val="clear" w:color="auto" w:fill="F2F2F2" w:themeFill="background1" w:themeFillShade="F2"/>
            <w:noWrap/>
            <w:vAlign w:val="bottom"/>
          </w:tcPr>
          <w:p w:rsidR="003777D2" w:rsidRPr="00327A61" w:rsidRDefault="003777D2" w:rsidP="003777D2">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Нетна печалба</w:t>
            </w:r>
          </w:p>
        </w:tc>
        <w:tc>
          <w:tcPr>
            <w:tcW w:w="1040" w:type="dxa"/>
            <w:vMerge w:val="restart"/>
            <w:shd w:val="clear" w:color="auto" w:fill="F2F2F2" w:themeFill="background1" w:themeFillShade="F2"/>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0.06</w:t>
            </w:r>
          </w:p>
        </w:tc>
        <w:tc>
          <w:tcPr>
            <w:tcW w:w="1000" w:type="dxa"/>
            <w:vMerge w:val="restart"/>
            <w:shd w:val="clear" w:color="auto" w:fill="F2F2F2" w:themeFill="background1" w:themeFillShade="F2"/>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0.03</w:t>
            </w:r>
          </w:p>
        </w:tc>
        <w:tc>
          <w:tcPr>
            <w:tcW w:w="940" w:type="dxa"/>
            <w:vMerge w:val="restart"/>
            <w:shd w:val="clear" w:color="auto" w:fill="F2F2F2" w:themeFill="background1" w:themeFillShade="F2"/>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0.03</w:t>
            </w:r>
          </w:p>
        </w:tc>
      </w:tr>
      <w:tr w:rsidR="003777D2" w:rsidRPr="00327A61" w:rsidTr="00E6489F">
        <w:trPr>
          <w:cnfStyle w:val="000000100000" w:firstRow="0" w:lastRow="0" w:firstColumn="0" w:lastColumn="0" w:oddVBand="0" w:evenVBand="0" w:oddHBand="1" w:evenHBand="0" w:firstRowFirstColumn="0" w:firstRowLastColumn="0" w:lastRowFirstColumn="0" w:lastRowLastColumn="0"/>
          <w:trHeight w:val="345"/>
        </w:trPr>
        <w:tc>
          <w:tcPr>
            <w:tcW w:w="2694" w:type="dxa"/>
            <w:vMerge/>
            <w:shd w:val="clear" w:color="auto" w:fill="BFBFBF" w:themeFill="background1" w:themeFillShade="BF"/>
            <w:vAlign w:val="center"/>
          </w:tcPr>
          <w:p w:rsidR="003777D2" w:rsidRPr="00327A61" w:rsidRDefault="003777D2" w:rsidP="003777D2">
            <w:pPr>
              <w:rPr>
                <w:rFonts w:ascii="Arial" w:eastAsia="Times New Roman" w:hAnsi="Arial" w:cs="Arial"/>
                <w:sz w:val="20"/>
                <w:szCs w:val="20"/>
                <w:lang w:eastAsia="bg-BG"/>
              </w:rPr>
            </w:pPr>
          </w:p>
        </w:tc>
        <w:tc>
          <w:tcPr>
            <w:tcW w:w="4010" w:type="dxa"/>
            <w:shd w:val="clear" w:color="auto" w:fill="F2F2F2" w:themeFill="background1" w:themeFillShade="F2"/>
            <w:noWrap/>
          </w:tcPr>
          <w:p w:rsidR="003777D2" w:rsidRPr="00327A61" w:rsidRDefault="003777D2" w:rsidP="00361FC0">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Собствен капитал</w:t>
            </w:r>
          </w:p>
        </w:tc>
        <w:tc>
          <w:tcPr>
            <w:tcW w:w="1040" w:type="dxa"/>
            <w:vMerge/>
            <w:shd w:val="clear" w:color="auto" w:fill="BFBFBF" w:themeFill="background1" w:themeFillShade="BF"/>
            <w:vAlign w:val="center"/>
          </w:tcPr>
          <w:p w:rsidR="003777D2" w:rsidRPr="00327A61" w:rsidRDefault="003777D2" w:rsidP="003777D2">
            <w:pPr>
              <w:jc w:val="right"/>
              <w:rPr>
                <w:rFonts w:ascii="Arial" w:eastAsia="Times New Roman" w:hAnsi="Arial" w:cs="Arial"/>
                <w:sz w:val="20"/>
                <w:szCs w:val="20"/>
                <w:lang w:eastAsia="bg-BG"/>
              </w:rPr>
            </w:pPr>
          </w:p>
        </w:tc>
        <w:tc>
          <w:tcPr>
            <w:tcW w:w="1000" w:type="dxa"/>
            <w:vMerge/>
            <w:shd w:val="clear" w:color="auto" w:fill="BFBFBF" w:themeFill="background1" w:themeFillShade="BF"/>
            <w:vAlign w:val="center"/>
          </w:tcPr>
          <w:p w:rsidR="003777D2" w:rsidRPr="00327A61" w:rsidRDefault="003777D2" w:rsidP="003777D2">
            <w:pPr>
              <w:jc w:val="right"/>
              <w:rPr>
                <w:rFonts w:ascii="Arial" w:eastAsia="Times New Roman" w:hAnsi="Arial" w:cs="Arial"/>
                <w:sz w:val="20"/>
                <w:szCs w:val="20"/>
                <w:lang w:eastAsia="bg-BG"/>
              </w:rPr>
            </w:pPr>
          </w:p>
        </w:tc>
        <w:tc>
          <w:tcPr>
            <w:tcW w:w="940" w:type="dxa"/>
            <w:vMerge/>
            <w:shd w:val="clear" w:color="auto" w:fill="BFBFBF" w:themeFill="background1" w:themeFillShade="BF"/>
            <w:vAlign w:val="center"/>
          </w:tcPr>
          <w:p w:rsidR="003777D2" w:rsidRPr="00327A61" w:rsidRDefault="003777D2" w:rsidP="003777D2">
            <w:pPr>
              <w:jc w:val="right"/>
              <w:rPr>
                <w:rFonts w:ascii="Arial" w:eastAsia="Times New Roman" w:hAnsi="Arial" w:cs="Arial"/>
                <w:sz w:val="20"/>
                <w:szCs w:val="20"/>
                <w:lang w:eastAsia="bg-BG"/>
              </w:rPr>
            </w:pPr>
          </w:p>
        </w:tc>
      </w:tr>
      <w:tr w:rsidR="003777D2" w:rsidRPr="00327A61" w:rsidTr="00E6489F">
        <w:trPr>
          <w:cnfStyle w:val="000000010000" w:firstRow="0" w:lastRow="0" w:firstColumn="0" w:lastColumn="0" w:oddVBand="0" w:evenVBand="0" w:oddHBand="0" w:evenHBand="1" w:firstRowFirstColumn="0" w:firstRowLastColumn="0" w:lastRowFirstColumn="0" w:lastRowLastColumn="0"/>
          <w:trHeight w:val="345"/>
        </w:trPr>
        <w:tc>
          <w:tcPr>
            <w:tcW w:w="2694" w:type="dxa"/>
            <w:vMerge w:val="restart"/>
            <w:shd w:val="clear" w:color="auto" w:fill="D9D9D9" w:themeFill="background1" w:themeFillShade="D9"/>
            <w:vAlign w:val="center"/>
          </w:tcPr>
          <w:p w:rsidR="003777D2" w:rsidRPr="00327A61" w:rsidRDefault="003777D2" w:rsidP="003777D2">
            <w:pPr>
              <w:rPr>
                <w:rFonts w:ascii="Arial" w:eastAsia="Times New Roman" w:hAnsi="Arial" w:cs="Arial"/>
                <w:sz w:val="20"/>
                <w:szCs w:val="20"/>
                <w:lang w:eastAsia="bg-BG"/>
              </w:rPr>
            </w:pPr>
            <w:r w:rsidRPr="00327A61">
              <w:rPr>
                <w:rFonts w:ascii="Arial" w:eastAsia="Times New Roman" w:hAnsi="Arial" w:cs="Arial"/>
                <w:sz w:val="20"/>
                <w:szCs w:val="20"/>
                <w:lang w:eastAsia="bg-BG"/>
              </w:rPr>
              <w:t>3. Възвръщаемост на пасивите без СК</w:t>
            </w:r>
          </w:p>
        </w:tc>
        <w:tc>
          <w:tcPr>
            <w:tcW w:w="4010" w:type="dxa"/>
            <w:shd w:val="clear" w:color="auto" w:fill="D9D9D9" w:themeFill="background1" w:themeFillShade="D9"/>
            <w:noWrap/>
            <w:vAlign w:val="bottom"/>
          </w:tcPr>
          <w:p w:rsidR="003777D2" w:rsidRPr="00327A61" w:rsidRDefault="003777D2" w:rsidP="003777D2">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Нетна печалба</w:t>
            </w:r>
          </w:p>
        </w:tc>
        <w:tc>
          <w:tcPr>
            <w:tcW w:w="1040"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0.82</w:t>
            </w:r>
          </w:p>
        </w:tc>
        <w:tc>
          <w:tcPr>
            <w:tcW w:w="1000"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0.57</w:t>
            </w:r>
          </w:p>
        </w:tc>
        <w:tc>
          <w:tcPr>
            <w:tcW w:w="940" w:type="dxa"/>
            <w:vMerge w:val="restart"/>
            <w:shd w:val="clear" w:color="auto" w:fill="D9D9D9" w:themeFill="background1" w:themeFillShade="D9"/>
            <w:noWrap/>
            <w:vAlign w:val="center"/>
          </w:tcPr>
          <w:p w:rsidR="003777D2" w:rsidRPr="00327A61" w:rsidRDefault="003777D2" w:rsidP="003777D2">
            <w:pPr>
              <w:jc w:val="right"/>
              <w:rPr>
                <w:rFonts w:ascii="Arial" w:hAnsi="Arial" w:cs="Arial"/>
                <w:sz w:val="20"/>
                <w:szCs w:val="20"/>
              </w:rPr>
            </w:pPr>
            <w:r w:rsidRPr="00327A61">
              <w:rPr>
                <w:rFonts w:ascii="Arial" w:hAnsi="Arial" w:cs="Arial"/>
                <w:sz w:val="20"/>
                <w:szCs w:val="20"/>
              </w:rPr>
              <w:t>0.53</w:t>
            </w:r>
          </w:p>
        </w:tc>
      </w:tr>
      <w:tr w:rsidR="003777D2" w:rsidRPr="00327A61" w:rsidTr="00E6489F">
        <w:trPr>
          <w:cnfStyle w:val="000000100000" w:firstRow="0" w:lastRow="0" w:firstColumn="0" w:lastColumn="0" w:oddVBand="0" w:evenVBand="0" w:oddHBand="1" w:evenHBand="0" w:firstRowFirstColumn="0" w:firstRowLastColumn="0" w:lastRowFirstColumn="0" w:lastRowLastColumn="0"/>
          <w:trHeight w:val="345"/>
        </w:trPr>
        <w:tc>
          <w:tcPr>
            <w:tcW w:w="2694" w:type="dxa"/>
            <w:vMerge/>
            <w:shd w:val="clear" w:color="auto" w:fill="BFBFBF" w:themeFill="background1" w:themeFillShade="BF"/>
          </w:tcPr>
          <w:p w:rsidR="003777D2" w:rsidRPr="00327A61" w:rsidRDefault="003777D2" w:rsidP="00051360">
            <w:pPr>
              <w:rPr>
                <w:rFonts w:ascii="Arial" w:eastAsia="Times New Roman" w:hAnsi="Arial" w:cs="Arial"/>
                <w:sz w:val="20"/>
                <w:szCs w:val="20"/>
                <w:lang w:eastAsia="bg-BG"/>
              </w:rPr>
            </w:pPr>
          </w:p>
        </w:tc>
        <w:tc>
          <w:tcPr>
            <w:tcW w:w="4010" w:type="dxa"/>
            <w:shd w:val="clear" w:color="auto" w:fill="D9D9D9" w:themeFill="background1" w:themeFillShade="D9"/>
            <w:noWrap/>
          </w:tcPr>
          <w:p w:rsidR="003777D2" w:rsidRPr="00327A61" w:rsidRDefault="003777D2" w:rsidP="00051360">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Сума на Пасива (привлечен капитал)</w:t>
            </w:r>
          </w:p>
        </w:tc>
        <w:tc>
          <w:tcPr>
            <w:tcW w:w="1040" w:type="dxa"/>
            <w:vMerge/>
            <w:shd w:val="clear" w:color="auto" w:fill="BFBFBF" w:themeFill="background1" w:themeFillShade="BF"/>
          </w:tcPr>
          <w:p w:rsidR="003777D2" w:rsidRPr="00327A61" w:rsidRDefault="003777D2" w:rsidP="00051360">
            <w:pPr>
              <w:rPr>
                <w:rFonts w:ascii="Arial" w:eastAsia="Times New Roman" w:hAnsi="Arial" w:cs="Arial"/>
                <w:sz w:val="20"/>
                <w:szCs w:val="20"/>
                <w:lang w:eastAsia="bg-BG"/>
              </w:rPr>
            </w:pPr>
          </w:p>
        </w:tc>
        <w:tc>
          <w:tcPr>
            <w:tcW w:w="1000" w:type="dxa"/>
            <w:vMerge/>
            <w:shd w:val="clear" w:color="auto" w:fill="BFBFBF" w:themeFill="background1" w:themeFillShade="BF"/>
          </w:tcPr>
          <w:p w:rsidR="003777D2" w:rsidRPr="00327A61" w:rsidRDefault="003777D2" w:rsidP="00051360">
            <w:pPr>
              <w:rPr>
                <w:rFonts w:ascii="Arial" w:eastAsia="Times New Roman" w:hAnsi="Arial" w:cs="Arial"/>
                <w:sz w:val="20"/>
                <w:szCs w:val="20"/>
                <w:lang w:eastAsia="bg-BG"/>
              </w:rPr>
            </w:pPr>
          </w:p>
        </w:tc>
        <w:tc>
          <w:tcPr>
            <w:tcW w:w="940" w:type="dxa"/>
            <w:vMerge/>
            <w:shd w:val="clear" w:color="auto" w:fill="BFBFBF" w:themeFill="background1" w:themeFillShade="BF"/>
          </w:tcPr>
          <w:p w:rsidR="003777D2" w:rsidRPr="00327A61" w:rsidRDefault="003777D2" w:rsidP="00051360">
            <w:pPr>
              <w:rPr>
                <w:rFonts w:ascii="Arial" w:eastAsia="Times New Roman" w:hAnsi="Arial" w:cs="Arial"/>
                <w:sz w:val="20"/>
                <w:szCs w:val="20"/>
                <w:lang w:eastAsia="bg-BG"/>
              </w:rPr>
            </w:pPr>
          </w:p>
        </w:tc>
      </w:tr>
    </w:tbl>
    <w:p w:rsidR="00AD3735" w:rsidRPr="00327A61" w:rsidRDefault="00AD3735" w:rsidP="00F41629">
      <w:pPr>
        <w:spacing w:before="120" w:after="120"/>
        <w:ind w:firstLine="720"/>
        <w:jc w:val="both"/>
        <w:rPr>
          <w:rFonts w:eastAsia="Times New Roman"/>
          <w:lang w:eastAsia="bg-BG"/>
        </w:rPr>
      </w:pPr>
      <w:r w:rsidRPr="00327A61">
        <w:t>Към края на 20</w:t>
      </w:r>
      <w:r w:rsidRPr="00327A61">
        <w:rPr>
          <w:lang w:val="ru-RU"/>
        </w:rPr>
        <w:t>1</w:t>
      </w:r>
      <w:r w:rsidR="00CC572B" w:rsidRPr="00327A61">
        <w:rPr>
          <w:lang w:val="ru-RU"/>
        </w:rPr>
        <w:t>7</w:t>
      </w:r>
      <w:r w:rsidRPr="00327A61">
        <w:t xml:space="preserve">г. коефицентът на </w:t>
      </w:r>
      <w:r w:rsidRPr="00327A61">
        <w:rPr>
          <w:i/>
          <w:u w:val="single"/>
        </w:rPr>
        <w:t>капитализация на активите</w:t>
      </w:r>
      <w:r w:rsidRPr="00327A61">
        <w:t xml:space="preserve"> е</w:t>
      </w:r>
      <w:r w:rsidR="00F522DA" w:rsidRPr="00327A61">
        <w:t xml:space="preserve"> със стойност</w:t>
      </w:r>
      <w:r w:rsidRPr="00327A61">
        <w:t xml:space="preserve"> 0</w:t>
      </w:r>
      <w:r w:rsidR="00023B0F" w:rsidRPr="00327A61">
        <w:t>,</w:t>
      </w:r>
      <w:r w:rsidRPr="00327A61">
        <w:t>0</w:t>
      </w:r>
      <w:r w:rsidR="00CC572B" w:rsidRPr="00327A61">
        <w:rPr>
          <w:lang w:val="ru-RU"/>
        </w:rPr>
        <w:t>3</w:t>
      </w:r>
      <w:r w:rsidR="008E3F15" w:rsidRPr="00327A61">
        <w:rPr>
          <w:lang w:val="ru-RU"/>
        </w:rPr>
        <w:t xml:space="preserve"> пункта</w:t>
      </w:r>
      <w:r w:rsidRPr="00327A61">
        <w:t>, което показва,</w:t>
      </w:r>
      <w:r w:rsidR="00C85C0C">
        <w:t xml:space="preserve"> </w:t>
      </w:r>
      <w:r w:rsidR="00C85C0C" w:rsidRPr="00F06565">
        <w:t>доколко ефективно са използвани ресурсите (активите) на дружеството</w:t>
      </w:r>
      <w:r w:rsidR="00C85C0C">
        <w:t>.</w:t>
      </w:r>
      <w:r w:rsidR="00C85C0C" w:rsidRPr="00F06565">
        <w:t xml:space="preserve"> </w:t>
      </w:r>
      <w:r w:rsidR="00C85C0C">
        <w:t>П</w:t>
      </w:r>
      <w:r w:rsidR="00C85C0C" w:rsidRPr="00F06565">
        <w:t>рез отчетния период</w:t>
      </w:r>
      <w:r w:rsidRPr="00327A61">
        <w:t xml:space="preserve"> един лев активи</w:t>
      </w:r>
      <w:r w:rsidR="00C85C0C">
        <w:t xml:space="preserve"> са донесли</w:t>
      </w:r>
      <w:r w:rsidRPr="00327A61">
        <w:t xml:space="preserve"> на дружеството 0,0</w:t>
      </w:r>
      <w:r w:rsidR="00CC572B" w:rsidRPr="00327A61">
        <w:rPr>
          <w:lang w:val="ru-RU"/>
        </w:rPr>
        <w:t>3</w:t>
      </w:r>
      <w:r w:rsidRPr="00327A61">
        <w:t xml:space="preserve"> лв. балансова печалба. Спрямо 20</w:t>
      </w:r>
      <w:r w:rsidR="00023B0F" w:rsidRPr="00327A61">
        <w:t>1</w:t>
      </w:r>
      <w:r w:rsidR="00CC572B" w:rsidRPr="00327A61">
        <w:t>6</w:t>
      </w:r>
      <w:r w:rsidRPr="00327A61">
        <w:t xml:space="preserve">г. показателят </w:t>
      </w:r>
      <w:r w:rsidR="009370D4" w:rsidRPr="00327A61">
        <w:t xml:space="preserve">отбелязва </w:t>
      </w:r>
      <w:r w:rsidR="008E3F15" w:rsidRPr="00327A61">
        <w:t>намаление от 0,0</w:t>
      </w:r>
      <w:r w:rsidR="00CC572B" w:rsidRPr="00327A61">
        <w:t>2</w:t>
      </w:r>
      <w:r w:rsidR="008E3F15" w:rsidRPr="00327A61">
        <w:t xml:space="preserve"> пункта</w:t>
      </w:r>
      <w:r w:rsidR="009370D4" w:rsidRPr="00327A61">
        <w:t>.</w:t>
      </w:r>
      <w:r w:rsidRPr="00327A61">
        <w:t xml:space="preserve"> </w:t>
      </w:r>
      <w:r w:rsidR="009370D4" w:rsidRPr="00327A61">
        <w:t xml:space="preserve">За текущата година </w:t>
      </w:r>
      <w:r w:rsidRPr="00327A61">
        <w:t xml:space="preserve">коефициента на </w:t>
      </w:r>
      <w:r w:rsidRPr="00327A61">
        <w:rPr>
          <w:i/>
          <w:u w:val="single"/>
        </w:rPr>
        <w:t>възвръщаемост на собствения капитал</w:t>
      </w:r>
      <w:r w:rsidRPr="00327A61">
        <w:t xml:space="preserve"> показва, че един лев собствен капитал на </w:t>
      </w:r>
      <w:r w:rsidR="00804A86" w:rsidRPr="00327A61">
        <w:t>„</w:t>
      </w:r>
      <w:r w:rsidRPr="00327A61">
        <w:t>Пристанищен комплекс–Русе</w:t>
      </w:r>
      <w:r w:rsidR="00804A86" w:rsidRPr="00327A61">
        <w:t>“</w:t>
      </w:r>
      <w:r w:rsidRPr="00327A61">
        <w:t xml:space="preserve"> ЕАД носи 0,0</w:t>
      </w:r>
      <w:r w:rsidR="00CC572B" w:rsidRPr="00327A61">
        <w:t>3</w:t>
      </w:r>
      <w:r w:rsidRPr="00327A61">
        <w:t>лв. балансова печалба.</w:t>
      </w:r>
      <w:r w:rsidR="0036723E" w:rsidRPr="00327A61">
        <w:t xml:space="preserve"> </w:t>
      </w:r>
      <w:r w:rsidRPr="00327A61">
        <w:rPr>
          <w:rFonts w:eastAsia="Times New Roman"/>
          <w:lang w:eastAsia="bg-BG"/>
        </w:rPr>
        <w:t>През 20</w:t>
      </w:r>
      <w:r w:rsidRPr="00327A61">
        <w:rPr>
          <w:rFonts w:eastAsia="Times New Roman"/>
          <w:lang w:val="ru-RU" w:eastAsia="bg-BG"/>
        </w:rPr>
        <w:t>1</w:t>
      </w:r>
      <w:r w:rsidR="00CC572B" w:rsidRPr="00327A61">
        <w:rPr>
          <w:rFonts w:eastAsia="Times New Roman"/>
          <w:lang w:val="ru-RU" w:eastAsia="bg-BG"/>
        </w:rPr>
        <w:t>7</w:t>
      </w:r>
      <w:r w:rsidR="00CF2082">
        <w:rPr>
          <w:rFonts w:eastAsia="Times New Roman"/>
          <w:lang w:val="ru-RU" w:eastAsia="bg-BG"/>
        </w:rPr>
        <w:t xml:space="preserve"> </w:t>
      </w:r>
      <w:r w:rsidRPr="00327A61">
        <w:rPr>
          <w:rFonts w:eastAsia="Times New Roman"/>
          <w:lang w:eastAsia="bg-BG"/>
        </w:rPr>
        <w:t>г</w:t>
      </w:r>
      <w:r w:rsidR="00CF2082">
        <w:rPr>
          <w:rFonts w:eastAsia="Times New Roman"/>
          <w:lang w:eastAsia="bg-BG"/>
        </w:rPr>
        <w:t>од</w:t>
      </w:r>
      <w:r w:rsidRPr="00327A61">
        <w:rPr>
          <w:rFonts w:eastAsia="Times New Roman"/>
          <w:lang w:eastAsia="bg-BG"/>
        </w:rPr>
        <w:t>.</w:t>
      </w:r>
      <w:r w:rsidR="009370D4" w:rsidRPr="00327A61">
        <w:rPr>
          <w:rFonts w:eastAsia="Times New Roman"/>
          <w:lang w:eastAsia="bg-BG"/>
        </w:rPr>
        <w:t xml:space="preserve"> показателят за</w:t>
      </w:r>
      <w:r w:rsidRPr="00327A61">
        <w:rPr>
          <w:rFonts w:eastAsia="Times New Roman"/>
          <w:lang w:eastAsia="bg-BG"/>
        </w:rPr>
        <w:t xml:space="preserve"> </w:t>
      </w:r>
      <w:r w:rsidR="009370D4" w:rsidRPr="00327A61">
        <w:rPr>
          <w:rFonts w:eastAsia="Times New Roman"/>
          <w:i/>
          <w:u w:val="single"/>
          <w:lang w:eastAsia="bg-BG"/>
        </w:rPr>
        <w:t>възвръщаемост</w:t>
      </w:r>
      <w:r w:rsidRPr="00327A61">
        <w:rPr>
          <w:rFonts w:eastAsia="Times New Roman"/>
          <w:i/>
          <w:u w:val="single"/>
          <w:lang w:eastAsia="bg-BG"/>
        </w:rPr>
        <w:t xml:space="preserve"> на пасивите</w:t>
      </w:r>
      <w:r w:rsidRPr="00327A61">
        <w:rPr>
          <w:rFonts w:eastAsia="Times New Roman"/>
          <w:lang w:eastAsia="bg-BG"/>
        </w:rPr>
        <w:t xml:space="preserve"> достига 0,</w:t>
      </w:r>
      <w:r w:rsidR="00CC572B" w:rsidRPr="00327A61">
        <w:rPr>
          <w:rFonts w:eastAsia="Times New Roman"/>
          <w:lang w:eastAsia="bg-BG"/>
        </w:rPr>
        <w:t>53</w:t>
      </w:r>
      <w:r w:rsidRPr="00327A61">
        <w:rPr>
          <w:rFonts w:eastAsia="Times New Roman"/>
          <w:lang w:eastAsia="bg-BG"/>
        </w:rPr>
        <w:t xml:space="preserve"> лв. </w:t>
      </w:r>
      <w:r w:rsidR="003D456B" w:rsidRPr="00327A61">
        <w:rPr>
          <w:rFonts w:eastAsia="Times New Roman"/>
          <w:lang w:eastAsia="bg-BG"/>
        </w:rPr>
        <w:t>при</w:t>
      </w:r>
      <w:r w:rsidRPr="00327A61">
        <w:rPr>
          <w:rFonts w:eastAsia="Times New Roman"/>
          <w:lang w:eastAsia="bg-BG"/>
        </w:rPr>
        <w:t xml:space="preserve"> </w:t>
      </w:r>
      <w:r w:rsidRPr="00327A61">
        <w:rPr>
          <w:rFonts w:eastAsia="Times New Roman"/>
          <w:lang w:val="ru-RU" w:eastAsia="bg-BG"/>
        </w:rPr>
        <w:t>0</w:t>
      </w:r>
      <w:r w:rsidR="00F522DA" w:rsidRPr="00327A61">
        <w:rPr>
          <w:rFonts w:eastAsia="Times New Roman"/>
          <w:lang w:eastAsia="bg-BG"/>
        </w:rPr>
        <w:t>,</w:t>
      </w:r>
      <w:r w:rsidR="00CC572B" w:rsidRPr="00327A61">
        <w:rPr>
          <w:rFonts w:eastAsia="Times New Roman"/>
          <w:lang w:val="ru-RU" w:eastAsia="bg-BG"/>
        </w:rPr>
        <w:t>82</w:t>
      </w:r>
      <w:r w:rsidRPr="00327A61">
        <w:rPr>
          <w:rFonts w:eastAsia="Times New Roman"/>
          <w:lang w:eastAsia="bg-BG"/>
        </w:rPr>
        <w:t xml:space="preserve"> лв. </w:t>
      </w:r>
      <w:r w:rsidR="003D456B" w:rsidRPr="00327A61">
        <w:rPr>
          <w:rFonts w:eastAsia="Times New Roman"/>
          <w:lang w:eastAsia="bg-BG"/>
        </w:rPr>
        <w:t>за</w:t>
      </w:r>
      <w:r w:rsidRPr="00327A61">
        <w:rPr>
          <w:rFonts w:eastAsia="Times New Roman"/>
          <w:lang w:eastAsia="bg-BG"/>
        </w:rPr>
        <w:t xml:space="preserve"> 20</w:t>
      </w:r>
      <w:r w:rsidR="00023B0F" w:rsidRPr="00327A61">
        <w:rPr>
          <w:rFonts w:eastAsia="Times New Roman"/>
          <w:lang w:eastAsia="bg-BG"/>
        </w:rPr>
        <w:t>1</w:t>
      </w:r>
      <w:r w:rsidR="00CC572B" w:rsidRPr="00327A61">
        <w:rPr>
          <w:rFonts w:eastAsia="Times New Roman"/>
          <w:lang w:eastAsia="bg-BG"/>
        </w:rPr>
        <w:t>6</w:t>
      </w:r>
      <w:r w:rsidRPr="00327A61">
        <w:rPr>
          <w:rFonts w:eastAsia="Times New Roman"/>
          <w:lang w:val="ru-RU" w:eastAsia="bg-BG"/>
        </w:rPr>
        <w:t xml:space="preserve"> </w:t>
      </w:r>
      <w:r w:rsidRPr="00327A61">
        <w:rPr>
          <w:rFonts w:eastAsia="Times New Roman"/>
          <w:lang w:eastAsia="bg-BG"/>
        </w:rPr>
        <w:t xml:space="preserve">г. </w:t>
      </w:r>
      <w:r w:rsidR="003D456B" w:rsidRPr="00327A61">
        <w:rPr>
          <w:rFonts w:eastAsia="Times New Roman"/>
          <w:lang w:eastAsia="bg-BG"/>
        </w:rPr>
        <w:t>Така е отчетено</w:t>
      </w:r>
      <w:r w:rsidRPr="00327A61">
        <w:rPr>
          <w:rFonts w:eastAsia="Times New Roman"/>
          <w:lang w:eastAsia="bg-BG"/>
        </w:rPr>
        <w:t xml:space="preserve"> </w:t>
      </w:r>
      <w:r w:rsidR="008E3F15" w:rsidRPr="00327A61">
        <w:rPr>
          <w:rFonts w:eastAsia="Times New Roman"/>
          <w:lang w:eastAsia="bg-BG"/>
        </w:rPr>
        <w:t>намаление</w:t>
      </w:r>
      <w:r w:rsidRPr="00327A61">
        <w:rPr>
          <w:rFonts w:eastAsia="Times New Roman"/>
          <w:lang w:eastAsia="bg-BG"/>
        </w:rPr>
        <w:t xml:space="preserve"> на реализираната чиста печалба за 1 лев зает капитал с </w:t>
      </w:r>
      <w:r w:rsidRPr="00327A61">
        <w:rPr>
          <w:rFonts w:eastAsia="Times New Roman"/>
          <w:lang w:val="ru-RU" w:eastAsia="bg-BG"/>
        </w:rPr>
        <w:t>0</w:t>
      </w:r>
      <w:r w:rsidRPr="00327A61">
        <w:rPr>
          <w:rFonts w:eastAsia="Times New Roman"/>
          <w:lang w:eastAsia="bg-BG"/>
        </w:rPr>
        <w:t>,</w:t>
      </w:r>
      <w:r w:rsidR="008E3F15" w:rsidRPr="00327A61">
        <w:rPr>
          <w:rFonts w:eastAsia="Times New Roman"/>
          <w:lang w:eastAsia="bg-BG"/>
        </w:rPr>
        <w:t>2</w:t>
      </w:r>
      <w:r w:rsidR="00CC572B" w:rsidRPr="00327A61">
        <w:rPr>
          <w:rFonts w:eastAsia="Times New Roman"/>
          <w:lang w:eastAsia="bg-BG"/>
        </w:rPr>
        <w:t>9</w:t>
      </w:r>
      <w:r w:rsidRPr="00327A61">
        <w:rPr>
          <w:rFonts w:eastAsia="Times New Roman"/>
          <w:lang w:eastAsia="bg-BG"/>
        </w:rPr>
        <w:t xml:space="preserve"> лв.</w:t>
      </w:r>
      <w:r w:rsidR="00CC572B" w:rsidRPr="00327A61">
        <w:rPr>
          <w:rFonts w:eastAsia="Times New Roman"/>
          <w:lang w:eastAsia="bg-BG"/>
        </w:rPr>
        <w:t xml:space="preserve"> Намалението на стойностите при трите показателя се дължи най-вече на намалената печалба за 2017г. спрямо 2016г.</w:t>
      </w:r>
    </w:p>
    <w:p w:rsidR="00F00461" w:rsidRPr="00327A61" w:rsidRDefault="009B6476" w:rsidP="00F00461">
      <w:pPr>
        <w:ind w:firstLine="720"/>
        <w:jc w:val="both"/>
        <w:rPr>
          <w:rFonts w:eastAsia="Times New Roman"/>
          <w:lang w:val="ru-RU" w:eastAsia="bg-BG"/>
        </w:rPr>
      </w:pPr>
      <w:r w:rsidRPr="00327A61">
        <w:t>5)</w:t>
      </w:r>
      <w:r w:rsidR="00B97C1A" w:rsidRPr="00327A61">
        <w:t xml:space="preserve"> </w:t>
      </w:r>
      <w:r w:rsidR="00F00461" w:rsidRPr="00327A61">
        <w:rPr>
          <w:rFonts w:eastAsia="Times New Roman"/>
          <w:i/>
          <w:u w:val="single"/>
          <w:lang w:eastAsia="bg-BG"/>
        </w:rPr>
        <w:t>Коефициентът на ефективност на разходите</w:t>
      </w:r>
      <w:r w:rsidR="00F00461" w:rsidRPr="00327A61">
        <w:rPr>
          <w:rFonts w:eastAsia="Times New Roman"/>
          <w:lang w:eastAsia="bg-BG"/>
        </w:rPr>
        <w:t xml:space="preserve"> </w:t>
      </w:r>
      <w:r w:rsidR="00033116" w:rsidRPr="00327A61">
        <w:rPr>
          <w:rFonts w:eastAsia="Times New Roman"/>
          <w:lang w:eastAsia="bg-BG"/>
        </w:rPr>
        <w:t>за</w:t>
      </w:r>
      <w:r w:rsidR="00F00461" w:rsidRPr="00327A61">
        <w:rPr>
          <w:rFonts w:eastAsia="Times New Roman"/>
          <w:lang w:eastAsia="bg-BG"/>
        </w:rPr>
        <w:t xml:space="preserve"> обичайна дейност </w:t>
      </w:r>
      <w:r w:rsidR="00C979F9" w:rsidRPr="00327A61">
        <w:rPr>
          <w:rFonts w:eastAsia="Times New Roman"/>
          <w:lang w:eastAsia="bg-BG"/>
        </w:rPr>
        <w:t>за</w:t>
      </w:r>
      <w:r w:rsidR="00F00461" w:rsidRPr="00327A61">
        <w:rPr>
          <w:rFonts w:eastAsia="Times New Roman"/>
          <w:lang w:eastAsia="bg-BG"/>
        </w:rPr>
        <w:t xml:space="preserve"> 20</w:t>
      </w:r>
      <w:r w:rsidR="00F00461" w:rsidRPr="00327A61">
        <w:rPr>
          <w:rFonts w:eastAsia="Times New Roman"/>
          <w:lang w:val="ru-RU" w:eastAsia="bg-BG"/>
        </w:rPr>
        <w:t>1</w:t>
      </w:r>
      <w:r w:rsidR="0055517C" w:rsidRPr="00327A61">
        <w:rPr>
          <w:rFonts w:eastAsia="Times New Roman"/>
          <w:lang w:val="ru-RU" w:eastAsia="bg-BG"/>
        </w:rPr>
        <w:t>7</w:t>
      </w:r>
      <w:r w:rsidR="00F00461" w:rsidRPr="00327A61">
        <w:rPr>
          <w:rFonts w:eastAsia="Times New Roman"/>
          <w:lang w:eastAsia="bg-BG"/>
        </w:rPr>
        <w:t>г. е</w:t>
      </w:r>
      <w:r w:rsidR="00023B0F" w:rsidRPr="00327A61">
        <w:rPr>
          <w:rFonts w:eastAsia="Times New Roman"/>
          <w:lang w:eastAsia="bg-BG"/>
        </w:rPr>
        <w:t xml:space="preserve"> със стойност от </w:t>
      </w:r>
      <w:r w:rsidR="00F00461" w:rsidRPr="00327A61">
        <w:rPr>
          <w:rFonts w:eastAsia="Times New Roman"/>
          <w:lang w:eastAsia="bg-BG"/>
        </w:rPr>
        <w:t>1,</w:t>
      </w:r>
      <w:r w:rsidR="009370D4" w:rsidRPr="00327A61">
        <w:rPr>
          <w:rFonts w:eastAsia="Times New Roman"/>
          <w:lang w:val="ru-RU" w:eastAsia="bg-BG"/>
        </w:rPr>
        <w:t>1</w:t>
      </w:r>
      <w:r w:rsidR="0055517C" w:rsidRPr="00327A61">
        <w:rPr>
          <w:rFonts w:eastAsia="Times New Roman"/>
          <w:lang w:val="ru-RU" w:eastAsia="bg-BG"/>
        </w:rPr>
        <w:t>2</w:t>
      </w:r>
      <w:r w:rsidR="00F00461" w:rsidRPr="00327A61">
        <w:rPr>
          <w:rFonts w:eastAsia="Times New Roman"/>
          <w:lang w:eastAsia="bg-BG"/>
        </w:rPr>
        <w:t xml:space="preserve"> и показва приходите, реализирани с 1 лев разходи през годината. Той е по-голям от </w:t>
      </w:r>
      <w:r w:rsidR="00033116" w:rsidRPr="00327A61">
        <w:rPr>
          <w:rFonts w:eastAsia="Times New Roman"/>
          <w:lang w:eastAsia="bg-BG"/>
        </w:rPr>
        <w:t>единица</w:t>
      </w:r>
      <w:r w:rsidR="00F00461" w:rsidRPr="00327A61">
        <w:rPr>
          <w:rFonts w:eastAsia="Times New Roman"/>
          <w:lang w:eastAsia="bg-BG"/>
        </w:rPr>
        <w:t xml:space="preserve"> (дружеството приключва г</w:t>
      </w:r>
      <w:r w:rsidR="00033116" w:rsidRPr="00327A61">
        <w:rPr>
          <w:rFonts w:eastAsia="Times New Roman"/>
          <w:lang w:eastAsia="bg-BG"/>
        </w:rPr>
        <w:t xml:space="preserve">одината с печалба от дейността), </w:t>
      </w:r>
      <w:r w:rsidR="00804A86" w:rsidRPr="00327A61">
        <w:rPr>
          <w:rFonts w:eastAsia="Times New Roman"/>
          <w:lang w:eastAsia="bg-BG"/>
        </w:rPr>
        <w:t>и</w:t>
      </w:r>
      <w:r w:rsidR="00F00461" w:rsidRPr="00327A61">
        <w:rPr>
          <w:rFonts w:eastAsia="Times New Roman"/>
          <w:lang w:eastAsia="bg-BG"/>
        </w:rPr>
        <w:t xml:space="preserve"> е с </w:t>
      </w:r>
      <w:r w:rsidR="009370D4" w:rsidRPr="00327A61">
        <w:rPr>
          <w:rFonts w:eastAsia="Times New Roman"/>
          <w:lang w:eastAsia="bg-BG"/>
        </w:rPr>
        <w:t>по-</w:t>
      </w:r>
      <w:r w:rsidR="001753A1" w:rsidRPr="00327A61">
        <w:rPr>
          <w:rFonts w:eastAsia="Times New Roman"/>
          <w:lang w:eastAsia="bg-BG"/>
        </w:rPr>
        <w:t>ниск</w:t>
      </w:r>
      <w:r w:rsidR="00D964BD" w:rsidRPr="00327A61">
        <w:rPr>
          <w:rFonts w:eastAsia="Times New Roman"/>
          <w:lang w:eastAsia="bg-BG"/>
        </w:rPr>
        <w:t>а</w:t>
      </w:r>
      <w:r w:rsidR="00F00461" w:rsidRPr="00327A61">
        <w:rPr>
          <w:rFonts w:eastAsia="Times New Roman"/>
          <w:lang w:eastAsia="bg-BG"/>
        </w:rPr>
        <w:t xml:space="preserve"> стойност спрямо 20</w:t>
      </w:r>
      <w:r w:rsidR="00023B0F" w:rsidRPr="00327A61">
        <w:rPr>
          <w:rFonts w:eastAsia="Times New Roman"/>
          <w:lang w:eastAsia="bg-BG"/>
        </w:rPr>
        <w:t>1</w:t>
      </w:r>
      <w:r w:rsidR="001753A1" w:rsidRPr="00327A61">
        <w:rPr>
          <w:rFonts w:eastAsia="Times New Roman"/>
          <w:lang w:eastAsia="bg-BG"/>
        </w:rPr>
        <w:t>6</w:t>
      </w:r>
      <w:r w:rsidR="00F00461" w:rsidRPr="00327A61">
        <w:rPr>
          <w:rFonts w:eastAsia="Times New Roman"/>
          <w:lang w:eastAsia="bg-BG"/>
        </w:rPr>
        <w:t xml:space="preserve">г. </w:t>
      </w:r>
    </w:p>
    <w:p w:rsidR="00F00461" w:rsidRPr="00327A61" w:rsidRDefault="002C6A71" w:rsidP="009F323F">
      <w:pPr>
        <w:spacing w:after="120"/>
        <w:ind w:firstLine="720"/>
        <w:jc w:val="both"/>
        <w:rPr>
          <w:rFonts w:eastAsia="Times New Roman"/>
          <w:lang w:eastAsia="bg-BG"/>
        </w:rPr>
      </w:pPr>
      <w:r w:rsidRPr="00327A61">
        <w:rPr>
          <w:rFonts w:eastAsia="Times New Roman"/>
          <w:lang w:eastAsia="bg-BG"/>
        </w:rPr>
        <w:t>Величината</w:t>
      </w:r>
      <w:r w:rsidR="00F00461" w:rsidRPr="00327A61">
        <w:rPr>
          <w:rFonts w:eastAsia="Times New Roman"/>
          <w:lang w:eastAsia="bg-BG"/>
        </w:rPr>
        <w:t xml:space="preserve"> на </w:t>
      </w:r>
      <w:r w:rsidR="00F00461" w:rsidRPr="00327A61">
        <w:rPr>
          <w:rFonts w:eastAsia="Times New Roman"/>
          <w:i/>
          <w:u w:val="single"/>
          <w:lang w:eastAsia="bg-BG"/>
        </w:rPr>
        <w:t>коефициента на ефективност на приходите</w:t>
      </w:r>
      <w:r w:rsidR="00F00461" w:rsidRPr="00327A61">
        <w:rPr>
          <w:rFonts w:eastAsia="Times New Roman"/>
          <w:lang w:eastAsia="bg-BG"/>
        </w:rPr>
        <w:t xml:space="preserve"> </w:t>
      </w:r>
      <w:r w:rsidR="00023B0F" w:rsidRPr="00327A61">
        <w:rPr>
          <w:rFonts w:eastAsia="Times New Roman"/>
          <w:lang w:eastAsia="bg-BG"/>
        </w:rPr>
        <w:t xml:space="preserve">показва </w:t>
      </w:r>
      <w:r w:rsidR="00942DBD" w:rsidRPr="00327A61">
        <w:rPr>
          <w:rFonts w:eastAsia="Times New Roman"/>
          <w:lang w:eastAsia="bg-BG"/>
        </w:rPr>
        <w:t xml:space="preserve">леко </w:t>
      </w:r>
      <w:r w:rsidR="001753A1" w:rsidRPr="00327A61">
        <w:rPr>
          <w:rFonts w:eastAsia="Times New Roman"/>
          <w:lang w:eastAsia="bg-BG"/>
        </w:rPr>
        <w:t>увеличение</w:t>
      </w:r>
      <w:r w:rsidR="00023B0F" w:rsidRPr="00327A61">
        <w:rPr>
          <w:rFonts w:eastAsia="Times New Roman"/>
          <w:lang w:eastAsia="bg-BG"/>
        </w:rPr>
        <w:t xml:space="preserve"> при</w:t>
      </w:r>
      <w:r w:rsidR="00F00461" w:rsidRPr="00327A61">
        <w:rPr>
          <w:rFonts w:eastAsia="Times New Roman"/>
          <w:lang w:eastAsia="bg-BG"/>
        </w:rPr>
        <w:t xml:space="preserve"> разходите, необходими за генерирането на 1 лев приход. </w:t>
      </w:r>
    </w:p>
    <w:tbl>
      <w:tblPr>
        <w:tblStyle w:val="TableContemporary"/>
        <w:tblW w:w="9644" w:type="dxa"/>
        <w:tblLook w:val="0000" w:firstRow="0" w:lastRow="0" w:firstColumn="0" w:lastColumn="0" w:noHBand="0" w:noVBand="0"/>
      </w:tblPr>
      <w:tblGrid>
        <w:gridCol w:w="3153"/>
        <w:gridCol w:w="3551"/>
        <w:gridCol w:w="1000"/>
        <w:gridCol w:w="1000"/>
        <w:gridCol w:w="940"/>
      </w:tblGrid>
      <w:tr w:rsidR="00E6489F" w:rsidRPr="00327A61" w:rsidTr="00E6489F">
        <w:trPr>
          <w:cnfStyle w:val="000000100000" w:firstRow="0" w:lastRow="0" w:firstColumn="0" w:lastColumn="0" w:oddVBand="0" w:evenVBand="0" w:oddHBand="1" w:evenHBand="0" w:firstRowFirstColumn="0" w:firstRowLastColumn="0" w:lastRowFirstColumn="0" w:lastRowLastColumn="0"/>
          <w:trHeight w:val="405"/>
        </w:trPr>
        <w:tc>
          <w:tcPr>
            <w:tcW w:w="6704" w:type="dxa"/>
            <w:gridSpan w:val="2"/>
            <w:shd w:val="clear" w:color="auto" w:fill="BFBFBF" w:themeFill="background1" w:themeFillShade="BF"/>
            <w:noWrap/>
            <w:vAlign w:val="center"/>
          </w:tcPr>
          <w:p w:rsidR="00E6489F" w:rsidRPr="00327A61" w:rsidRDefault="00E6489F" w:rsidP="00E6489F">
            <w:pPr>
              <w:rPr>
                <w:rFonts w:ascii="Arial" w:eastAsia="Times New Roman" w:hAnsi="Arial" w:cs="Arial"/>
                <w:b/>
                <w:bCs/>
                <w:i/>
                <w:iCs/>
                <w:sz w:val="20"/>
                <w:szCs w:val="20"/>
                <w:u w:val="single"/>
                <w:lang w:eastAsia="bg-BG"/>
              </w:rPr>
            </w:pPr>
            <w:r w:rsidRPr="00327A61">
              <w:rPr>
                <w:rFonts w:ascii="Arial" w:eastAsia="Times New Roman" w:hAnsi="Arial" w:cs="Arial"/>
                <w:b/>
                <w:bCs/>
                <w:i/>
                <w:iCs/>
                <w:sz w:val="20"/>
                <w:szCs w:val="20"/>
                <w:u w:val="single"/>
                <w:lang w:eastAsia="bg-BG"/>
              </w:rPr>
              <w:t>Коефициенти на ефективност:</w:t>
            </w:r>
          </w:p>
        </w:tc>
        <w:tc>
          <w:tcPr>
            <w:tcW w:w="1000" w:type="dxa"/>
            <w:shd w:val="clear" w:color="auto" w:fill="BFBFBF" w:themeFill="background1" w:themeFillShade="BF"/>
            <w:noWrap/>
            <w:vAlign w:val="center"/>
          </w:tcPr>
          <w:p w:rsidR="00E6489F" w:rsidRPr="00327A61" w:rsidRDefault="00E6489F" w:rsidP="00E6489F">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2016г.</w:t>
            </w:r>
          </w:p>
        </w:tc>
        <w:tc>
          <w:tcPr>
            <w:tcW w:w="1000" w:type="dxa"/>
            <w:shd w:val="clear" w:color="auto" w:fill="BFBFBF" w:themeFill="background1" w:themeFillShade="BF"/>
            <w:noWrap/>
            <w:vAlign w:val="center"/>
          </w:tcPr>
          <w:p w:rsidR="00E6489F" w:rsidRPr="00327A61" w:rsidRDefault="00E6489F" w:rsidP="00E6489F">
            <w:pPr>
              <w:jc w:val="center"/>
              <w:rPr>
                <w:rFonts w:ascii="Arial" w:eastAsia="Times New Roman" w:hAnsi="Arial" w:cs="Arial"/>
                <w:b/>
                <w:bCs/>
                <w:sz w:val="20"/>
                <w:szCs w:val="20"/>
                <w:lang w:val="en-US" w:eastAsia="bg-BG"/>
              </w:rPr>
            </w:pPr>
            <w:r w:rsidRPr="00327A61">
              <w:rPr>
                <w:rFonts w:ascii="Arial" w:eastAsia="Times New Roman" w:hAnsi="Arial" w:cs="Arial"/>
                <w:b/>
                <w:bCs/>
                <w:sz w:val="20"/>
                <w:szCs w:val="20"/>
                <w:lang w:eastAsia="bg-BG"/>
              </w:rPr>
              <w:t>БП 2017</w:t>
            </w:r>
          </w:p>
        </w:tc>
        <w:tc>
          <w:tcPr>
            <w:tcW w:w="940" w:type="dxa"/>
            <w:shd w:val="clear" w:color="auto" w:fill="BFBFBF" w:themeFill="background1" w:themeFillShade="BF"/>
            <w:noWrap/>
            <w:vAlign w:val="center"/>
          </w:tcPr>
          <w:p w:rsidR="00E6489F" w:rsidRPr="00327A61" w:rsidRDefault="00E6489F" w:rsidP="00E6489F">
            <w:pPr>
              <w:jc w:val="center"/>
              <w:rPr>
                <w:rFonts w:ascii="Arial" w:eastAsia="Times New Roman" w:hAnsi="Arial" w:cs="Arial"/>
                <w:b/>
                <w:bCs/>
                <w:sz w:val="20"/>
                <w:szCs w:val="20"/>
                <w:lang w:eastAsia="bg-BG"/>
              </w:rPr>
            </w:pPr>
            <w:r w:rsidRPr="00327A61">
              <w:rPr>
                <w:rFonts w:ascii="Arial" w:eastAsia="Times New Roman" w:hAnsi="Arial" w:cs="Arial"/>
                <w:b/>
                <w:bCs/>
                <w:sz w:val="20"/>
                <w:szCs w:val="20"/>
                <w:lang w:eastAsia="bg-BG"/>
              </w:rPr>
              <w:t>2017г.</w:t>
            </w:r>
          </w:p>
        </w:tc>
      </w:tr>
      <w:tr w:rsidR="00E6489F" w:rsidRPr="00327A61" w:rsidTr="00E6489F">
        <w:trPr>
          <w:cnfStyle w:val="000000010000" w:firstRow="0" w:lastRow="0" w:firstColumn="0" w:lastColumn="0" w:oddVBand="0" w:evenVBand="0" w:oddHBand="0" w:evenHBand="1" w:firstRowFirstColumn="0" w:firstRowLastColumn="0" w:lastRowFirstColumn="0" w:lastRowLastColumn="0"/>
          <w:trHeight w:val="360"/>
        </w:trPr>
        <w:tc>
          <w:tcPr>
            <w:tcW w:w="3153" w:type="dxa"/>
            <w:vMerge w:val="restart"/>
            <w:shd w:val="clear" w:color="auto" w:fill="F2F2F2" w:themeFill="background1" w:themeFillShade="F2"/>
            <w:vAlign w:val="center"/>
          </w:tcPr>
          <w:p w:rsidR="00E6489F" w:rsidRPr="00327A61" w:rsidRDefault="00E6489F" w:rsidP="00E6489F">
            <w:pPr>
              <w:rPr>
                <w:rFonts w:ascii="Arial" w:eastAsia="Times New Roman" w:hAnsi="Arial" w:cs="Arial"/>
                <w:sz w:val="20"/>
                <w:szCs w:val="20"/>
                <w:lang w:eastAsia="bg-BG"/>
              </w:rPr>
            </w:pPr>
            <w:r w:rsidRPr="00327A61">
              <w:rPr>
                <w:rFonts w:ascii="Arial" w:eastAsia="Times New Roman" w:hAnsi="Arial" w:cs="Arial"/>
                <w:sz w:val="20"/>
                <w:szCs w:val="20"/>
                <w:lang w:eastAsia="bg-BG"/>
              </w:rPr>
              <w:t>1. Ефективност на разходите за обичайна дейност</w:t>
            </w:r>
          </w:p>
        </w:tc>
        <w:tc>
          <w:tcPr>
            <w:tcW w:w="3551" w:type="dxa"/>
            <w:shd w:val="clear" w:color="auto" w:fill="F2F2F2" w:themeFill="background1" w:themeFillShade="F2"/>
            <w:vAlign w:val="bottom"/>
          </w:tcPr>
          <w:p w:rsidR="00E6489F" w:rsidRPr="00327A61" w:rsidRDefault="00E6489F" w:rsidP="00E6489F">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Общо приходи от дейността</w:t>
            </w:r>
          </w:p>
        </w:tc>
        <w:tc>
          <w:tcPr>
            <w:tcW w:w="1000" w:type="dxa"/>
            <w:vMerge w:val="restart"/>
            <w:shd w:val="clear" w:color="auto" w:fill="F2F2F2" w:themeFill="background1" w:themeFillShade="F2"/>
            <w:noWrap/>
            <w:vAlign w:val="center"/>
          </w:tcPr>
          <w:p w:rsidR="00E6489F" w:rsidRPr="00327A61" w:rsidRDefault="00E6489F" w:rsidP="00E6489F">
            <w:pPr>
              <w:jc w:val="right"/>
              <w:rPr>
                <w:rFonts w:ascii="Arial" w:hAnsi="Arial" w:cs="Arial"/>
                <w:sz w:val="20"/>
                <w:szCs w:val="20"/>
                <w:lang w:eastAsia="bg-BG"/>
              </w:rPr>
            </w:pPr>
            <w:r w:rsidRPr="00327A61">
              <w:rPr>
                <w:rFonts w:ascii="Arial" w:hAnsi="Arial" w:cs="Arial"/>
                <w:sz w:val="20"/>
                <w:szCs w:val="20"/>
              </w:rPr>
              <w:t>1.19</w:t>
            </w:r>
          </w:p>
        </w:tc>
        <w:tc>
          <w:tcPr>
            <w:tcW w:w="1000" w:type="dxa"/>
            <w:vMerge w:val="restart"/>
            <w:shd w:val="clear" w:color="auto" w:fill="F2F2F2" w:themeFill="background1" w:themeFillShade="F2"/>
            <w:noWrap/>
            <w:vAlign w:val="center"/>
          </w:tcPr>
          <w:p w:rsidR="00E6489F" w:rsidRPr="00327A61" w:rsidRDefault="00E6489F" w:rsidP="00E6489F">
            <w:pPr>
              <w:jc w:val="right"/>
              <w:rPr>
                <w:rFonts w:ascii="Arial" w:hAnsi="Arial" w:cs="Arial"/>
                <w:sz w:val="20"/>
                <w:szCs w:val="20"/>
              </w:rPr>
            </w:pPr>
            <w:r w:rsidRPr="00327A61">
              <w:rPr>
                <w:rFonts w:ascii="Arial" w:hAnsi="Arial" w:cs="Arial"/>
                <w:sz w:val="20"/>
                <w:szCs w:val="20"/>
              </w:rPr>
              <w:t>1.12</w:t>
            </w:r>
          </w:p>
        </w:tc>
        <w:tc>
          <w:tcPr>
            <w:tcW w:w="940" w:type="dxa"/>
            <w:vMerge w:val="restart"/>
            <w:shd w:val="clear" w:color="auto" w:fill="F2F2F2" w:themeFill="background1" w:themeFillShade="F2"/>
            <w:noWrap/>
            <w:vAlign w:val="center"/>
          </w:tcPr>
          <w:p w:rsidR="00E6489F" w:rsidRPr="00327A61" w:rsidRDefault="00E6489F" w:rsidP="00E6489F">
            <w:pPr>
              <w:jc w:val="right"/>
              <w:rPr>
                <w:rFonts w:ascii="Arial" w:hAnsi="Arial" w:cs="Arial"/>
                <w:sz w:val="20"/>
                <w:szCs w:val="20"/>
              </w:rPr>
            </w:pPr>
            <w:r w:rsidRPr="00327A61">
              <w:rPr>
                <w:rFonts w:ascii="Arial" w:hAnsi="Arial" w:cs="Arial"/>
                <w:sz w:val="20"/>
                <w:szCs w:val="20"/>
              </w:rPr>
              <w:t>1.12</w:t>
            </w:r>
          </w:p>
        </w:tc>
      </w:tr>
      <w:tr w:rsidR="00E6489F" w:rsidRPr="00327A61" w:rsidTr="00E6489F">
        <w:trPr>
          <w:cnfStyle w:val="000000100000" w:firstRow="0" w:lastRow="0" w:firstColumn="0" w:lastColumn="0" w:oddVBand="0" w:evenVBand="0" w:oddHBand="1" w:evenHBand="0" w:firstRowFirstColumn="0" w:firstRowLastColumn="0" w:lastRowFirstColumn="0" w:lastRowLastColumn="0"/>
          <w:trHeight w:val="360"/>
        </w:trPr>
        <w:tc>
          <w:tcPr>
            <w:tcW w:w="3153" w:type="dxa"/>
            <w:vMerge/>
            <w:vAlign w:val="center"/>
          </w:tcPr>
          <w:p w:rsidR="00E6489F" w:rsidRPr="00327A61" w:rsidRDefault="00E6489F" w:rsidP="00E6489F">
            <w:pPr>
              <w:rPr>
                <w:rFonts w:ascii="Arial" w:eastAsia="Times New Roman" w:hAnsi="Arial" w:cs="Arial"/>
                <w:sz w:val="20"/>
                <w:szCs w:val="20"/>
                <w:lang w:eastAsia="bg-BG"/>
              </w:rPr>
            </w:pPr>
          </w:p>
        </w:tc>
        <w:tc>
          <w:tcPr>
            <w:tcW w:w="3551" w:type="dxa"/>
            <w:shd w:val="clear" w:color="auto" w:fill="F2F2F2" w:themeFill="background1" w:themeFillShade="F2"/>
          </w:tcPr>
          <w:p w:rsidR="00E6489F" w:rsidRPr="00327A61" w:rsidRDefault="00E6489F" w:rsidP="00361FC0">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Общо разходи за дейността</w:t>
            </w:r>
          </w:p>
        </w:tc>
        <w:tc>
          <w:tcPr>
            <w:tcW w:w="1000" w:type="dxa"/>
            <w:vMerge/>
            <w:vAlign w:val="center"/>
          </w:tcPr>
          <w:p w:rsidR="00E6489F" w:rsidRPr="00327A61" w:rsidRDefault="00E6489F" w:rsidP="00E6489F">
            <w:pPr>
              <w:jc w:val="right"/>
              <w:rPr>
                <w:rFonts w:ascii="Arial" w:eastAsia="Times New Roman" w:hAnsi="Arial" w:cs="Arial"/>
                <w:sz w:val="20"/>
                <w:szCs w:val="20"/>
                <w:lang w:eastAsia="bg-BG"/>
              </w:rPr>
            </w:pPr>
          </w:p>
        </w:tc>
        <w:tc>
          <w:tcPr>
            <w:tcW w:w="1000" w:type="dxa"/>
            <w:vMerge/>
            <w:vAlign w:val="center"/>
          </w:tcPr>
          <w:p w:rsidR="00E6489F" w:rsidRPr="00327A61" w:rsidRDefault="00E6489F" w:rsidP="00E6489F">
            <w:pPr>
              <w:jc w:val="right"/>
              <w:rPr>
                <w:rFonts w:ascii="Arial" w:eastAsia="Times New Roman" w:hAnsi="Arial" w:cs="Arial"/>
                <w:sz w:val="20"/>
                <w:szCs w:val="20"/>
                <w:lang w:eastAsia="bg-BG"/>
              </w:rPr>
            </w:pPr>
          </w:p>
        </w:tc>
        <w:tc>
          <w:tcPr>
            <w:tcW w:w="940" w:type="dxa"/>
            <w:vMerge/>
            <w:vAlign w:val="center"/>
          </w:tcPr>
          <w:p w:rsidR="00E6489F" w:rsidRPr="00327A61" w:rsidRDefault="00E6489F" w:rsidP="00E6489F">
            <w:pPr>
              <w:jc w:val="right"/>
              <w:rPr>
                <w:rFonts w:ascii="Arial" w:eastAsia="Times New Roman" w:hAnsi="Arial" w:cs="Arial"/>
                <w:sz w:val="20"/>
                <w:szCs w:val="20"/>
                <w:lang w:eastAsia="bg-BG"/>
              </w:rPr>
            </w:pPr>
          </w:p>
        </w:tc>
      </w:tr>
      <w:tr w:rsidR="00E6489F" w:rsidRPr="00327A61" w:rsidTr="00E6489F">
        <w:trPr>
          <w:cnfStyle w:val="000000010000" w:firstRow="0" w:lastRow="0" w:firstColumn="0" w:lastColumn="0" w:oddVBand="0" w:evenVBand="0" w:oddHBand="0" w:evenHBand="1" w:firstRowFirstColumn="0" w:firstRowLastColumn="0" w:lastRowFirstColumn="0" w:lastRowLastColumn="0"/>
          <w:trHeight w:val="360"/>
        </w:trPr>
        <w:tc>
          <w:tcPr>
            <w:tcW w:w="3153" w:type="dxa"/>
            <w:vMerge w:val="restart"/>
            <w:shd w:val="clear" w:color="auto" w:fill="D9D9D9" w:themeFill="background1" w:themeFillShade="D9"/>
            <w:vAlign w:val="center"/>
          </w:tcPr>
          <w:p w:rsidR="00E6489F" w:rsidRPr="00327A61" w:rsidRDefault="00E6489F" w:rsidP="00E6489F">
            <w:pPr>
              <w:rPr>
                <w:rFonts w:ascii="Arial" w:eastAsia="Times New Roman" w:hAnsi="Arial" w:cs="Arial"/>
                <w:sz w:val="20"/>
                <w:szCs w:val="20"/>
                <w:lang w:eastAsia="bg-BG"/>
              </w:rPr>
            </w:pPr>
            <w:r w:rsidRPr="00327A61">
              <w:rPr>
                <w:rFonts w:ascii="Arial" w:eastAsia="Times New Roman" w:hAnsi="Arial" w:cs="Arial"/>
                <w:sz w:val="20"/>
                <w:szCs w:val="20"/>
                <w:lang w:eastAsia="bg-BG"/>
              </w:rPr>
              <w:t>2. Ефективност на приходите от обичайна дейност</w:t>
            </w:r>
          </w:p>
        </w:tc>
        <w:tc>
          <w:tcPr>
            <w:tcW w:w="3551" w:type="dxa"/>
            <w:shd w:val="clear" w:color="auto" w:fill="D9D9D9" w:themeFill="background1" w:themeFillShade="D9"/>
            <w:vAlign w:val="bottom"/>
          </w:tcPr>
          <w:p w:rsidR="00E6489F" w:rsidRPr="00327A61" w:rsidRDefault="00E6489F" w:rsidP="00E6489F">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Общо разходи за дейността</w:t>
            </w:r>
          </w:p>
        </w:tc>
        <w:tc>
          <w:tcPr>
            <w:tcW w:w="1000" w:type="dxa"/>
            <w:vMerge w:val="restart"/>
            <w:shd w:val="clear" w:color="auto" w:fill="D9D9D9" w:themeFill="background1" w:themeFillShade="D9"/>
            <w:noWrap/>
            <w:vAlign w:val="center"/>
          </w:tcPr>
          <w:p w:rsidR="00E6489F" w:rsidRPr="00327A61" w:rsidRDefault="00E6489F" w:rsidP="00E6489F">
            <w:pPr>
              <w:jc w:val="right"/>
              <w:rPr>
                <w:rFonts w:ascii="Arial" w:hAnsi="Arial" w:cs="Arial"/>
                <w:sz w:val="20"/>
                <w:szCs w:val="20"/>
              </w:rPr>
            </w:pPr>
            <w:r w:rsidRPr="00327A61">
              <w:rPr>
                <w:rFonts w:ascii="Arial" w:hAnsi="Arial" w:cs="Arial"/>
                <w:sz w:val="20"/>
                <w:szCs w:val="20"/>
              </w:rPr>
              <w:t>0.84</w:t>
            </w:r>
          </w:p>
        </w:tc>
        <w:tc>
          <w:tcPr>
            <w:tcW w:w="1000" w:type="dxa"/>
            <w:vMerge w:val="restart"/>
            <w:shd w:val="clear" w:color="auto" w:fill="D9D9D9" w:themeFill="background1" w:themeFillShade="D9"/>
            <w:noWrap/>
            <w:vAlign w:val="center"/>
          </w:tcPr>
          <w:p w:rsidR="00E6489F" w:rsidRPr="00327A61" w:rsidRDefault="00E6489F" w:rsidP="00E6489F">
            <w:pPr>
              <w:jc w:val="right"/>
              <w:rPr>
                <w:rFonts w:ascii="Arial" w:hAnsi="Arial" w:cs="Arial"/>
                <w:sz w:val="20"/>
                <w:szCs w:val="20"/>
              </w:rPr>
            </w:pPr>
            <w:r w:rsidRPr="00327A61">
              <w:rPr>
                <w:rFonts w:ascii="Arial" w:hAnsi="Arial" w:cs="Arial"/>
                <w:sz w:val="20"/>
                <w:szCs w:val="20"/>
              </w:rPr>
              <w:t>0.90</w:t>
            </w:r>
          </w:p>
        </w:tc>
        <w:tc>
          <w:tcPr>
            <w:tcW w:w="940" w:type="dxa"/>
            <w:vMerge w:val="restart"/>
            <w:shd w:val="clear" w:color="auto" w:fill="D9D9D9" w:themeFill="background1" w:themeFillShade="D9"/>
            <w:noWrap/>
            <w:vAlign w:val="center"/>
          </w:tcPr>
          <w:p w:rsidR="00E6489F" w:rsidRPr="00327A61" w:rsidRDefault="00E6489F" w:rsidP="00E6489F">
            <w:pPr>
              <w:jc w:val="right"/>
              <w:rPr>
                <w:rFonts w:ascii="Arial" w:hAnsi="Arial" w:cs="Arial"/>
                <w:sz w:val="20"/>
                <w:szCs w:val="20"/>
              </w:rPr>
            </w:pPr>
            <w:r w:rsidRPr="00327A61">
              <w:rPr>
                <w:rFonts w:ascii="Arial" w:hAnsi="Arial" w:cs="Arial"/>
                <w:sz w:val="20"/>
                <w:szCs w:val="20"/>
              </w:rPr>
              <w:t>0.89</w:t>
            </w:r>
          </w:p>
        </w:tc>
      </w:tr>
      <w:tr w:rsidR="00E6489F" w:rsidRPr="00327A61" w:rsidTr="00E6489F">
        <w:trPr>
          <w:cnfStyle w:val="000000100000" w:firstRow="0" w:lastRow="0" w:firstColumn="0" w:lastColumn="0" w:oddVBand="0" w:evenVBand="0" w:oddHBand="1" w:evenHBand="0" w:firstRowFirstColumn="0" w:firstRowLastColumn="0" w:lastRowFirstColumn="0" w:lastRowLastColumn="0"/>
          <w:trHeight w:val="360"/>
        </w:trPr>
        <w:tc>
          <w:tcPr>
            <w:tcW w:w="3153" w:type="dxa"/>
            <w:vMerge/>
          </w:tcPr>
          <w:p w:rsidR="00E6489F" w:rsidRPr="00327A61" w:rsidRDefault="00E6489F" w:rsidP="00665DA4">
            <w:pPr>
              <w:rPr>
                <w:rFonts w:ascii="Arial" w:eastAsia="Times New Roman" w:hAnsi="Arial" w:cs="Arial"/>
                <w:sz w:val="20"/>
                <w:szCs w:val="20"/>
                <w:lang w:eastAsia="bg-BG"/>
              </w:rPr>
            </w:pPr>
          </w:p>
        </w:tc>
        <w:tc>
          <w:tcPr>
            <w:tcW w:w="3551" w:type="dxa"/>
            <w:shd w:val="clear" w:color="auto" w:fill="D9D9D9" w:themeFill="background1" w:themeFillShade="D9"/>
          </w:tcPr>
          <w:p w:rsidR="00E6489F" w:rsidRPr="00327A61" w:rsidRDefault="00E6489F" w:rsidP="00665DA4">
            <w:pPr>
              <w:jc w:val="center"/>
              <w:rPr>
                <w:rFonts w:ascii="Arial" w:eastAsia="Times New Roman" w:hAnsi="Arial" w:cs="Arial"/>
                <w:sz w:val="20"/>
                <w:szCs w:val="20"/>
                <w:lang w:eastAsia="bg-BG"/>
              </w:rPr>
            </w:pPr>
            <w:r w:rsidRPr="00327A61">
              <w:rPr>
                <w:rFonts w:ascii="Arial" w:eastAsia="Times New Roman" w:hAnsi="Arial" w:cs="Arial"/>
                <w:sz w:val="20"/>
                <w:szCs w:val="20"/>
                <w:lang w:eastAsia="bg-BG"/>
              </w:rPr>
              <w:t>Общо приходи от дейността</w:t>
            </w:r>
          </w:p>
        </w:tc>
        <w:tc>
          <w:tcPr>
            <w:tcW w:w="1000" w:type="dxa"/>
            <w:vMerge/>
          </w:tcPr>
          <w:p w:rsidR="00E6489F" w:rsidRPr="00327A61" w:rsidRDefault="00E6489F" w:rsidP="00665DA4">
            <w:pPr>
              <w:rPr>
                <w:rFonts w:ascii="Arial" w:eastAsia="Times New Roman" w:hAnsi="Arial" w:cs="Arial"/>
                <w:sz w:val="20"/>
                <w:szCs w:val="20"/>
                <w:lang w:eastAsia="bg-BG"/>
              </w:rPr>
            </w:pPr>
          </w:p>
        </w:tc>
        <w:tc>
          <w:tcPr>
            <w:tcW w:w="1000" w:type="dxa"/>
            <w:vMerge/>
          </w:tcPr>
          <w:p w:rsidR="00E6489F" w:rsidRPr="00327A61" w:rsidRDefault="00E6489F" w:rsidP="00665DA4">
            <w:pPr>
              <w:rPr>
                <w:rFonts w:ascii="Arial" w:eastAsia="Times New Roman" w:hAnsi="Arial" w:cs="Arial"/>
                <w:sz w:val="20"/>
                <w:szCs w:val="20"/>
                <w:lang w:eastAsia="bg-BG"/>
              </w:rPr>
            </w:pPr>
          </w:p>
        </w:tc>
        <w:tc>
          <w:tcPr>
            <w:tcW w:w="940" w:type="dxa"/>
            <w:vMerge/>
          </w:tcPr>
          <w:p w:rsidR="00E6489F" w:rsidRPr="00327A61" w:rsidRDefault="00E6489F" w:rsidP="00665DA4">
            <w:pPr>
              <w:rPr>
                <w:rFonts w:ascii="Arial" w:eastAsia="Times New Roman" w:hAnsi="Arial" w:cs="Arial"/>
                <w:sz w:val="20"/>
                <w:szCs w:val="20"/>
                <w:lang w:eastAsia="bg-BG"/>
              </w:rPr>
            </w:pPr>
          </w:p>
        </w:tc>
      </w:tr>
    </w:tbl>
    <w:p w:rsidR="009E647C" w:rsidRDefault="009E647C" w:rsidP="009E647C">
      <w:pPr>
        <w:pStyle w:val="Heading2"/>
        <w:numPr>
          <w:ilvl w:val="1"/>
          <w:numId w:val="2"/>
        </w:numPr>
        <w:tabs>
          <w:tab w:val="num" w:pos="540"/>
        </w:tabs>
        <w:rPr>
          <w:rFonts w:ascii="Times New Roman" w:hAnsi="Times New Roman"/>
          <w:i/>
          <w:smallCaps/>
          <w:sz w:val="24"/>
          <w:u w:val="single"/>
        </w:rPr>
      </w:pPr>
      <w:bookmarkStart w:id="43" w:name="_Toc288478116"/>
      <w:bookmarkStart w:id="44" w:name="_Toc477959774"/>
    </w:p>
    <w:p w:rsidR="00DF25C9" w:rsidRPr="00327A61" w:rsidRDefault="00BE7AA2" w:rsidP="00DD76F5">
      <w:pPr>
        <w:pStyle w:val="Heading2"/>
        <w:numPr>
          <w:ilvl w:val="1"/>
          <w:numId w:val="2"/>
        </w:numPr>
        <w:tabs>
          <w:tab w:val="num" w:pos="540"/>
        </w:tabs>
        <w:spacing w:after="120"/>
        <w:rPr>
          <w:rFonts w:ascii="Times New Roman" w:hAnsi="Times New Roman"/>
          <w:i/>
          <w:smallCaps/>
          <w:sz w:val="24"/>
          <w:u w:val="single"/>
        </w:rPr>
      </w:pPr>
      <w:r w:rsidRPr="00327A61">
        <w:rPr>
          <w:rFonts w:ascii="Times New Roman" w:hAnsi="Times New Roman"/>
          <w:i/>
          <w:smallCaps/>
          <w:sz w:val="24"/>
          <w:u w:val="single"/>
        </w:rPr>
        <w:t xml:space="preserve">3) </w:t>
      </w:r>
      <w:r w:rsidR="00DF25C9" w:rsidRPr="00327A61">
        <w:rPr>
          <w:rFonts w:ascii="Times New Roman" w:hAnsi="Times New Roman"/>
          <w:i/>
          <w:smallCaps/>
          <w:sz w:val="24"/>
          <w:u w:val="single"/>
        </w:rPr>
        <w:t>Финансов резултат</w:t>
      </w:r>
      <w:r w:rsidR="00242DC0" w:rsidRPr="00327A61">
        <w:rPr>
          <w:rFonts w:ascii="Times New Roman" w:hAnsi="Times New Roman"/>
          <w:i/>
          <w:smallCaps/>
          <w:sz w:val="24"/>
          <w:u w:val="single"/>
        </w:rPr>
        <w:t xml:space="preserve">, </w:t>
      </w:r>
      <w:r w:rsidR="00DF25C9" w:rsidRPr="00327A61">
        <w:rPr>
          <w:rFonts w:ascii="Times New Roman" w:hAnsi="Times New Roman"/>
          <w:i/>
          <w:smallCaps/>
          <w:sz w:val="24"/>
          <w:u w:val="single"/>
        </w:rPr>
        <w:t xml:space="preserve"> основни видове </w:t>
      </w:r>
      <w:r w:rsidR="00242DC0" w:rsidRPr="00327A61">
        <w:rPr>
          <w:rFonts w:ascii="Times New Roman" w:hAnsi="Times New Roman"/>
          <w:i/>
          <w:smallCaps/>
          <w:sz w:val="24"/>
          <w:u w:val="single"/>
        </w:rPr>
        <w:t xml:space="preserve">приходи и </w:t>
      </w:r>
      <w:r w:rsidR="00DF25C9" w:rsidRPr="00327A61">
        <w:rPr>
          <w:rFonts w:ascii="Times New Roman" w:hAnsi="Times New Roman"/>
          <w:i/>
          <w:smallCaps/>
          <w:sz w:val="24"/>
          <w:u w:val="single"/>
        </w:rPr>
        <w:t>разходи за дейността</w:t>
      </w:r>
      <w:bookmarkEnd w:id="43"/>
      <w:bookmarkEnd w:id="44"/>
    </w:p>
    <w:p w:rsidR="00804A86" w:rsidRPr="00327A61" w:rsidRDefault="00023B0F" w:rsidP="00804A86">
      <w:pPr>
        <w:pStyle w:val="BodyTextIndent"/>
        <w:spacing w:after="120"/>
        <w:ind w:firstLine="709"/>
        <w:rPr>
          <w:i/>
          <w:u w:val="single"/>
        </w:rPr>
      </w:pPr>
      <w:r w:rsidRPr="00327A61">
        <w:t xml:space="preserve">Съобразно </w:t>
      </w:r>
      <w:r w:rsidR="00156771" w:rsidRPr="00327A61">
        <w:t xml:space="preserve">генерирания </w:t>
      </w:r>
      <w:r w:rsidR="009E1B53" w:rsidRPr="00327A61">
        <w:t>товароборот,</w:t>
      </w:r>
      <w:r w:rsidRPr="00327A61">
        <w:t xml:space="preserve"> отчетените приходи </w:t>
      </w:r>
      <w:r w:rsidR="009E1B53" w:rsidRPr="00327A61">
        <w:t xml:space="preserve">и извършените разходи, </w:t>
      </w:r>
      <w:r w:rsidR="00504562" w:rsidRPr="00327A61">
        <w:t>„</w:t>
      </w:r>
      <w:r w:rsidRPr="00327A61">
        <w:t>Пристанищен комплекс – Русе</w:t>
      </w:r>
      <w:r w:rsidR="00504562" w:rsidRPr="00327A61">
        <w:t>“</w:t>
      </w:r>
      <w:r w:rsidRPr="00327A61">
        <w:t xml:space="preserve"> ЕАД приключва 201</w:t>
      </w:r>
      <w:r w:rsidR="00504562" w:rsidRPr="00327A61">
        <w:t>7</w:t>
      </w:r>
      <w:r w:rsidRPr="00327A61">
        <w:t>г. с</w:t>
      </w:r>
      <w:r w:rsidR="00417FB9" w:rsidRPr="00327A61">
        <w:t xml:space="preserve"> </w:t>
      </w:r>
      <w:r w:rsidRPr="00327A61">
        <w:t xml:space="preserve">финансов резултат </w:t>
      </w:r>
      <w:r w:rsidR="00BE51A2" w:rsidRPr="00327A61">
        <w:t xml:space="preserve">- </w:t>
      </w:r>
      <w:r w:rsidR="00BE51A2" w:rsidRPr="00327A61">
        <w:rPr>
          <w:i/>
          <w:u w:val="single"/>
        </w:rPr>
        <w:t xml:space="preserve">счетоводна печалба от </w:t>
      </w:r>
      <w:r w:rsidR="00504562" w:rsidRPr="00327A61">
        <w:rPr>
          <w:b/>
          <w:i/>
          <w:u w:val="single"/>
        </w:rPr>
        <w:t>600</w:t>
      </w:r>
      <w:r w:rsidR="004316FB" w:rsidRPr="00327A61">
        <w:rPr>
          <w:b/>
          <w:i/>
          <w:u w:val="single"/>
        </w:rPr>
        <w:t xml:space="preserve"> </w:t>
      </w:r>
      <w:r w:rsidR="00BE51A2" w:rsidRPr="00327A61">
        <w:rPr>
          <w:b/>
          <w:i/>
          <w:u w:val="single"/>
        </w:rPr>
        <w:t>хил.лв</w:t>
      </w:r>
      <w:r w:rsidR="00BE51A2" w:rsidRPr="00327A61">
        <w:rPr>
          <w:i/>
          <w:u w:val="single"/>
        </w:rPr>
        <w:t>.</w:t>
      </w:r>
      <w:r w:rsidR="00D964BD" w:rsidRPr="00327A61">
        <w:t xml:space="preserve">, </w:t>
      </w:r>
      <w:r w:rsidR="00504562" w:rsidRPr="00327A61">
        <w:t>което е с 4</w:t>
      </w:r>
      <w:r w:rsidR="00F2053D">
        <w:t>1,6</w:t>
      </w:r>
      <w:r w:rsidR="00504562" w:rsidRPr="00327A61">
        <w:t xml:space="preserve">% по-ниско от </w:t>
      </w:r>
      <w:r w:rsidR="00942DBD" w:rsidRPr="00327A61">
        <w:t xml:space="preserve">предходната година. </w:t>
      </w:r>
    </w:p>
    <w:tbl>
      <w:tblPr>
        <w:tblW w:w="9579" w:type="dxa"/>
        <w:tblInd w:w="55" w:type="dxa"/>
        <w:tblLayout w:type="fixed"/>
        <w:tblCellMar>
          <w:left w:w="70" w:type="dxa"/>
          <w:right w:w="70" w:type="dxa"/>
        </w:tblCellMar>
        <w:tblLook w:val="0000" w:firstRow="0" w:lastRow="0" w:firstColumn="0" w:lastColumn="0" w:noHBand="0" w:noVBand="0"/>
      </w:tblPr>
      <w:tblGrid>
        <w:gridCol w:w="4515"/>
        <w:gridCol w:w="954"/>
        <w:gridCol w:w="992"/>
        <w:gridCol w:w="992"/>
        <w:gridCol w:w="1134"/>
        <w:gridCol w:w="992"/>
      </w:tblGrid>
      <w:tr w:rsidR="00BE51A2" w:rsidRPr="00327A61" w:rsidTr="008438C4">
        <w:trPr>
          <w:trHeight w:val="219"/>
        </w:trPr>
        <w:tc>
          <w:tcPr>
            <w:tcW w:w="4515" w:type="dxa"/>
            <w:tcBorders>
              <w:top w:val="single" w:sz="4" w:space="0" w:color="auto"/>
              <w:left w:val="single" w:sz="4" w:space="0" w:color="auto"/>
              <w:right w:val="single" w:sz="4" w:space="0" w:color="auto"/>
            </w:tcBorders>
            <w:shd w:val="clear" w:color="auto" w:fill="C0C0C0"/>
            <w:vAlign w:val="center"/>
          </w:tcPr>
          <w:p w:rsidR="00BE51A2" w:rsidRPr="00327A61" w:rsidRDefault="00BE51A2" w:rsidP="00F2098A">
            <w:pPr>
              <w:spacing w:beforeLines="40" w:before="96"/>
              <w:rPr>
                <w:sz w:val="22"/>
                <w:szCs w:val="22"/>
              </w:rPr>
            </w:pPr>
            <w:r w:rsidRPr="00327A61">
              <w:rPr>
                <w:sz w:val="22"/>
                <w:szCs w:val="22"/>
              </w:rPr>
              <w:t>ОТЧЕТ ЗА ПРИХОДИТЕ И РАЗХОДИТЕ</w:t>
            </w:r>
          </w:p>
        </w:tc>
        <w:tc>
          <w:tcPr>
            <w:tcW w:w="5064" w:type="dxa"/>
            <w:gridSpan w:val="5"/>
            <w:tcBorders>
              <w:top w:val="single" w:sz="8" w:space="0" w:color="auto"/>
              <w:left w:val="single" w:sz="4" w:space="0" w:color="auto"/>
              <w:right w:val="single" w:sz="8" w:space="0" w:color="000000"/>
            </w:tcBorders>
            <w:shd w:val="clear" w:color="auto" w:fill="C0C0C0"/>
            <w:vAlign w:val="center"/>
          </w:tcPr>
          <w:p w:rsidR="00BE51A2" w:rsidRPr="00327A61" w:rsidRDefault="00BE51A2" w:rsidP="00F2098A">
            <w:pPr>
              <w:spacing w:beforeLines="40" w:before="96"/>
              <w:jc w:val="center"/>
              <w:rPr>
                <w:snapToGrid w:val="0"/>
                <w:color w:val="000000"/>
                <w:sz w:val="22"/>
                <w:szCs w:val="22"/>
                <w:lang w:eastAsia="en-US"/>
              </w:rPr>
            </w:pPr>
            <w:r w:rsidRPr="00327A61">
              <w:rPr>
                <w:snapToGrid w:val="0"/>
                <w:color w:val="000000"/>
                <w:sz w:val="22"/>
                <w:szCs w:val="22"/>
                <w:lang w:eastAsia="en-US"/>
              </w:rPr>
              <w:t>20</w:t>
            </w:r>
            <w:r w:rsidR="00BC0CC1" w:rsidRPr="00327A61">
              <w:rPr>
                <w:snapToGrid w:val="0"/>
                <w:color w:val="000000"/>
                <w:sz w:val="22"/>
                <w:szCs w:val="22"/>
                <w:lang w:eastAsia="en-US"/>
              </w:rPr>
              <w:t>1</w:t>
            </w:r>
            <w:r w:rsidR="00E858C8" w:rsidRPr="00327A61">
              <w:rPr>
                <w:snapToGrid w:val="0"/>
                <w:color w:val="000000"/>
                <w:sz w:val="22"/>
                <w:szCs w:val="22"/>
                <w:lang w:eastAsia="en-US"/>
              </w:rPr>
              <w:t>7</w:t>
            </w:r>
            <w:r w:rsidRPr="00327A61">
              <w:rPr>
                <w:snapToGrid w:val="0"/>
                <w:color w:val="000000"/>
                <w:sz w:val="22"/>
                <w:szCs w:val="22"/>
                <w:lang w:eastAsia="en-US"/>
              </w:rPr>
              <w:t>г.</w:t>
            </w:r>
          </w:p>
        </w:tc>
      </w:tr>
      <w:tr w:rsidR="00BE51A2" w:rsidRPr="00327A61" w:rsidTr="008438C4">
        <w:trPr>
          <w:trHeight w:val="189"/>
        </w:trPr>
        <w:tc>
          <w:tcPr>
            <w:tcW w:w="4515" w:type="dxa"/>
            <w:tcBorders>
              <w:top w:val="single" w:sz="4" w:space="0" w:color="auto"/>
              <w:left w:val="single" w:sz="4" w:space="0" w:color="auto"/>
              <w:bottom w:val="single" w:sz="4" w:space="0" w:color="auto"/>
            </w:tcBorders>
            <w:vAlign w:val="bottom"/>
          </w:tcPr>
          <w:p w:rsidR="00BE51A2" w:rsidRPr="00327A61" w:rsidRDefault="00BE51A2" w:rsidP="00B753BD">
            <w:pPr>
              <w:spacing w:beforeLines="40" w:before="96"/>
              <w:rPr>
                <w:sz w:val="22"/>
                <w:szCs w:val="22"/>
              </w:rPr>
            </w:pPr>
          </w:p>
        </w:tc>
        <w:tc>
          <w:tcPr>
            <w:tcW w:w="954" w:type="dxa"/>
            <w:tcBorders>
              <w:top w:val="single" w:sz="4" w:space="0" w:color="auto"/>
              <w:left w:val="single" w:sz="4" w:space="0" w:color="auto"/>
              <w:bottom w:val="single" w:sz="4" w:space="0" w:color="auto"/>
              <w:right w:val="single" w:sz="4" w:space="0" w:color="auto"/>
            </w:tcBorders>
            <w:vAlign w:val="bottom"/>
          </w:tcPr>
          <w:p w:rsidR="00BE51A2" w:rsidRPr="00327A61" w:rsidRDefault="00BE51A2" w:rsidP="00B753BD">
            <w:pPr>
              <w:spacing w:beforeLines="40" w:before="96"/>
              <w:jc w:val="center"/>
              <w:rPr>
                <w:i/>
                <w:snapToGrid w:val="0"/>
                <w:color w:val="000000"/>
                <w:sz w:val="18"/>
                <w:szCs w:val="22"/>
                <w:lang w:eastAsia="en-US"/>
              </w:rPr>
            </w:pPr>
            <w:r w:rsidRPr="00327A61">
              <w:rPr>
                <w:i/>
                <w:snapToGrid w:val="0"/>
                <w:color w:val="000000"/>
                <w:sz w:val="18"/>
                <w:szCs w:val="22"/>
                <w:lang w:eastAsia="en-US"/>
              </w:rPr>
              <w:t>1</w:t>
            </w:r>
          </w:p>
        </w:tc>
        <w:tc>
          <w:tcPr>
            <w:tcW w:w="992" w:type="dxa"/>
            <w:tcBorders>
              <w:top w:val="single" w:sz="4" w:space="0" w:color="auto"/>
              <w:left w:val="single" w:sz="4" w:space="0" w:color="auto"/>
              <w:bottom w:val="single" w:sz="4" w:space="0" w:color="auto"/>
              <w:right w:val="single" w:sz="4" w:space="0" w:color="auto"/>
            </w:tcBorders>
            <w:vAlign w:val="bottom"/>
          </w:tcPr>
          <w:p w:rsidR="00BE51A2" w:rsidRPr="00327A61" w:rsidRDefault="00BE51A2" w:rsidP="00B753BD">
            <w:pPr>
              <w:spacing w:beforeLines="40" w:before="96"/>
              <w:jc w:val="center"/>
              <w:rPr>
                <w:i/>
                <w:snapToGrid w:val="0"/>
                <w:color w:val="000000"/>
                <w:sz w:val="18"/>
                <w:szCs w:val="22"/>
                <w:lang w:eastAsia="en-US"/>
              </w:rPr>
            </w:pPr>
            <w:r w:rsidRPr="00327A61">
              <w:rPr>
                <w:i/>
                <w:snapToGrid w:val="0"/>
                <w:color w:val="000000"/>
                <w:sz w:val="18"/>
                <w:szCs w:val="22"/>
                <w:lang w:eastAsia="en-US"/>
              </w:rPr>
              <w:t>2</w:t>
            </w:r>
          </w:p>
        </w:tc>
        <w:tc>
          <w:tcPr>
            <w:tcW w:w="992" w:type="dxa"/>
            <w:tcBorders>
              <w:top w:val="single" w:sz="4" w:space="0" w:color="auto"/>
              <w:left w:val="single" w:sz="4" w:space="0" w:color="auto"/>
              <w:bottom w:val="single" w:sz="4" w:space="0" w:color="auto"/>
              <w:right w:val="single" w:sz="4" w:space="0" w:color="auto"/>
            </w:tcBorders>
            <w:vAlign w:val="bottom"/>
          </w:tcPr>
          <w:p w:rsidR="00BE51A2" w:rsidRPr="00327A61" w:rsidRDefault="00BE51A2" w:rsidP="00B753BD">
            <w:pPr>
              <w:spacing w:beforeLines="40" w:before="96"/>
              <w:jc w:val="right"/>
              <w:rPr>
                <w:i/>
                <w:snapToGrid w:val="0"/>
                <w:color w:val="000000"/>
                <w:sz w:val="18"/>
                <w:szCs w:val="22"/>
                <w:lang w:eastAsia="en-US"/>
              </w:rPr>
            </w:pPr>
          </w:p>
        </w:tc>
        <w:tc>
          <w:tcPr>
            <w:tcW w:w="1134" w:type="dxa"/>
            <w:tcBorders>
              <w:top w:val="single" w:sz="4" w:space="0" w:color="auto"/>
              <w:left w:val="single" w:sz="4" w:space="0" w:color="auto"/>
              <w:bottom w:val="single" w:sz="4" w:space="0" w:color="auto"/>
              <w:right w:val="single" w:sz="4" w:space="0" w:color="auto"/>
            </w:tcBorders>
            <w:vAlign w:val="bottom"/>
          </w:tcPr>
          <w:p w:rsidR="00BE51A2" w:rsidRPr="00327A61" w:rsidRDefault="00BE51A2" w:rsidP="00B753BD">
            <w:pPr>
              <w:spacing w:beforeLines="40" w:before="96"/>
              <w:jc w:val="center"/>
              <w:rPr>
                <w:i/>
                <w:snapToGrid w:val="0"/>
                <w:color w:val="000000"/>
                <w:sz w:val="18"/>
                <w:szCs w:val="22"/>
                <w:lang w:eastAsia="en-US"/>
              </w:rPr>
            </w:pPr>
            <w:r w:rsidRPr="00327A61">
              <w:rPr>
                <w:i/>
                <w:snapToGrid w:val="0"/>
                <w:color w:val="000000"/>
                <w:sz w:val="18"/>
                <w:szCs w:val="22"/>
                <w:lang w:eastAsia="en-US"/>
              </w:rPr>
              <w:t>3</w:t>
            </w:r>
          </w:p>
        </w:tc>
        <w:tc>
          <w:tcPr>
            <w:tcW w:w="992" w:type="dxa"/>
            <w:tcBorders>
              <w:top w:val="single" w:sz="4" w:space="0" w:color="auto"/>
              <w:left w:val="single" w:sz="4" w:space="0" w:color="auto"/>
              <w:bottom w:val="single" w:sz="4" w:space="0" w:color="auto"/>
              <w:right w:val="single" w:sz="4" w:space="0" w:color="auto"/>
            </w:tcBorders>
            <w:vAlign w:val="bottom"/>
          </w:tcPr>
          <w:p w:rsidR="00BE51A2" w:rsidRPr="00327A61" w:rsidRDefault="00BE51A2" w:rsidP="00B753BD">
            <w:pPr>
              <w:spacing w:beforeLines="40" w:before="96"/>
              <w:jc w:val="right"/>
              <w:rPr>
                <w:snapToGrid w:val="0"/>
                <w:color w:val="000000"/>
                <w:sz w:val="22"/>
                <w:szCs w:val="22"/>
                <w:lang w:eastAsia="en-US"/>
              </w:rPr>
            </w:pPr>
          </w:p>
        </w:tc>
      </w:tr>
      <w:tr w:rsidR="00BE51A2" w:rsidRPr="00327A61" w:rsidTr="008438C4">
        <w:trPr>
          <w:trHeight w:val="415"/>
        </w:trPr>
        <w:tc>
          <w:tcPr>
            <w:tcW w:w="4515" w:type="dxa"/>
            <w:tcBorders>
              <w:top w:val="single" w:sz="4" w:space="0" w:color="auto"/>
              <w:left w:val="single" w:sz="4" w:space="0" w:color="auto"/>
              <w:right w:val="nil"/>
            </w:tcBorders>
            <w:vAlign w:val="bottom"/>
          </w:tcPr>
          <w:p w:rsidR="00BE51A2" w:rsidRPr="00327A61" w:rsidRDefault="00BE51A2" w:rsidP="00513989">
            <w:pPr>
              <w:rPr>
                <w:sz w:val="22"/>
                <w:szCs w:val="22"/>
              </w:rPr>
            </w:pPr>
            <w:r w:rsidRPr="00327A61">
              <w:rPr>
                <w:sz w:val="22"/>
                <w:szCs w:val="22"/>
              </w:rPr>
              <w:t>в хил. лева</w:t>
            </w:r>
          </w:p>
        </w:tc>
        <w:tc>
          <w:tcPr>
            <w:tcW w:w="954" w:type="dxa"/>
            <w:tcBorders>
              <w:top w:val="single" w:sz="4" w:space="0" w:color="auto"/>
              <w:left w:val="single" w:sz="4" w:space="0" w:color="auto"/>
              <w:bottom w:val="single" w:sz="4" w:space="0" w:color="auto"/>
              <w:right w:val="single" w:sz="4" w:space="0" w:color="auto"/>
            </w:tcBorders>
            <w:vAlign w:val="center"/>
          </w:tcPr>
          <w:p w:rsidR="00513989" w:rsidRPr="00327A61" w:rsidRDefault="00513989" w:rsidP="00513989">
            <w:pPr>
              <w:jc w:val="center"/>
              <w:rPr>
                <w:snapToGrid w:val="0"/>
                <w:color w:val="000000"/>
                <w:sz w:val="22"/>
                <w:szCs w:val="22"/>
                <w:lang w:eastAsia="en-US"/>
              </w:rPr>
            </w:pPr>
            <w:r w:rsidRPr="00327A61">
              <w:rPr>
                <w:snapToGrid w:val="0"/>
                <w:color w:val="000000"/>
                <w:sz w:val="22"/>
                <w:szCs w:val="22"/>
                <w:lang w:eastAsia="en-US"/>
              </w:rPr>
              <w:t>2017г.</w:t>
            </w:r>
          </w:p>
        </w:tc>
        <w:tc>
          <w:tcPr>
            <w:tcW w:w="992" w:type="dxa"/>
            <w:tcBorders>
              <w:top w:val="single" w:sz="4" w:space="0" w:color="auto"/>
              <w:left w:val="nil"/>
              <w:bottom w:val="single" w:sz="4" w:space="0" w:color="auto"/>
              <w:right w:val="single" w:sz="4" w:space="0" w:color="auto"/>
            </w:tcBorders>
            <w:vAlign w:val="center"/>
          </w:tcPr>
          <w:p w:rsidR="00BE51A2" w:rsidRPr="00327A61" w:rsidRDefault="00BE51A2" w:rsidP="00B753BD">
            <w:pPr>
              <w:jc w:val="center"/>
              <w:rPr>
                <w:snapToGrid w:val="0"/>
                <w:color w:val="000000"/>
                <w:sz w:val="22"/>
                <w:szCs w:val="22"/>
                <w:lang w:eastAsia="en-US"/>
              </w:rPr>
            </w:pPr>
            <w:r w:rsidRPr="00327A61">
              <w:rPr>
                <w:snapToGrid w:val="0"/>
                <w:color w:val="000000"/>
                <w:sz w:val="22"/>
                <w:szCs w:val="22"/>
                <w:lang w:eastAsia="en-US"/>
              </w:rPr>
              <w:t>бизнес план</w:t>
            </w:r>
          </w:p>
        </w:tc>
        <w:tc>
          <w:tcPr>
            <w:tcW w:w="992" w:type="dxa"/>
            <w:tcBorders>
              <w:top w:val="single" w:sz="4" w:space="0" w:color="auto"/>
              <w:left w:val="nil"/>
              <w:bottom w:val="single" w:sz="4" w:space="0" w:color="auto"/>
              <w:right w:val="nil"/>
            </w:tcBorders>
            <w:vAlign w:val="center"/>
          </w:tcPr>
          <w:p w:rsidR="00BE51A2" w:rsidRPr="00327A61" w:rsidRDefault="00BE51A2" w:rsidP="00B753BD">
            <w:pPr>
              <w:jc w:val="center"/>
              <w:rPr>
                <w:snapToGrid w:val="0"/>
                <w:color w:val="000000"/>
                <w:sz w:val="22"/>
                <w:szCs w:val="22"/>
                <w:lang w:eastAsia="en-US"/>
              </w:rPr>
            </w:pPr>
            <w:r w:rsidRPr="00327A61">
              <w:rPr>
                <w:snapToGrid w:val="0"/>
                <w:color w:val="000000"/>
                <w:sz w:val="22"/>
                <w:szCs w:val="22"/>
                <w:lang w:eastAsia="en-US"/>
              </w:rPr>
              <w:t>1/2 (%)</w:t>
            </w:r>
          </w:p>
        </w:tc>
        <w:tc>
          <w:tcPr>
            <w:tcW w:w="1134" w:type="dxa"/>
            <w:tcBorders>
              <w:top w:val="single" w:sz="4" w:space="0" w:color="auto"/>
              <w:left w:val="single" w:sz="4" w:space="0" w:color="auto"/>
              <w:bottom w:val="single" w:sz="4" w:space="0" w:color="auto"/>
              <w:right w:val="single" w:sz="4" w:space="0" w:color="auto"/>
            </w:tcBorders>
            <w:vAlign w:val="center"/>
          </w:tcPr>
          <w:p w:rsidR="00BE51A2" w:rsidRPr="00327A61" w:rsidRDefault="00513989" w:rsidP="00B753BD">
            <w:pPr>
              <w:jc w:val="center"/>
              <w:rPr>
                <w:snapToGrid w:val="0"/>
                <w:color w:val="000000"/>
                <w:sz w:val="22"/>
                <w:szCs w:val="22"/>
                <w:lang w:eastAsia="en-US"/>
              </w:rPr>
            </w:pPr>
            <w:r w:rsidRPr="00327A61">
              <w:rPr>
                <w:snapToGrid w:val="0"/>
                <w:color w:val="000000"/>
                <w:sz w:val="22"/>
                <w:szCs w:val="22"/>
                <w:lang w:eastAsia="en-US"/>
              </w:rPr>
              <w:t>2016г.</w:t>
            </w:r>
          </w:p>
        </w:tc>
        <w:tc>
          <w:tcPr>
            <w:tcW w:w="992" w:type="dxa"/>
            <w:tcBorders>
              <w:top w:val="single" w:sz="4" w:space="0" w:color="auto"/>
              <w:left w:val="nil"/>
              <w:bottom w:val="single" w:sz="4" w:space="0" w:color="auto"/>
              <w:right w:val="single" w:sz="4" w:space="0" w:color="auto"/>
            </w:tcBorders>
            <w:vAlign w:val="center"/>
          </w:tcPr>
          <w:p w:rsidR="00BE51A2" w:rsidRPr="00327A61" w:rsidRDefault="00BE51A2" w:rsidP="00B753BD">
            <w:pPr>
              <w:rPr>
                <w:snapToGrid w:val="0"/>
                <w:color w:val="000000"/>
                <w:sz w:val="22"/>
                <w:szCs w:val="22"/>
                <w:lang w:val="en-US" w:eastAsia="en-US"/>
              </w:rPr>
            </w:pPr>
            <w:r w:rsidRPr="00327A61">
              <w:rPr>
                <w:snapToGrid w:val="0"/>
                <w:color w:val="000000"/>
                <w:sz w:val="22"/>
                <w:szCs w:val="22"/>
                <w:lang w:val="en-US" w:eastAsia="en-US"/>
              </w:rPr>
              <w:t> 1/3 (%)</w:t>
            </w:r>
          </w:p>
        </w:tc>
      </w:tr>
      <w:tr w:rsidR="00F2053D" w:rsidRPr="00327A61" w:rsidTr="008438C4">
        <w:trPr>
          <w:trHeight w:val="268"/>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rPr>
                <w:b/>
                <w:sz w:val="22"/>
                <w:szCs w:val="22"/>
              </w:rPr>
            </w:pPr>
            <w:r w:rsidRPr="00327A61">
              <w:rPr>
                <w:b/>
                <w:sz w:val="22"/>
                <w:szCs w:val="22"/>
              </w:rPr>
              <w:t>Нетни приходи от продажби, в т.ч.:</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lang w:eastAsia="bg-BG"/>
              </w:rPr>
            </w:pPr>
            <w:r w:rsidRPr="00327A61">
              <w:rPr>
                <w:rFonts w:ascii="Arial" w:hAnsi="Arial" w:cs="Arial"/>
                <w:sz w:val="20"/>
                <w:szCs w:val="20"/>
              </w:rPr>
              <w:t>5 414</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5 496</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-1.5%</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lang w:eastAsia="bg-BG"/>
              </w:rPr>
            </w:pPr>
            <w:r>
              <w:rPr>
                <w:rFonts w:ascii="Arial" w:hAnsi="Arial" w:cs="Arial"/>
                <w:sz w:val="20"/>
                <w:szCs w:val="20"/>
              </w:rPr>
              <w:t>6 360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-14.9%</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pPr>
            <w:r w:rsidRPr="00327A61">
              <w:t>- приходи от претоварна дейност</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3 095</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3 066</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0.9%</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3 700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-16.4%</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pPr>
            <w:r w:rsidRPr="00327A61">
              <w:t>- други</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2 319</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2 430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-4.6%</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2 660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-12.8%</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pPr>
            <w:r w:rsidRPr="00327A61">
              <w:t>Разходи за материали и външни услуги</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1 443</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1 640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-12.0%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1 343</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7.4%</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pPr>
            <w:r w:rsidRPr="00327A61">
              <w:t>Разходи за възнаграждения и соц.осигуровки</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2 761</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2 719</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1.5%</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3 049</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-9.4%</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pPr>
            <w:r w:rsidRPr="00327A61">
              <w:t>Други разходи</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147</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157</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-6.4%</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322</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-54.3%</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pPr>
            <w:r w:rsidRPr="00327A61">
              <w:t>Суми с корективен характер</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center"/>
              <w:rPr>
                <w:rFonts w:ascii="Arial" w:hAnsi="Arial" w:cs="Arial"/>
                <w:sz w:val="20"/>
                <w:szCs w:val="20"/>
              </w:rPr>
            </w:pPr>
            <w:r w:rsidRPr="00327A61">
              <w:rPr>
                <w:rFonts w:ascii="Arial" w:hAnsi="Arial" w:cs="Arial"/>
                <w:sz w:val="20"/>
                <w:szCs w:val="20"/>
              </w:rPr>
              <w:t>-</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center"/>
              <w:rPr>
                <w:rFonts w:ascii="Arial" w:hAnsi="Arial" w:cs="Arial"/>
                <w:sz w:val="20"/>
                <w:szCs w:val="20"/>
              </w:rPr>
            </w:pPr>
            <w:r>
              <w:rPr>
                <w:rFonts w:ascii="Arial" w:hAnsi="Arial" w:cs="Arial"/>
                <w:sz w:val="20"/>
                <w:szCs w:val="20"/>
              </w:rPr>
              <w:t>#DIV/0!</w:t>
            </w:r>
          </w:p>
        </w:tc>
      </w:tr>
      <w:tr w:rsidR="00F2053D" w:rsidRPr="00327A61" w:rsidTr="008438C4">
        <w:trPr>
          <w:trHeight w:val="390"/>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rPr>
                <w:b/>
                <w:lang w:val="ru-RU"/>
              </w:rPr>
            </w:pPr>
            <w:r w:rsidRPr="00327A61">
              <w:rPr>
                <w:b/>
              </w:rPr>
              <w:t xml:space="preserve">Печалба преди лихви, данъци  и амортизации </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1 063</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980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8.5%</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b/>
                <w:bCs/>
                <w:sz w:val="20"/>
                <w:szCs w:val="20"/>
              </w:rPr>
            </w:pPr>
            <w:r>
              <w:rPr>
                <w:rFonts w:ascii="Arial" w:hAnsi="Arial" w:cs="Arial"/>
                <w:b/>
                <w:bCs/>
                <w:sz w:val="20"/>
                <w:szCs w:val="20"/>
              </w:rPr>
              <w:t>1 646</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b/>
                <w:bCs/>
                <w:sz w:val="20"/>
                <w:szCs w:val="20"/>
              </w:rPr>
            </w:pPr>
            <w:r>
              <w:rPr>
                <w:rFonts w:ascii="Arial" w:hAnsi="Arial" w:cs="Arial"/>
                <w:b/>
                <w:bCs/>
                <w:sz w:val="20"/>
                <w:szCs w:val="20"/>
              </w:rPr>
              <w:t>-35.4%</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pPr>
            <w:r w:rsidRPr="00327A61">
              <w:t>Разходи за амортизации</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433</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448</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-3.3%</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436</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-0.7%</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rPr>
                <w:b/>
              </w:rPr>
            </w:pPr>
            <w:r w:rsidRPr="00327A61">
              <w:rPr>
                <w:b/>
              </w:rPr>
              <w:t xml:space="preserve">Печалба преди лихви, данъци и финансирания </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630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532</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18.4%</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b/>
                <w:bCs/>
                <w:sz w:val="20"/>
                <w:szCs w:val="20"/>
              </w:rPr>
            </w:pPr>
            <w:r>
              <w:rPr>
                <w:rFonts w:ascii="Arial" w:hAnsi="Arial" w:cs="Arial"/>
                <w:b/>
                <w:bCs/>
                <w:sz w:val="20"/>
                <w:szCs w:val="20"/>
              </w:rPr>
              <w:t>1 210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b/>
                <w:bCs/>
                <w:sz w:val="20"/>
                <w:szCs w:val="20"/>
              </w:rPr>
            </w:pPr>
            <w:r>
              <w:rPr>
                <w:rFonts w:ascii="Arial" w:hAnsi="Arial" w:cs="Arial"/>
                <w:b/>
                <w:bCs/>
                <w:sz w:val="20"/>
                <w:szCs w:val="20"/>
              </w:rPr>
              <w:t>-47.9%</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pPr>
            <w:r w:rsidRPr="00327A61">
              <w:t>Финансирания</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center"/>
              <w:rPr>
                <w:rFonts w:ascii="Arial" w:hAnsi="Arial" w:cs="Arial"/>
                <w:sz w:val="20"/>
                <w:szCs w:val="20"/>
              </w:rPr>
            </w:pPr>
            <w:r w:rsidRPr="00327A61">
              <w:rPr>
                <w:rFonts w:ascii="Arial" w:hAnsi="Arial" w:cs="Arial"/>
                <w:sz w:val="20"/>
                <w:szCs w:val="20"/>
              </w:rPr>
              <w:t>-</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15</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-100.0%</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pPr>
            <w:r w:rsidRPr="00327A61">
              <w:t>Нетни финансови приходи (разходи)</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-30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-175.0%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-197</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-84.8%</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rPr>
                <w:b/>
              </w:rPr>
            </w:pPr>
            <w:r w:rsidRPr="00327A61">
              <w:rPr>
                <w:b/>
              </w:rPr>
              <w:t>Печалба преди извънредни приходи (разходи)</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600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572</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4.9%</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b/>
                <w:bCs/>
                <w:sz w:val="20"/>
                <w:szCs w:val="20"/>
              </w:rPr>
            </w:pPr>
            <w:r>
              <w:rPr>
                <w:rFonts w:ascii="Arial" w:hAnsi="Arial" w:cs="Arial"/>
                <w:b/>
                <w:bCs/>
                <w:sz w:val="20"/>
                <w:szCs w:val="20"/>
              </w:rPr>
              <w:t>1 028</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b/>
                <w:bCs/>
                <w:sz w:val="20"/>
                <w:szCs w:val="20"/>
              </w:rPr>
            </w:pPr>
            <w:r>
              <w:rPr>
                <w:rFonts w:ascii="Arial" w:hAnsi="Arial" w:cs="Arial"/>
                <w:b/>
                <w:bCs/>
                <w:sz w:val="20"/>
                <w:szCs w:val="20"/>
              </w:rPr>
              <w:t>-41.6%</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pPr>
            <w:r w:rsidRPr="00327A61">
              <w:t>Нетни извънредни приходи (разходи)</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rPr>
                <w:rFonts w:ascii="Arial" w:hAnsi="Arial" w:cs="Arial"/>
                <w:sz w:val="20"/>
                <w:szCs w:val="20"/>
              </w:rPr>
            </w:pPr>
            <w:r w:rsidRPr="00327A61">
              <w:rPr>
                <w:rFonts w:ascii="Arial" w:hAnsi="Arial" w:cs="Arial"/>
                <w:sz w:val="20"/>
                <w:szCs w:val="20"/>
              </w:rPr>
              <w:t> </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rPr>
                <w:rFonts w:ascii="Arial" w:hAnsi="Arial" w:cs="Arial"/>
                <w:sz w:val="20"/>
                <w:szCs w:val="20"/>
              </w:rPr>
            </w:pPr>
            <w:r>
              <w:rPr>
                <w:rFonts w:ascii="Arial" w:hAnsi="Arial" w:cs="Arial"/>
                <w:sz w:val="20"/>
                <w:szCs w:val="20"/>
              </w:rPr>
              <w:t> </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rPr>
                <w:b/>
              </w:rPr>
            </w:pPr>
            <w:r w:rsidRPr="00327A61">
              <w:rPr>
                <w:b/>
              </w:rPr>
              <w:t xml:space="preserve">Печалба преди данъци </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600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572</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4.9%</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b/>
                <w:bCs/>
                <w:sz w:val="20"/>
                <w:szCs w:val="20"/>
              </w:rPr>
            </w:pPr>
            <w:r>
              <w:rPr>
                <w:rFonts w:ascii="Arial" w:hAnsi="Arial" w:cs="Arial"/>
                <w:b/>
                <w:bCs/>
                <w:sz w:val="20"/>
                <w:szCs w:val="20"/>
              </w:rPr>
              <w:t>1 028</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b/>
                <w:bCs/>
                <w:sz w:val="20"/>
                <w:szCs w:val="20"/>
              </w:rPr>
            </w:pPr>
            <w:r>
              <w:rPr>
                <w:rFonts w:ascii="Arial" w:hAnsi="Arial" w:cs="Arial"/>
                <w:b/>
                <w:bCs/>
                <w:sz w:val="20"/>
                <w:szCs w:val="20"/>
              </w:rPr>
              <w:t>-41.6%</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pPr>
            <w:r w:rsidRPr="00327A61">
              <w:t>Разходи за данъци</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57</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sz w:val="20"/>
                <w:szCs w:val="20"/>
              </w:rPr>
            </w:pPr>
            <w:r w:rsidRPr="00327A61">
              <w:rPr>
                <w:rFonts w:ascii="Arial" w:hAnsi="Arial" w:cs="Arial"/>
                <w:sz w:val="20"/>
                <w:szCs w:val="20"/>
              </w:rPr>
              <w:t>4.9%</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102</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sz w:val="20"/>
                <w:szCs w:val="20"/>
              </w:rPr>
            </w:pPr>
            <w:r>
              <w:rPr>
                <w:rFonts w:ascii="Arial" w:hAnsi="Arial" w:cs="Arial"/>
                <w:sz w:val="20"/>
                <w:szCs w:val="20"/>
              </w:rPr>
              <w:t>-41.2%</w:t>
            </w:r>
          </w:p>
        </w:tc>
      </w:tr>
      <w:tr w:rsidR="00F2053D" w:rsidRPr="00327A61" w:rsidTr="008438C4">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F2053D" w:rsidRPr="00327A61" w:rsidRDefault="00F2053D" w:rsidP="00F2053D">
            <w:pPr>
              <w:spacing w:beforeLines="40" w:before="96"/>
            </w:pPr>
            <w:r w:rsidRPr="00327A61">
              <w:rPr>
                <w:b/>
              </w:rPr>
              <w:t>Чиста печалба</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540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515</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Pr="00327A61" w:rsidRDefault="00F2053D" w:rsidP="00F2053D">
            <w:pPr>
              <w:jc w:val="right"/>
              <w:rPr>
                <w:rFonts w:ascii="Arial" w:hAnsi="Arial" w:cs="Arial"/>
                <w:b/>
                <w:bCs/>
                <w:sz w:val="20"/>
                <w:szCs w:val="20"/>
              </w:rPr>
            </w:pPr>
            <w:r w:rsidRPr="00327A61">
              <w:rPr>
                <w:rFonts w:ascii="Arial" w:hAnsi="Arial" w:cs="Arial"/>
                <w:b/>
                <w:bCs/>
                <w:sz w:val="20"/>
                <w:szCs w:val="20"/>
              </w:rPr>
              <w:t>4.9%</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b/>
                <w:bCs/>
                <w:sz w:val="20"/>
                <w:szCs w:val="20"/>
              </w:rPr>
            </w:pPr>
            <w:r>
              <w:rPr>
                <w:rFonts w:ascii="Arial" w:hAnsi="Arial" w:cs="Arial"/>
                <w:b/>
                <w:bCs/>
                <w:sz w:val="20"/>
                <w:szCs w:val="20"/>
              </w:rPr>
              <w:t>926</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F2053D" w:rsidRDefault="00F2053D" w:rsidP="00F2053D">
            <w:pPr>
              <w:jc w:val="right"/>
              <w:rPr>
                <w:rFonts w:ascii="Arial" w:hAnsi="Arial" w:cs="Arial"/>
                <w:b/>
                <w:bCs/>
                <w:sz w:val="20"/>
                <w:szCs w:val="20"/>
              </w:rPr>
            </w:pPr>
            <w:r>
              <w:rPr>
                <w:rFonts w:ascii="Arial" w:hAnsi="Arial" w:cs="Arial"/>
                <w:b/>
                <w:bCs/>
                <w:sz w:val="20"/>
                <w:szCs w:val="20"/>
              </w:rPr>
              <w:t>-41.7%</w:t>
            </w:r>
          </w:p>
        </w:tc>
      </w:tr>
    </w:tbl>
    <w:p w:rsidR="00D17BBE" w:rsidRDefault="00D17BBE" w:rsidP="008438C4">
      <w:pPr>
        <w:pStyle w:val="BodyTextIndent"/>
        <w:spacing w:after="120"/>
        <w:ind w:firstLine="709"/>
        <w:rPr>
          <w:rFonts w:eastAsia="Times New Roman"/>
          <w:i/>
          <w:u w:val="single"/>
          <w:lang w:eastAsia="bg-BG"/>
        </w:rPr>
      </w:pPr>
    </w:p>
    <w:p w:rsidR="008438C4" w:rsidRPr="00327A61" w:rsidRDefault="008438C4" w:rsidP="008438C4">
      <w:pPr>
        <w:pStyle w:val="BodyTextIndent"/>
        <w:spacing w:after="120"/>
        <w:ind w:firstLine="709"/>
        <w:rPr>
          <w:rFonts w:eastAsia="Times New Roman"/>
          <w:lang w:eastAsia="bg-BG"/>
        </w:rPr>
      </w:pPr>
      <w:r w:rsidRPr="00327A61">
        <w:rPr>
          <w:rFonts w:eastAsia="Times New Roman"/>
          <w:i/>
          <w:u w:val="single"/>
          <w:lang w:eastAsia="bg-BG"/>
        </w:rPr>
        <w:t>Структурата на приходите</w:t>
      </w:r>
      <w:r w:rsidRPr="00327A61">
        <w:rPr>
          <w:rFonts w:eastAsia="Times New Roman"/>
          <w:lang w:eastAsia="bg-BG"/>
        </w:rPr>
        <w:t xml:space="preserve"> на „Пристанищен комплекс-Русе“ ЕАД няма съществени изменения през годините. </w:t>
      </w:r>
      <w:r w:rsidRPr="00327A61">
        <w:rPr>
          <w:rFonts w:eastAsia="Times New Roman"/>
          <w:i/>
          <w:lang w:eastAsia="bg-BG"/>
        </w:rPr>
        <w:t>Нетните приходи от продажби</w:t>
      </w:r>
      <w:r w:rsidRPr="00327A61">
        <w:rPr>
          <w:rFonts w:eastAsia="Times New Roman"/>
          <w:lang w:eastAsia="bg-BG"/>
        </w:rPr>
        <w:t xml:space="preserve"> представляват 99.6% от общите приходи на дружеството. </w:t>
      </w:r>
      <w:r w:rsidRPr="00327A61">
        <w:rPr>
          <w:rFonts w:eastAsia="Times New Roman"/>
          <w:i/>
          <w:lang w:eastAsia="bg-BG"/>
        </w:rPr>
        <w:t>Приходи от финансирания</w:t>
      </w:r>
      <w:r w:rsidRPr="00327A61">
        <w:rPr>
          <w:rFonts w:eastAsia="Times New Roman"/>
          <w:lang w:eastAsia="bg-BG"/>
        </w:rPr>
        <w:t xml:space="preserve"> няма през 2017г., а </w:t>
      </w:r>
      <w:r w:rsidRPr="00327A61">
        <w:rPr>
          <w:rFonts w:eastAsia="Times New Roman"/>
          <w:i/>
          <w:lang w:eastAsia="bg-BG"/>
        </w:rPr>
        <w:t xml:space="preserve">Приходите от финансовата дейност </w:t>
      </w:r>
      <w:r w:rsidRPr="00327A61">
        <w:rPr>
          <w:rFonts w:eastAsia="Times New Roman"/>
          <w:lang w:eastAsia="bg-BG"/>
        </w:rPr>
        <w:t>са</w:t>
      </w:r>
      <w:r w:rsidRPr="00327A61">
        <w:rPr>
          <w:rFonts w:eastAsia="Times New Roman"/>
          <w:i/>
          <w:lang w:eastAsia="bg-BG"/>
        </w:rPr>
        <w:t xml:space="preserve"> </w:t>
      </w:r>
      <w:r w:rsidRPr="00327A61">
        <w:rPr>
          <w:rFonts w:eastAsia="Times New Roman"/>
          <w:lang w:eastAsia="bg-BG"/>
        </w:rPr>
        <w:t>с -30 хил.лв. по-малко от финансовите разходите, които са формирани от обезценката на паричните средства в КТБ АД и отрицателните валутни курсови разлики за годината.</w:t>
      </w:r>
    </w:p>
    <w:p w:rsidR="00D75523" w:rsidRPr="00327A61" w:rsidRDefault="00797519" w:rsidP="00D75523">
      <w:pPr>
        <w:spacing w:after="120"/>
        <w:jc w:val="center"/>
      </w:pPr>
      <w:r w:rsidRPr="00327A61">
        <w:rPr>
          <w:noProof/>
          <w:lang w:eastAsia="bg-BG"/>
        </w:rPr>
        <w:lastRenderedPageBreak/>
        <w:drawing>
          <wp:inline distT="0" distB="0" distL="0" distR="0">
            <wp:extent cx="4377055" cy="2522220"/>
            <wp:effectExtent l="0" t="0" r="0" b="0"/>
            <wp:docPr id="10" name="Ди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8438C4" w:rsidRPr="00327A61" w:rsidRDefault="008438C4" w:rsidP="008438C4">
      <w:pPr>
        <w:pStyle w:val="BodyTextIndent"/>
        <w:spacing w:after="120"/>
        <w:ind w:firstLine="709"/>
        <w:rPr>
          <w:rFonts w:eastAsia="Times New Roman"/>
          <w:lang w:eastAsia="bg-BG"/>
        </w:rPr>
      </w:pPr>
    </w:p>
    <w:p w:rsidR="008438C4" w:rsidRPr="00327A61" w:rsidRDefault="008438C4" w:rsidP="008438C4">
      <w:pPr>
        <w:pStyle w:val="BodyTextIndent"/>
        <w:spacing w:after="120"/>
        <w:ind w:firstLine="709"/>
      </w:pPr>
      <w:bookmarkStart w:id="45" w:name="_Hlk506994477"/>
      <w:r w:rsidRPr="00327A61">
        <w:rPr>
          <w:rFonts w:eastAsia="Times New Roman"/>
          <w:lang w:eastAsia="bg-BG"/>
        </w:rPr>
        <w:t xml:space="preserve">За 2017г. </w:t>
      </w:r>
      <w:r w:rsidRPr="00327A61">
        <w:rPr>
          <w:rFonts w:eastAsia="Times New Roman"/>
          <w:i/>
          <w:u w:val="single"/>
          <w:lang w:eastAsia="bg-BG"/>
        </w:rPr>
        <w:t>разходите по икономически елементи</w:t>
      </w:r>
      <w:r w:rsidRPr="00327A61">
        <w:rPr>
          <w:rFonts w:eastAsia="Times New Roman"/>
          <w:lang w:eastAsia="bg-BG"/>
        </w:rPr>
        <w:t xml:space="preserve"> възлизат на 4 784 хил.лв. при 5 150 хил.лв. през 2016г. По този начин се отчита намаление на разходите в размер на -366 хил.лв. (-7%). Най-отчетливо това намаление се наблюдава при </w:t>
      </w:r>
      <w:r w:rsidRPr="00327A61">
        <w:rPr>
          <w:rFonts w:eastAsia="Times New Roman"/>
          <w:i/>
          <w:lang w:eastAsia="bg-BG"/>
        </w:rPr>
        <w:t>Разходите за персонала</w:t>
      </w:r>
      <w:r w:rsidRPr="00327A61">
        <w:rPr>
          <w:rFonts w:eastAsia="Times New Roman"/>
          <w:lang w:eastAsia="bg-BG"/>
        </w:rPr>
        <w:t xml:space="preserve"> (заплати и осигуровки), които общо намаляват с -288 хил.лв. /-9%/, както и при </w:t>
      </w:r>
      <w:r w:rsidRPr="00327A61">
        <w:rPr>
          <w:rFonts w:eastAsia="Times New Roman"/>
          <w:i/>
          <w:lang w:eastAsia="bg-BG"/>
        </w:rPr>
        <w:t>Други разходи</w:t>
      </w:r>
      <w:r w:rsidRPr="00327A61">
        <w:rPr>
          <w:rFonts w:eastAsia="Times New Roman"/>
          <w:lang w:eastAsia="bg-BG"/>
        </w:rPr>
        <w:t xml:space="preserve"> с -175 хил.лв. /-54%/.</w:t>
      </w:r>
    </w:p>
    <w:p w:rsidR="003452DE" w:rsidRPr="00327A61" w:rsidRDefault="00F12F2D" w:rsidP="008438C4">
      <w:pPr>
        <w:spacing w:after="120"/>
        <w:ind w:firstLine="709"/>
        <w:jc w:val="both"/>
        <w:rPr>
          <w:b/>
        </w:rPr>
      </w:pPr>
      <w:r w:rsidRPr="00327A61">
        <w:rPr>
          <w:rFonts w:eastAsia="Times New Roman"/>
          <w:lang w:eastAsia="bg-BG"/>
        </w:rPr>
        <w:t xml:space="preserve">  </w:t>
      </w:r>
      <w:r w:rsidR="003452DE" w:rsidRPr="00327A61">
        <w:rPr>
          <w:b/>
        </w:rPr>
        <w:t>Изменение на разходите по отделни елементи:</w:t>
      </w:r>
    </w:p>
    <w:p w:rsidR="003452DE" w:rsidRPr="00327A61" w:rsidRDefault="003452DE" w:rsidP="00DD76F5">
      <w:pPr>
        <w:numPr>
          <w:ilvl w:val="0"/>
          <w:numId w:val="3"/>
        </w:numPr>
        <w:tabs>
          <w:tab w:val="clear" w:pos="113"/>
          <w:tab w:val="num" w:pos="851"/>
        </w:tabs>
        <w:spacing w:after="120"/>
        <w:ind w:firstLine="567"/>
        <w:jc w:val="both"/>
      </w:pPr>
      <w:r w:rsidRPr="00327A61">
        <w:t>При разходите за</w:t>
      </w:r>
      <w:r w:rsidRPr="00327A61">
        <w:rPr>
          <w:b/>
        </w:rPr>
        <w:t xml:space="preserve"> </w:t>
      </w:r>
      <w:r w:rsidRPr="00327A61">
        <w:rPr>
          <w:b/>
          <w:i/>
        </w:rPr>
        <w:t>материали</w:t>
      </w:r>
      <w:r w:rsidRPr="00327A61">
        <w:rPr>
          <w:b/>
        </w:rPr>
        <w:t xml:space="preserve"> </w:t>
      </w:r>
      <w:r w:rsidRPr="00327A61">
        <w:t xml:space="preserve">е отчетено намаление от </w:t>
      </w:r>
      <w:r w:rsidR="007F1D39" w:rsidRPr="00327A61">
        <w:t>-</w:t>
      </w:r>
      <w:r w:rsidR="00FC2AB5" w:rsidRPr="00327A61">
        <w:t>5</w:t>
      </w:r>
      <w:r w:rsidRPr="00327A61">
        <w:t xml:space="preserve"> % (-</w:t>
      </w:r>
      <w:r w:rsidR="00FC2AB5" w:rsidRPr="00327A61">
        <w:t>29</w:t>
      </w:r>
      <w:r w:rsidRPr="00327A61">
        <w:t xml:space="preserve"> хил.лв.) спрямо предходната 201</w:t>
      </w:r>
      <w:r w:rsidR="00FC2AB5" w:rsidRPr="00327A61">
        <w:t>6</w:t>
      </w:r>
      <w:r w:rsidRPr="00327A61">
        <w:t>г.</w:t>
      </w:r>
      <w:r w:rsidR="00A44C24" w:rsidRPr="00327A61">
        <w:t xml:space="preserve"> </w:t>
      </w:r>
      <w:r w:rsidRPr="00327A61">
        <w:t xml:space="preserve">Най-отчетливо намаление в групата демонстрират изразходваните средства за материали и резервни части с </w:t>
      </w:r>
      <w:r w:rsidR="007F1D39" w:rsidRPr="00327A61">
        <w:t>-40</w:t>
      </w:r>
      <w:r w:rsidRPr="00327A61">
        <w:t xml:space="preserve"> хил. лв. </w:t>
      </w:r>
      <w:r w:rsidRPr="00327A61">
        <w:rPr>
          <w:lang w:val="en-US"/>
        </w:rPr>
        <w:t>(</w:t>
      </w:r>
      <w:r w:rsidRPr="00327A61">
        <w:t>-</w:t>
      </w:r>
      <w:r w:rsidR="007F1D39" w:rsidRPr="00327A61">
        <w:t>7</w:t>
      </w:r>
      <w:r w:rsidRPr="00327A61">
        <w:t>%</w:t>
      </w:r>
      <w:r w:rsidRPr="00327A61">
        <w:rPr>
          <w:lang w:val="en-US"/>
        </w:rPr>
        <w:t>)</w:t>
      </w:r>
      <w:r w:rsidRPr="00327A61">
        <w:t>,</w:t>
      </w:r>
      <w:r w:rsidR="007F1D39" w:rsidRPr="00327A61">
        <w:t xml:space="preserve"> както и разходите за ел.енергия -12 хил.лв. /-2%/</w:t>
      </w:r>
      <w:r w:rsidR="00E849A8" w:rsidRPr="00327A61">
        <w:t>.</w:t>
      </w:r>
      <w:r w:rsidRPr="00327A61">
        <w:t xml:space="preserve"> </w:t>
      </w:r>
      <w:r w:rsidR="00E849A8" w:rsidRPr="00327A61">
        <w:t>Г</w:t>
      </w:r>
      <w:r w:rsidRPr="00327A61">
        <w:t>ориво-смазочни материали с</w:t>
      </w:r>
      <w:r w:rsidR="00A44C24" w:rsidRPr="00327A61">
        <w:t xml:space="preserve">е </w:t>
      </w:r>
      <w:r w:rsidR="00E849A8" w:rsidRPr="00327A61">
        <w:t>увеличават</w:t>
      </w:r>
      <w:r w:rsidR="00A44C24" w:rsidRPr="00327A61">
        <w:t xml:space="preserve"> с </w:t>
      </w:r>
      <w:r w:rsidR="00E849A8" w:rsidRPr="00327A61">
        <w:t>20</w:t>
      </w:r>
      <w:r w:rsidR="00A44C24" w:rsidRPr="00327A61">
        <w:t xml:space="preserve"> хил. лв. (</w:t>
      </w:r>
      <w:r w:rsidR="00E849A8" w:rsidRPr="00327A61">
        <w:t>3</w:t>
      </w:r>
      <w:r w:rsidRPr="00327A61">
        <w:t>%).</w:t>
      </w:r>
    </w:p>
    <w:p w:rsidR="003452DE" w:rsidRPr="00327A61" w:rsidRDefault="003452DE" w:rsidP="00DD76F5">
      <w:pPr>
        <w:numPr>
          <w:ilvl w:val="0"/>
          <w:numId w:val="3"/>
        </w:numPr>
        <w:tabs>
          <w:tab w:val="clear" w:pos="113"/>
          <w:tab w:val="num" w:pos="851"/>
        </w:tabs>
        <w:spacing w:after="120"/>
        <w:ind w:firstLine="567"/>
        <w:jc w:val="both"/>
      </w:pPr>
      <w:r w:rsidRPr="00327A61">
        <w:t>За 201</w:t>
      </w:r>
      <w:r w:rsidR="00E849A8" w:rsidRPr="00327A61">
        <w:t>7</w:t>
      </w:r>
      <w:r w:rsidRPr="00327A61">
        <w:t>г.</w:t>
      </w:r>
      <w:r w:rsidRPr="00327A61">
        <w:rPr>
          <w:b/>
        </w:rPr>
        <w:t xml:space="preserve"> </w:t>
      </w:r>
      <w:r w:rsidRPr="00327A61">
        <w:t xml:space="preserve">дружеството е начислило с </w:t>
      </w:r>
      <w:r w:rsidR="00E849A8" w:rsidRPr="00327A61">
        <w:t>129</w:t>
      </w:r>
      <w:r w:rsidRPr="00327A61">
        <w:t xml:space="preserve"> хил.лв. (</w:t>
      </w:r>
      <w:r w:rsidR="00640927" w:rsidRPr="00327A61">
        <w:t>18</w:t>
      </w:r>
      <w:r w:rsidRPr="00327A61">
        <w:t>%) по</w:t>
      </w:r>
      <w:r w:rsidR="00E849A8" w:rsidRPr="00327A61">
        <w:t>вече</w:t>
      </w:r>
      <w:r w:rsidRPr="00327A61">
        <w:t xml:space="preserve"> разходи за </w:t>
      </w:r>
      <w:r w:rsidRPr="00327A61">
        <w:rPr>
          <w:b/>
          <w:i/>
        </w:rPr>
        <w:t>външни услуги</w:t>
      </w:r>
      <w:r w:rsidRPr="00327A61">
        <w:t xml:space="preserve">. </w:t>
      </w:r>
      <w:r w:rsidR="00E849A8" w:rsidRPr="00327A61">
        <w:t>Най–голямо увеличение е налице при разходите за поддръжка на ДМА публична държавна собственост – те са се увеличили с 74 хил.лв. (10%), Увеличение има и при разходите за ремонт с 49 хил.лв. /7 %/</w:t>
      </w:r>
      <w:r w:rsidR="00FC5813" w:rsidRPr="00327A61">
        <w:rPr>
          <w:sz w:val="26"/>
          <w:szCs w:val="26"/>
        </w:rPr>
        <w:t xml:space="preserve">, </w:t>
      </w:r>
      <w:r w:rsidR="00FC5813" w:rsidRPr="00327A61">
        <w:rPr>
          <w:szCs w:val="26"/>
        </w:rPr>
        <w:t>като тук влизат направените извънредни разходи по възстановяване на ел.порталн</w:t>
      </w:r>
      <w:r w:rsidR="009B06B2" w:rsidRPr="00327A61">
        <w:rPr>
          <w:szCs w:val="26"/>
        </w:rPr>
        <w:t>и</w:t>
      </w:r>
      <w:r w:rsidR="00FC5813" w:rsidRPr="00327A61">
        <w:rPr>
          <w:szCs w:val="26"/>
        </w:rPr>
        <w:t xml:space="preserve"> кран</w:t>
      </w:r>
      <w:r w:rsidR="009B06B2" w:rsidRPr="00327A61">
        <w:rPr>
          <w:szCs w:val="26"/>
        </w:rPr>
        <w:t>ове</w:t>
      </w:r>
      <w:r w:rsidR="00FC5813" w:rsidRPr="00327A61">
        <w:rPr>
          <w:szCs w:val="26"/>
        </w:rPr>
        <w:t xml:space="preserve"> в размер на 5</w:t>
      </w:r>
      <w:r w:rsidR="009B06B2" w:rsidRPr="00327A61">
        <w:rPr>
          <w:szCs w:val="26"/>
        </w:rPr>
        <w:t>8</w:t>
      </w:r>
      <w:r w:rsidR="00FC5813" w:rsidRPr="00327A61">
        <w:rPr>
          <w:szCs w:val="26"/>
        </w:rPr>
        <w:t xml:space="preserve"> хил.лв.</w:t>
      </w:r>
      <w:r w:rsidR="009B06B2" w:rsidRPr="00327A61">
        <w:rPr>
          <w:szCs w:val="26"/>
        </w:rPr>
        <w:t>,</w:t>
      </w:r>
      <w:r w:rsidR="00FC5813" w:rsidRPr="00327A61">
        <w:rPr>
          <w:szCs w:val="26"/>
        </w:rPr>
        <w:t xml:space="preserve"> </w:t>
      </w:r>
      <w:r w:rsidR="00E849A8" w:rsidRPr="00327A61">
        <w:t xml:space="preserve">както и </w:t>
      </w:r>
      <w:r w:rsidRPr="00327A61">
        <w:t xml:space="preserve">при разходите за охрана по договор със сума в размер на </w:t>
      </w:r>
      <w:r w:rsidR="00E849A8" w:rsidRPr="00327A61">
        <w:t>33</w:t>
      </w:r>
      <w:r w:rsidRPr="00327A61">
        <w:t xml:space="preserve"> хил.</w:t>
      </w:r>
      <w:r w:rsidR="00E849A8" w:rsidRPr="00327A61">
        <w:t>л</w:t>
      </w:r>
      <w:r w:rsidRPr="00327A61">
        <w:t>в. (</w:t>
      </w:r>
      <w:r w:rsidR="00E849A8" w:rsidRPr="00327A61">
        <w:t>4,5</w:t>
      </w:r>
      <w:r w:rsidRPr="00327A61">
        <w:t xml:space="preserve">%), чиито размер е обвързан с действащата МРЗ за страната. Намаление се отчита и в перо </w:t>
      </w:r>
      <w:r w:rsidR="00640927" w:rsidRPr="00327A61">
        <w:t>застраховки</w:t>
      </w:r>
      <w:r w:rsidRPr="00327A61">
        <w:t xml:space="preserve"> с </w:t>
      </w:r>
      <w:r w:rsidR="00640927" w:rsidRPr="00327A61">
        <w:t>-50</w:t>
      </w:r>
      <w:r w:rsidRPr="00327A61">
        <w:t xml:space="preserve"> хил.лв. </w:t>
      </w:r>
      <w:r w:rsidR="00A44C24" w:rsidRPr="00327A61">
        <w:t>(-</w:t>
      </w:r>
      <w:r w:rsidR="00640927" w:rsidRPr="00327A61">
        <w:t>7</w:t>
      </w:r>
      <w:r w:rsidRPr="00327A61">
        <w:t xml:space="preserve">%). Останалите изменения в групата са несъществени и не оказват решаващо влияние на разходите. </w:t>
      </w:r>
    </w:p>
    <w:p w:rsidR="003452DE" w:rsidRPr="00327A61" w:rsidRDefault="003452DE" w:rsidP="00DD76F5">
      <w:pPr>
        <w:numPr>
          <w:ilvl w:val="0"/>
          <w:numId w:val="3"/>
        </w:numPr>
        <w:tabs>
          <w:tab w:val="clear" w:pos="113"/>
          <w:tab w:val="num" w:pos="851"/>
        </w:tabs>
        <w:spacing w:after="120"/>
        <w:ind w:firstLine="567"/>
        <w:jc w:val="both"/>
      </w:pPr>
      <w:r w:rsidRPr="00327A61">
        <w:t>Към края на 201</w:t>
      </w:r>
      <w:r w:rsidR="00640927" w:rsidRPr="00327A61">
        <w:rPr>
          <w:lang w:val="en-US"/>
        </w:rPr>
        <w:t>7</w:t>
      </w:r>
      <w:r w:rsidRPr="00327A61">
        <w:t xml:space="preserve"> г. разходите за </w:t>
      </w:r>
      <w:r w:rsidRPr="00327A61">
        <w:rPr>
          <w:b/>
          <w:i/>
        </w:rPr>
        <w:t>амортизации</w:t>
      </w:r>
      <w:r w:rsidRPr="00327A61">
        <w:rPr>
          <w:b/>
        </w:rPr>
        <w:t xml:space="preserve"> </w:t>
      </w:r>
      <w:r w:rsidRPr="00327A61">
        <w:t>възлизат на 43</w:t>
      </w:r>
      <w:r w:rsidR="00640927" w:rsidRPr="00327A61">
        <w:rPr>
          <w:lang w:val="en-US"/>
        </w:rPr>
        <w:t>3</w:t>
      </w:r>
      <w:r w:rsidRPr="00327A61">
        <w:t xml:space="preserve"> хил.лв., което е с </w:t>
      </w:r>
      <w:r w:rsidR="00916960" w:rsidRPr="00327A61">
        <w:rPr>
          <w:lang w:val="en-US"/>
        </w:rPr>
        <w:t>-3</w:t>
      </w:r>
      <w:r w:rsidRPr="00327A61">
        <w:t xml:space="preserve"> хил.лв. по-малко (-</w:t>
      </w:r>
      <w:r w:rsidR="00916960" w:rsidRPr="00327A61">
        <w:rPr>
          <w:lang w:val="en-US"/>
        </w:rPr>
        <w:t>0</w:t>
      </w:r>
      <w:r w:rsidRPr="00327A61">
        <w:t>,</w:t>
      </w:r>
      <w:r w:rsidR="00916960" w:rsidRPr="00327A61">
        <w:rPr>
          <w:lang w:val="en-US"/>
        </w:rPr>
        <w:t>7</w:t>
      </w:r>
      <w:r w:rsidRPr="00327A61">
        <w:t>%) спрямо 201</w:t>
      </w:r>
      <w:r w:rsidR="00916960" w:rsidRPr="00327A61">
        <w:rPr>
          <w:lang w:val="en-US"/>
        </w:rPr>
        <w:t>6</w:t>
      </w:r>
      <w:r w:rsidRPr="00327A61">
        <w:t xml:space="preserve">г. Амортизациите се начисляват в съответствие с нормативната уредба и приетата счетоводна политика на дружеството. </w:t>
      </w:r>
    </w:p>
    <w:p w:rsidR="003452DE" w:rsidRPr="00327A61" w:rsidRDefault="003452DE" w:rsidP="00DD76F5">
      <w:pPr>
        <w:numPr>
          <w:ilvl w:val="0"/>
          <w:numId w:val="3"/>
        </w:numPr>
        <w:tabs>
          <w:tab w:val="clear" w:pos="113"/>
          <w:tab w:val="num" w:pos="851"/>
        </w:tabs>
        <w:spacing w:after="120"/>
        <w:ind w:firstLine="567"/>
        <w:jc w:val="both"/>
      </w:pPr>
      <w:r w:rsidRPr="00327A61">
        <w:t xml:space="preserve">Начислените </w:t>
      </w:r>
      <w:r w:rsidRPr="00327A61">
        <w:rPr>
          <w:b/>
          <w:i/>
        </w:rPr>
        <w:t>средства за възнаграждения</w:t>
      </w:r>
      <w:r w:rsidRPr="00327A61">
        <w:t xml:space="preserve"> на персонала през 20</w:t>
      </w:r>
      <w:r w:rsidR="00916960" w:rsidRPr="00327A61">
        <w:rPr>
          <w:lang w:val="en-US"/>
        </w:rPr>
        <w:t>17</w:t>
      </w:r>
      <w:r w:rsidRPr="00327A61">
        <w:t xml:space="preserve">г. са с </w:t>
      </w:r>
      <w:r w:rsidR="00916960" w:rsidRPr="00327A61">
        <w:t>-</w:t>
      </w:r>
      <w:r w:rsidR="00916960" w:rsidRPr="00327A61">
        <w:rPr>
          <w:lang w:val="en-US"/>
        </w:rPr>
        <w:t>226</w:t>
      </w:r>
      <w:r w:rsidRPr="00327A61">
        <w:t xml:space="preserve"> хил.лв. по</w:t>
      </w:r>
      <w:r w:rsidR="00916960" w:rsidRPr="00327A61">
        <w:rPr>
          <w:lang w:val="en-US"/>
        </w:rPr>
        <w:t>-</w:t>
      </w:r>
      <w:r w:rsidR="00916960" w:rsidRPr="00327A61">
        <w:t>малко</w:t>
      </w:r>
      <w:r w:rsidRPr="00327A61">
        <w:t xml:space="preserve"> (</w:t>
      </w:r>
      <w:r w:rsidR="00916960" w:rsidRPr="00327A61">
        <w:t>-10</w:t>
      </w:r>
      <w:r w:rsidRPr="00327A61">
        <w:t>,</w:t>
      </w:r>
      <w:r w:rsidR="00916960" w:rsidRPr="00327A61">
        <w:t>7</w:t>
      </w:r>
      <w:r w:rsidRPr="00327A61">
        <w:t>%) спрямо 201</w:t>
      </w:r>
      <w:r w:rsidR="00916960" w:rsidRPr="00327A61">
        <w:t>6</w:t>
      </w:r>
      <w:r w:rsidRPr="00327A61">
        <w:t xml:space="preserve">г. </w:t>
      </w:r>
    </w:p>
    <w:p w:rsidR="003452DE" w:rsidRPr="00327A61" w:rsidRDefault="003452DE" w:rsidP="00DD76F5">
      <w:pPr>
        <w:numPr>
          <w:ilvl w:val="0"/>
          <w:numId w:val="3"/>
        </w:numPr>
        <w:tabs>
          <w:tab w:val="clear" w:pos="113"/>
          <w:tab w:val="num" w:pos="851"/>
        </w:tabs>
        <w:spacing w:after="120"/>
        <w:ind w:firstLine="567"/>
        <w:jc w:val="both"/>
      </w:pPr>
      <w:r w:rsidRPr="00327A61">
        <w:t>Разходите за</w:t>
      </w:r>
      <w:r w:rsidRPr="00327A61">
        <w:rPr>
          <w:b/>
        </w:rPr>
        <w:t xml:space="preserve"> </w:t>
      </w:r>
      <w:r w:rsidRPr="00327A61">
        <w:rPr>
          <w:b/>
          <w:i/>
        </w:rPr>
        <w:t>осигуровки и надбавки</w:t>
      </w:r>
      <w:r w:rsidRPr="00327A61">
        <w:rPr>
          <w:b/>
        </w:rPr>
        <w:t xml:space="preserve"> </w:t>
      </w:r>
      <w:r w:rsidRPr="00327A61">
        <w:t>за 201</w:t>
      </w:r>
      <w:r w:rsidR="00513989" w:rsidRPr="00327A61">
        <w:t>7</w:t>
      </w:r>
      <w:r w:rsidRPr="00327A61">
        <w:t>г. са</w:t>
      </w:r>
      <w:r w:rsidRPr="00327A61">
        <w:rPr>
          <w:b/>
        </w:rPr>
        <w:t xml:space="preserve"> </w:t>
      </w:r>
      <w:r w:rsidRPr="00327A61">
        <w:t xml:space="preserve">с </w:t>
      </w:r>
      <w:r w:rsidR="00916960" w:rsidRPr="00327A61">
        <w:t>-</w:t>
      </w:r>
      <w:r w:rsidR="00513989" w:rsidRPr="00327A61">
        <w:t>62</w:t>
      </w:r>
      <w:r w:rsidRPr="00327A61">
        <w:t xml:space="preserve"> хил. лв. по</w:t>
      </w:r>
      <w:r w:rsidR="00513989" w:rsidRPr="00327A61">
        <w:t>-малко</w:t>
      </w:r>
      <w:r w:rsidRPr="00327A61">
        <w:t xml:space="preserve"> (</w:t>
      </w:r>
      <w:r w:rsidR="00513989" w:rsidRPr="00327A61">
        <w:t>-6,6</w:t>
      </w:r>
      <w:r w:rsidRPr="00327A61">
        <w:t xml:space="preserve"> %) спрямо предходната година. Те са съобразени с изискванията на законодателството и подписания КТД. </w:t>
      </w:r>
    </w:p>
    <w:p w:rsidR="000C0391" w:rsidRPr="00327A61" w:rsidRDefault="000C0391" w:rsidP="003452DE">
      <w:pPr>
        <w:spacing w:after="120"/>
        <w:ind w:left="113"/>
        <w:jc w:val="both"/>
        <w:rPr>
          <w:rFonts w:eastAsia="Times New Roman"/>
          <w:lang w:eastAsia="bg-BG"/>
        </w:rPr>
      </w:pPr>
    </w:p>
    <w:p w:rsidR="008438C4" w:rsidRPr="00327A61" w:rsidRDefault="008438C4" w:rsidP="003452DE">
      <w:pPr>
        <w:spacing w:after="120"/>
        <w:ind w:left="113"/>
        <w:jc w:val="both"/>
        <w:rPr>
          <w:rFonts w:eastAsia="Times New Roman"/>
          <w:lang w:eastAsia="bg-BG"/>
        </w:rPr>
      </w:pPr>
    </w:p>
    <w:p w:rsidR="008438C4" w:rsidRPr="00327A61" w:rsidRDefault="008438C4" w:rsidP="003452DE">
      <w:pPr>
        <w:spacing w:after="120"/>
        <w:ind w:left="113"/>
        <w:jc w:val="both"/>
        <w:rPr>
          <w:rFonts w:eastAsia="Times New Roman"/>
          <w:lang w:eastAsia="bg-BG"/>
        </w:rPr>
      </w:pPr>
    </w:p>
    <w:p w:rsidR="008438C4" w:rsidRPr="00327A61" w:rsidRDefault="008438C4" w:rsidP="003452DE">
      <w:pPr>
        <w:spacing w:after="120"/>
        <w:ind w:left="113"/>
        <w:jc w:val="both"/>
        <w:rPr>
          <w:rFonts w:eastAsia="Times New Roman"/>
          <w:lang w:eastAsia="bg-BG"/>
        </w:rPr>
      </w:pPr>
    </w:p>
    <w:tbl>
      <w:tblPr>
        <w:tblW w:w="8051" w:type="dxa"/>
        <w:jc w:val="center"/>
        <w:tblLayout w:type="fixed"/>
        <w:tblCellMar>
          <w:left w:w="70" w:type="dxa"/>
          <w:right w:w="70" w:type="dxa"/>
        </w:tblCellMar>
        <w:tblLook w:val="0000" w:firstRow="0" w:lastRow="0" w:firstColumn="0" w:lastColumn="0" w:noHBand="0" w:noVBand="0"/>
      </w:tblPr>
      <w:tblGrid>
        <w:gridCol w:w="4523"/>
        <w:gridCol w:w="1141"/>
        <w:gridCol w:w="1211"/>
        <w:gridCol w:w="1176"/>
      </w:tblGrid>
      <w:tr w:rsidR="00DF25C9" w:rsidRPr="00327A61">
        <w:trPr>
          <w:trHeight w:val="511"/>
          <w:jc w:val="center"/>
        </w:trPr>
        <w:tc>
          <w:tcPr>
            <w:tcW w:w="4523" w:type="dxa"/>
            <w:vMerge w:val="restart"/>
            <w:tcBorders>
              <w:top w:val="single" w:sz="4" w:space="0" w:color="auto"/>
              <w:left w:val="single" w:sz="4" w:space="0" w:color="auto"/>
              <w:right w:val="single" w:sz="4" w:space="0" w:color="auto"/>
            </w:tcBorders>
            <w:vAlign w:val="center"/>
          </w:tcPr>
          <w:p w:rsidR="00DF25C9" w:rsidRPr="00327A61" w:rsidRDefault="00DF25C9" w:rsidP="00B368E7">
            <w:pPr>
              <w:jc w:val="center"/>
            </w:pPr>
            <w:r w:rsidRPr="00327A61">
              <w:rPr>
                <w:b/>
              </w:rPr>
              <w:t>Вид на разхода</w:t>
            </w:r>
          </w:p>
        </w:tc>
        <w:tc>
          <w:tcPr>
            <w:tcW w:w="3528" w:type="dxa"/>
            <w:gridSpan w:val="3"/>
            <w:tcBorders>
              <w:top w:val="single" w:sz="4" w:space="0" w:color="auto"/>
              <w:left w:val="nil"/>
              <w:right w:val="single" w:sz="4" w:space="0" w:color="auto"/>
            </w:tcBorders>
            <w:vAlign w:val="center"/>
          </w:tcPr>
          <w:p w:rsidR="00DF25C9" w:rsidRPr="00327A61" w:rsidRDefault="00DF25C9" w:rsidP="00CD6AA0">
            <w:pPr>
              <w:jc w:val="center"/>
              <w:rPr>
                <w:b/>
                <w:snapToGrid w:val="0"/>
                <w:color w:val="000000"/>
                <w:lang w:eastAsia="en-US"/>
              </w:rPr>
            </w:pPr>
            <w:r w:rsidRPr="00327A61">
              <w:rPr>
                <w:b/>
              </w:rPr>
              <w:t>20</w:t>
            </w:r>
            <w:r w:rsidR="00513989" w:rsidRPr="00327A61">
              <w:rPr>
                <w:b/>
              </w:rPr>
              <w:t>17</w:t>
            </w:r>
            <w:r w:rsidR="00017ACD" w:rsidRPr="00327A61">
              <w:rPr>
                <w:b/>
              </w:rPr>
              <w:t xml:space="preserve"> </w:t>
            </w:r>
            <w:r w:rsidRPr="00327A61">
              <w:rPr>
                <w:b/>
              </w:rPr>
              <w:t>г.</w:t>
            </w:r>
            <w:r w:rsidR="003E48DE" w:rsidRPr="00327A61">
              <w:rPr>
                <w:b/>
              </w:rPr>
              <w:t xml:space="preserve"> (в лева)</w:t>
            </w:r>
          </w:p>
        </w:tc>
      </w:tr>
      <w:tr w:rsidR="00DF25C9" w:rsidRPr="00327A61" w:rsidTr="008438C4">
        <w:trPr>
          <w:trHeight w:val="527"/>
          <w:jc w:val="center"/>
        </w:trPr>
        <w:tc>
          <w:tcPr>
            <w:tcW w:w="4523" w:type="dxa"/>
            <w:vMerge/>
            <w:tcBorders>
              <w:left w:val="single" w:sz="4" w:space="0" w:color="auto"/>
              <w:right w:val="single" w:sz="4" w:space="0" w:color="auto"/>
            </w:tcBorders>
            <w:vAlign w:val="center"/>
          </w:tcPr>
          <w:p w:rsidR="00DF25C9" w:rsidRPr="00327A61" w:rsidRDefault="00DF25C9" w:rsidP="003A785D">
            <w:pPr>
              <w:pStyle w:val="Heading2"/>
              <w:rPr>
                <w:rFonts w:ascii="Times New Roman" w:hAnsi="Times New Roman"/>
                <w:b w:val="0"/>
                <w:sz w:val="24"/>
              </w:rPr>
            </w:pPr>
          </w:p>
        </w:tc>
        <w:tc>
          <w:tcPr>
            <w:tcW w:w="1141" w:type="dxa"/>
            <w:tcBorders>
              <w:top w:val="single" w:sz="4" w:space="0" w:color="auto"/>
              <w:left w:val="nil"/>
              <w:right w:val="single" w:sz="4" w:space="0" w:color="auto"/>
            </w:tcBorders>
            <w:vAlign w:val="center"/>
          </w:tcPr>
          <w:p w:rsidR="00DF25C9" w:rsidRPr="00327A61" w:rsidRDefault="00DF25C9" w:rsidP="003A785D">
            <w:pPr>
              <w:jc w:val="center"/>
              <w:rPr>
                <w:i/>
                <w:snapToGrid w:val="0"/>
                <w:color w:val="000000"/>
                <w:sz w:val="22"/>
                <w:lang w:eastAsia="en-US"/>
              </w:rPr>
            </w:pPr>
            <w:r w:rsidRPr="00327A61">
              <w:rPr>
                <w:i/>
                <w:snapToGrid w:val="0"/>
                <w:color w:val="000000"/>
                <w:sz w:val="22"/>
                <w:lang w:eastAsia="en-US"/>
              </w:rPr>
              <w:t>Плащане</w:t>
            </w:r>
          </w:p>
        </w:tc>
        <w:tc>
          <w:tcPr>
            <w:tcW w:w="1211" w:type="dxa"/>
            <w:tcBorders>
              <w:top w:val="single" w:sz="4" w:space="0" w:color="auto"/>
              <w:left w:val="nil"/>
              <w:bottom w:val="single" w:sz="4" w:space="0" w:color="auto"/>
              <w:right w:val="single" w:sz="4" w:space="0" w:color="auto"/>
            </w:tcBorders>
            <w:vAlign w:val="center"/>
          </w:tcPr>
          <w:p w:rsidR="00DF25C9" w:rsidRPr="00327A61" w:rsidRDefault="00DF25C9" w:rsidP="003E48DE">
            <w:pPr>
              <w:jc w:val="center"/>
              <w:rPr>
                <w:i/>
                <w:snapToGrid w:val="0"/>
                <w:color w:val="000000"/>
                <w:sz w:val="22"/>
                <w:lang w:eastAsia="en-US"/>
              </w:rPr>
            </w:pPr>
            <w:r w:rsidRPr="00327A61">
              <w:rPr>
                <w:i/>
                <w:snapToGrid w:val="0"/>
                <w:color w:val="000000"/>
                <w:sz w:val="22"/>
                <w:lang w:eastAsia="en-US"/>
              </w:rPr>
              <w:t>Сума</w:t>
            </w:r>
          </w:p>
        </w:tc>
        <w:tc>
          <w:tcPr>
            <w:tcW w:w="1176" w:type="dxa"/>
            <w:tcBorders>
              <w:top w:val="single" w:sz="4" w:space="0" w:color="auto"/>
              <w:left w:val="nil"/>
              <w:bottom w:val="single" w:sz="4" w:space="0" w:color="auto"/>
              <w:right w:val="single" w:sz="4" w:space="0" w:color="auto"/>
            </w:tcBorders>
            <w:vAlign w:val="center"/>
          </w:tcPr>
          <w:p w:rsidR="00DF25C9" w:rsidRPr="00327A61" w:rsidRDefault="00DF25C9" w:rsidP="003A785D">
            <w:pPr>
              <w:jc w:val="center"/>
              <w:rPr>
                <w:i/>
                <w:snapToGrid w:val="0"/>
                <w:color w:val="000000"/>
                <w:sz w:val="22"/>
                <w:lang w:val="en-US" w:eastAsia="en-US"/>
              </w:rPr>
            </w:pPr>
            <w:r w:rsidRPr="00327A61">
              <w:rPr>
                <w:i/>
                <w:snapToGrid w:val="0"/>
                <w:color w:val="000000"/>
                <w:sz w:val="22"/>
                <w:lang w:val="ru-RU" w:eastAsia="en-US"/>
              </w:rPr>
              <w:t xml:space="preserve">Средно на </w:t>
            </w:r>
            <w:r w:rsidRPr="00327A61">
              <w:rPr>
                <w:i/>
                <w:snapToGrid w:val="0"/>
                <w:color w:val="000000"/>
                <w:sz w:val="22"/>
                <w:lang w:eastAsia="en-US"/>
              </w:rPr>
              <w:t>1</w:t>
            </w:r>
            <w:r w:rsidRPr="00327A61">
              <w:rPr>
                <w:i/>
                <w:snapToGrid w:val="0"/>
                <w:color w:val="000000"/>
                <w:sz w:val="22"/>
                <w:lang w:val="ru-RU" w:eastAsia="en-US"/>
              </w:rPr>
              <w:t xml:space="preserve"> лице</w:t>
            </w:r>
          </w:p>
        </w:tc>
      </w:tr>
      <w:tr w:rsidR="00513989" w:rsidRPr="00327A61" w:rsidTr="005A44C5">
        <w:trPr>
          <w:trHeight w:val="293"/>
          <w:jc w:val="center"/>
        </w:trPr>
        <w:tc>
          <w:tcPr>
            <w:tcW w:w="4523" w:type="dxa"/>
            <w:tcBorders>
              <w:top w:val="single" w:sz="4" w:space="0" w:color="auto"/>
              <w:left w:val="single" w:sz="4" w:space="0" w:color="auto"/>
              <w:bottom w:val="single" w:sz="4" w:space="0" w:color="auto"/>
              <w:right w:val="nil"/>
            </w:tcBorders>
            <w:vAlign w:val="bottom"/>
          </w:tcPr>
          <w:p w:rsidR="00513989" w:rsidRPr="00327A61" w:rsidRDefault="00513989" w:rsidP="00513989">
            <w:r w:rsidRPr="00327A61">
              <w:t>Храна</w:t>
            </w:r>
          </w:p>
        </w:tc>
        <w:tc>
          <w:tcPr>
            <w:tcW w:w="1141" w:type="dxa"/>
            <w:tcBorders>
              <w:top w:val="single" w:sz="4" w:space="0" w:color="auto"/>
              <w:left w:val="single" w:sz="4" w:space="0" w:color="auto"/>
              <w:bottom w:val="single" w:sz="4" w:space="0" w:color="auto"/>
              <w:right w:val="single" w:sz="4" w:space="0" w:color="auto"/>
            </w:tcBorders>
            <w:vAlign w:val="bottom"/>
          </w:tcPr>
          <w:p w:rsidR="00513989" w:rsidRPr="00327A61" w:rsidRDefault="00513989" w:rsidP="00513989">
            <w:pPr>
              <w:jc w:val="center"/>
              <w:rPr>
                <w:snapToGrid w:val="0"/>
                <w:color w:val="000000"/>
                <w:lang w:val="en-US" w:eastAsia="en-US"/>
              </w:rPr>
            </w:pPr>
            <w:r w:rsidRPr="00327A61">
              <w:rPr>
                <w:snapToGrid w:val="0"/>
                <w:color w:val="000000"/>
                <w:lang w:val="en-US" w:eastAsia="en-US"/>
              </w:rPr>
              <w:t>в брой</w:t>
            </w:r>
          </w:p>
        </w:tc>
        <w:tc>
          <w:tcPr>
            <w:tcW w:w="1211" w:type="dxa"/>
            <w:tcBorders>
              <w:top w:val="nil"/>
              <w:left w:val="single" w:sz="4" w:space="0" w:color="auto"/>
              <w:bottom w:val="single" w:sz="4" w:space="0" w:color="auto"/>
              <w:right w:val="single" w:sz="4" w:space="0" w:color="auto"/>
            </w:tcBorders>
            <w:shd w:val="clear" w:color="auto" w:fill="auto"/>
            <w:vAlign w:val="bottom"/>
          </w:tcPr>
          <w:p w:rsidR="00513989" w:rsidRPr="00327A61" w:rsidRDefault="00513989" w:rsidP="00513989">
            <w:pPr>
              <w:jc w:val="right"/>
              <w:rPr>
                <w:lang w:eastAsia="bg-BG"/>
              </w:rPr>
            </w:pPr>
            <w:r w:rsidRPr="00327A61">
              <w:t>351 465</w:t>
            </w:r>
          </w:p>
        </w:tc>
        <w:tc>
          <w:tcPr>
            <w:tcW w:w="1176" w:type="dxa"/>
            <w:tcBorders>
              <w:top w:val="nil"/>
              <w:left w:val="nil"/>
              <w:bottom w:val="single" w:sz="4" w:space="0" w:color="auto"/>
              <w:right w:val="single" w:sz="4" w:space="0" w:color="auto"/>
            </w:tcBorders>
            <w:shd w:val="clear" w:color="auto" w:fill="auto"/>
            <w:vAlign w:val="bottom"/>
          </w:tcPr>
          <w:p w:rsidR="00513989" w:rsidRPr="00327A61" w:rsidRDefault="00513989" w:rsidP="00513989">
            <w:pPr>
              <w:jc w:val="right"/>
              <w:rPr>
                <w:lang w:eastAsia="bg-BG"/>
              </w:rPr>
            </w:pPr>
            <w:r w:rsidRPr="00327A61">
              <w:t>2 407.29</w:t>
            </w:r>
          </w:p>
        </w:tc>
      </w:tr>
      <w:tr w:rsidR="00513989" w:rsidRPr="00327A61" w:rsidTr="005A44C5">
        <w:trPr>
          <w:trHeight w:val="293"/>
          <w:jc w:val="center"/>
        </w:trPr>
        <w:tc>
          <w:tcPr>
            <w:tcW w:w="4523" w:type="dxa"/>
            <w:tcBorders>
              <w:top w:val="single" w:sz="4" w:space="0" w:color="auto"/>
              <w:left w:val="single" w:sz="4" w:space="0" w:color="auto"/>
              <w:bottom w:val="single" w:sz="4" w:space="0" w:color="auto"/>
              <w:right w:val="nil"/>
            </w:tcBorders>
            <w:vAlign w:val="bottom"/>
          </w:tcPr>
          <w:p w:rsidR="00513989" w:rsidRPr="00327A61" w:rsidRDefault="00513989" w:rsidP="00513989">
            <w:r w:rsidRPr="00327A61">
              <w:t>Помощи</w:t>
            </w:r>
          </w:p>
        </w:tc>
        <w:tc>
          <w:tcPr>
            <w:tcW w:w="1141" w:type="dxa"/>
            <w:tcBorders>
              <w:top w:val="single" w:sz="4" w:space="0" w:color="auto"/>
              <w:left w:val="single" w:sz="4" w:space="0" w:color="auto"/>
              <w:bottom w:val="single" w:sz="4" w:space="0" w:color="auto"/>
              <w:right w:val="single" w:sz="4" w:space="0" w:color="auto"/>
            </w:tcBorders>
            <w:vAlign w:val="bottom"/>
          </w:tcPr>
          <w:p w:rsidR="00513989" w:rsidRPr="00327A61" w:rsidRDefault="00513989" w:rsidP="00513989">
            <w:pPr>
              <w:jc w:val="center"/>
              <w:rPr>
                <w:snapToGrid w:val="0"/>
                <w:color w:val="000000"/>
                <w:lang w:val="en-US" w:eastAsia="en-US"/>
              </w:rPr>
            </w:pPr>
            <w:r w:rsidRPr="00327A61">
              <w:rPr>
                <w:snapToGrid w:val="0"/>
                <w:color w:val="000000"/>
                <w:lang w:val="en-US" w:eastAsia="en-US"/>
              </w:rPr>
              <w:t>в брой</w:t>
            </w:r>
          </w:p>
        </w:tc>
        <w:tc>
          <w:tcPr>
            <w:tcW w:w="1211" w:type="dxa"/>
            <w:tcBorders>
              <w:top w:val="nil"/>
              <w:left w:val="single" w:sz="4" w:space="0" w:color="auto"/>
              <w:bottom w:val="single" w:sz="4" w:space="0" w:color="auto"/>
              <w:right w:val="single" w:sz="4" w:space="0" w:color="auto"/>
            </w:tcBorders>
            <w:shd w:val="clear" w:color="auto" w:fill="auto"/>
            <w:vAlign w:val="bottom"/>
          </w:tcPr>
          <w:p w:rsidR="00513989" w:rsidRPr="00327A61" w:rsidRDefault="00513989" w:rsidP="00513989">
            <w:pPr>
              <w:jc w:val="right"/>
            </w:pPr>
            <w:r w:rsidRPr="00327A61">
              <w:t>2 950</w:t>
            </w:r>
          </w:p>
        </w:tc>
        <w:tc>
          <w:tcPr>
            <w:tcW w:w="1176" w:type="dxa"/>
            <w:tcBorders>
              <w:top w:val="nil"/>
              <w:left w:val="nil"/>
              <w:bottom w:val="single" w:sz="4" w:space="0" w:color="auto"/>
              <w:right w:val="single" w:sz="4" w:space="0" w:color="auto"/>
            </w:tcBorders>
            <w:shd w:val="clear" w:color="auto" w:fill="auto"/>
            <w:vAlign w:val="bottom"/>
          </w:tcPr>
          <w:p w:rsidR="00513989" w:rsidRPr="00327A61" w:rsidRDefault="00513989" w:rsidP="00513989">
            <w:pPr>
              <w:jc w:val="right"/>
            </w:pPr>
            <w:r w:rsidRPr="00327A61">
              <w:t>20.21</w:t>
            </w:r>
          </w:p>
        </w:tc>
      </w:tr>
      <w:tr w:rsidR="00513989" w:rsidRPr="00327A61" w:rsidTr="00BA5315">
        <w:trPr>
          <w:trHeight w:val="293"/>
          <w:jc w:val="center"/>
        </w:trPr>
        <w:tc>
          <w:tcPr>
            <w:tcW w:w="4523" w:type="dxa"/>
            <w:tcBorders>
              <w:top w:val="single" w:sz="4" w:space="0" w:color="auto"/>
              <w:left w:val="single" w:sz="4" w:space="0" w:color="auto"/>
              <w:bottom w:val="single" w:sz="4" w:space="0" w:color="auto"/>
              <w:right w:val="nil"/>
            </w:tcBorders>
            <w:vAlign w:val="bottom"/>
          </w:tcPr>
          <w:p w:rsidR="00513989" w:rsidRPr="00327A61" w:rsidRDefault="00513989" w:rsidP="00513989">
            <w:r w:rsidRPr="00327A61">
              <w:t>Издръжка на бази за отдих, физкултура, спорт, туризъм, културни занимания, и др.</w:t>
            </w:r>
          </w:p>
        </w:tc>
        <w:tc>
          <w:tcPr>
            <w:tcW w:w="1141" w:type="dxa"/>
            <w:tcBorders>
              <w:top w:val="single" w:sz="4" w:space="0" w:color="auto"/>
              <w:left w:val="single" w:sz="4" w:space="0" w:color="auto"/>
              <w:bottom w:val="single" w:sz="4" w:space="0" w:color="auto"/>
              <w:right w:val="single" w:sz="4" w:space="0" w:color="auto"/>
            </w:tcBorders>
            <w:vAlign w:val="bottom"/>
          </w:tcPr>
          <w:p w:rsidR="00513989" w:rsidRPr="00327A61" w:rsidRDefault="00513989" w:rsidP="00513989">
            <w:pPr>
              <w:jc w:val="center"/>
              <w:rPr>
                <w:snapToGrid w:val="0"/>
                <w:color w:val="000000"/>
                <w:lang w:eastAsia="en-US"/>
              </w:rPr>
            </w:pP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513989" w:rsidRPr="00327A61" w:rsidRDefault="00513989" w:rsidP="00513989">
            <w:pPr>
              <w:jc w:val="right"/>
              <w:rPr>
                <w:lang w:eastAsia="bg-BG"/>
              </w:rPr>
            </w:pPr>
            <w:r w:rsidRPr="00327A61">
              <w:t>1 500</w:t>
            </w:r>
          </w:p>
        </w:tc>
        <w:tc>
          <w:tcPr>
            <w:tcW w:w="1176" w:type="dxa"/>
            <w:tcBorders>
              <w:top w:val="single" w:sz="4" w:space="0" w:color="auto"/>
              <w:left w:val="nil"/>
              <w:bottom w:val="single" w:sz="4" w:space="0" w:color="auto"/>
              <w:right w:val="single" w:sz="4" w:space="0" w:color="auto"/>
            </w:tcBorders>
            <w:shd w:val="clear" w:color="auto" w:fill="auto"/>
            <w:vAlign w:val="bottom"/>
          </w:tcPr>
          <w:p w:rsidR="00513989" w:rsidRPr="00327A61" w:rsidRDefault="00513989" w:rsidP="00513989">
            <w:pPr>
              <w:jc w:val="right"/>
            </w:pPr>
            <w:r w:rsidRPr="00327A61">
              <w:t>10.27</w:t>
            </w:r>
          </w:p>
        </w:tc>
      </w:tr>
      <w:tr w:rsidR="00513989" w:rsidRPr="00327A61" w:rsidTr="00BA5315">
        <w:trPr>
          <w:trHeight w:val="293"/>
          <w:jc w:val="center"/>
        </w:trPr>
        <w:tc>
          <w:tcPr>
            <w:tcW w:w="4523" w:type="dxa"/>
            <w:tcBorders>
              <w:top w:val="single" w:sz="4" w:space="0" w:color="auto"/>
              <w:left w:val="single" w:sz="4" w:space="0" w:color="auto"/>
              <w:bottom w:val="single" w:sz="4" w:space="0" w:color="auto"/>
              <w:right w:val="nil"/>
            </w:tcBorders>
            <w:vAlign w:val="bottom"/>
          </w:tcPr>
          <w:p w:rsidR="00513989" w:rsidRPr="00327A61" w:rsidRDefault="00513989" w:rsidP="00513989">
            <w:r w:rsidRPr="00327A61">
              <w:t>Други</w:t>
            </w:r>
          </w:p>
        </w:tc>
        <w:tc>
          <w:tcPr>
            <w:tcW w:w="1141" w:type="dxa"/>
            <w:tcBorders>
              <w:top w:val="single" w:sz="4" w:space="0" w:color="auto"/>
              <w:left w:val="single" w:sz="4" w:space="0" w:color="auto"/>
              <w:bottom w:val="single" w:sz="4" w:space="0" w:color="auto"/>
              <w:right w:val="single" w:sz="4" w:space="0" w:color="auto"/>
            </w:tcBorders>
            <w:vAlign w:val="bottom"/>
          </w:tcPr>
          <w:p w:rsidR="00513989" w:rsidRPr="00327A61" w:rsidRDefault="00513989" w:rsidP="00513989">
            <w:pPr>
              <w:jc w:val="center"/>
              <w:rPr>
                <w:snapToGrid w:val="0"/>
                <w:color w:val="000000"/>
                <w:lang w:eastAsia="en-US"/>
              </w:rPr>
            </w:pPr>
            <w:r w:rsidRPr="00327A61">
              <w:rPr>
                <w:snapToGrid w:val="0"/>
                <w:color w:val="000000"/>
                <w:lang w:eastAsia="en-US"/>
              </w:rPr>
              <w:t>в натура</w:t>
            </w: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513989" w:rsidRPr="00327A61" w:rsidRDefault="00513989" w:rsidP="00513989">
            <w:pPr>
              <w:jc w:val="right"/>
              <w:rPr>
                <w:lang w:eastAsia="bg-BG"/>
              </w:rPr>
            </w:pPr>
            <w:r w:rsidRPr="00327A61">
              <w:t>8 828</w:t>
            </w:r>
          </w:p>
        </w:tc>
        <w:tc>
          <w:tcPr>
            <w:tcW w:w="1176" w:type="dxa"/>
            <w:tcBorders>
              <w:top w:val="single" w:sz="4" w:space="0" w:color="auto"/>
              <w:left w:val="nil"/>
              <w:bottom w:val="single" w:sz="4" w:space="0" w:color="auto"/>
              <w:right w:val="single" w:sz="4" w:space="0" w:color="auto"/>
            </w:tcBorders>
            <w:shd w:val="clear" w:color="auto" w:fill="auto"/>
            <w:vAlign w:val="bottom"/>
          </w:tcPr>
          <w:p w:rsidR="00513989" w:rsidRPr="00327A61" w:rsidRDefault="00513989" w:rsidP="00513989">
            <w:pPr>
              <w:jc w:val="right"/>
            </w:pPr>
            <w:r w:rsidRPr="00327A61">
              <w:t>60.47</w:t>
            </w:r>
          </w:p>
        </w:tc>
      </w:tr>
      <w:tr w:rsidR="00513989" w:rsidRPr="00327A61" w:rsidTr="00BA5315">
        <w:trPr>
          <w:trHeight w:val="293"/>
          <w:jc w:val="center"/>
        </w:trPr>
        <w:tc>
          <w:tcPr>
            <w:tcW w:w="4523" w:type="dxa"/>
            <w:tcBorders>
              <w:top w:val="single" w:sz="4" w:space="0" w:color="auto"/>
              <w:left w:val="single" w:sz="4" w:space="0" w:color="auto"/>
              <w:bottom w:val="single" w:sz="4" w:space="0" w:color="auto"/>
              <w:right w:val="single" w:sz="4" w:space="0" w:color="auto"/>
            </w:tcBorders>
            <w:vAlign w:val="bottom"/>
          </w:tcPr>
          <w:p w:rsidR="00513989" w:rsidRPr="00327A61" w:rsidRDefault="00513989" w:rsidP="00513989">
            <w:pPr>
              <w:pStyle w:val="FootnoteText"/>
              <w:rPr>
                <w:b/>
                <w:sz w:val="24"/>
                <w:szCs w:val="24"/>
                <w:lang w:eastAsia="bg-BG"/>
              </w:rPr>
            </w:pPr>
            <w:r w:rsidRPr="00327A61">
              <w:rPr>
                <w:b/>
                <w:sz w:val="24"/>
                <w:szCs w:val="24"/>
              </w:rPr>
              <w:t>Общо разходи за социални надбавки:</w:t>
            </w:r>
          </w:p>
        </w:tc>
        <w:tc>
          <w:tcPr>
            <w:tcW w:w="1141" w:type="dxa"/>
            <w:tcBorders>
              <w:top w:val="single" w:sz="4" w:space="0" w:color="auto"/>
              <w:left w:val="nil"/>
              <w:bottom w:val="single" w:sz="4" w:space="0" w:color="auto"/>
              <w:right w:val="single" w:sz="4" w:space="0" w:color="auto"/>
            </w:tcBorders>
            <w:vAlign w:val="bottom"/>
          </w:tcPr>
          <w:p w:rsidR="00513989" w:rsidRPr="00327A61" w:rsidRDefault="00513989" w:rsidP="00513989">
            <w:pPr>
              <w:jc w:val="center"/>
              <w:rPr>
                <w:b/>
                <w:snapToGrid w:val="0"/>
                <w:color w:val="000000"/>
                <w:lang w:val="ru-RU" w:eastAsia="en-US"/>
              </w:rPr>
            </w:pP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513989" w:rsidRPr="00327A61" w:rsidRDefault="00513989" w:rsidP="00513989">
            <w:pPr>
              <w:jc w:val="right"/>
              <w:rPr>
                <w:lang w:eastAsia="bg-BG"/>
              </w:rPr>
            </w:pPr>
            <w:r w:rsidRPr="00327A61">
              <w:t>364 743</w:t>
            </w:r>
          </w:p>
        </w:tc>
        <w:tc>
          <w:tcPr>
            <w:tcW w:w="1176" w:type="dxa"/>
            <w:tcBorders>
              <w:top w:val="single" w:sz="4" w:space="0" w:color="auto"/>
              <w:left w:val="nil"/>
              <w:bottom w:val="single" w:sz="4" w:space="0" w:color="auto"/>
              <w:right w:val="single" w:sz="4" w:space="0" w:color="auto"/>
            </w:tcBorders>
            <w:shd w:val="clear" w:color="auto" w:fill="auto"/>
            <w:vAlign w:val="bottom"/>
          </w:tcPr>
          <w:p w:rsidR="00513989" w:rsidRPr="00327A61" w:rsidRDefault="00513989" w:rsidP="00513989">
            <w:pPr>
              <w:jc w:val="right"/>
            </w:pPr>
            <w:r w:rsidRPr="00327A61">
              <w:t>2 368.46</w:t>
            </w:r>
          </w:p>
        </w:tc>
      </w:tr>
      <w:tr w:rsidR="00513989" w:rsidRPr="00327A61" w:rsidTr="00B73605">
        <w:trPr>
          <w:trHeight w:val="293"/>
          <w:jc w:val="center"/>
        </w:trPr>
        <w:tc>
          <w:tcPr>
            <w:tcW w:w="4523" w:type="dxa"/>
            <w:tcBorders>
              <w:top w:val="single" w:sz="4" w:space="0" w:color="auto"/>
              <w:left w:val="single" w:sz="4" w:space="0" w:color="auto"/>
              <w:bottom w:val="single" w:sz="4" w:space="0" w:color="auto"/>
              <w:right w:val="single" w:sz="4" w:space="0" w:color="auto"/>
            </w:tcBorders>
            <w:vAlign w:val="bottom"/>
          </w:tcPr>
          <w:p w:rsidR="00513989" w:rsidRPr="00327A61" w:rsidRDefault="00513989" w:rsidP="00513989">
            <w:pPr>
              <w:pStyle w:val="FootnoteText"/>
              <w:rPr>
                <w:sz w:val="24"/>
                <w:szCs w:val="24"/>
              </w:rPr>
            </w:pPr>
            <w:r w:rsidRPr="00327A61">
              <w:rPr>
                <w:sz w:val="24"/>
                <w:szCs w:val="24"/>
              </w:rPr>
              <w:t xml:space="preserve">Разходи за социални осигуровки </w:t>
            </w:r>
          </w:p>
        </w:tc>
        <w:tc>
          <w:tcPr>
            <w:tcW w:w="1141" w:type="dxa"/>
            <w:tcBorders>
              <w:top w:val="single" w:sz="4" w:space="0" w:color="auto"/>
              <w:left w:val="nil"/>
              <w:bottom w:val="single" w:sz="4" w:space="0" w:color="auto"/>
              <w:right w:val="single" w:sz="4" w:space="0" w:color="auto"/>
            </w:tcBorders>
            <w:vAlign w:val="bottom"/>
          </w:tcPr>
          <w:p w:rsidR="00513989" w:rsidRPr="00327A61" w:rsidRDefault="00513989" w:rsidP="00513989">
            <w:pPr>
              <w:jc w:val="center"/>
              <w:rPr>
                <w:b/>
                <w:snapToGrid w:val="0"/>
                <w:color w:val="000000"/>
                <w:lang w:val="ru-RU" w:eastAsia="en-US"/>
              </w:rPr>
            </w:pPr>
          </w:p>
        </w:tc>
        <w:tc>
          <w:tcPr>
            <w:tcW w:w="1211" w:type="dxa"/>
            <w:tcBorders>
              <w:top w:val="nil"/>
              <w:left w:val="single" w:sz="4" w:space="0" w:color="auto"/>
              <w:bottom w:val="single" w:sz="4" w:space="0" w:color="auto"/>
              <w:right w:val="single" w:sz="4" w:space="0" w:color="auto"/>
            </w:tcBorders>
            <w:shd w:val="clear" w:color="auto" w:fill="auto"/>
            <w:vAlign w:val="bottom"/>
          </w:tcPr>
          <w:p w:rsidR="00513989" w:rsidRPr="00327A61" w:rsidRDefault="00513989" w:rsidP="00513989">
            <w:pPr>
              <w:jc w:val="right"/>
            </w:pPr>
            <w:r w:rsidRPr="00327A61">
              <w:t>505 897</w:t>
            </w:r>
          </w:p>
        </w:tc>
        <w:tc>
          <w:tcPr>
            <w:tcW w:w="1176" w:type="dxa"/>
            <w:tcBorders>
              <w:top w:val="nil"/>
              <w:left w:val="nil"/>
              <w:bottom w:val="single" w:sz="4" w:space="0" w:color="auto"/>
              <w:right w:val="single" w:sz="4" w:space="0" w:color="auto"/>
            </w:tcBorders>
            <w:shd w:val="clear" w:color="auto" w:fill="auto"/>
            <w:vAlign w:val="bottom"/>
          </w:tcPr>
          <w:p w:rsidR="00513989" w:rsidRPr="00327A61" w:rsidRDefault="00513989" w:rsidP="00513989">
            <w:pPr>
              <w:jc w:val="right"/>
            </w:pPr>
            <w:r w:rsidRPr="00327A61">
              <w:t>3 285.05</w:t>
            </w:r>
          </w:p>
        </w:tc>
      </w:tr>
      <w:tr w:rsidR="00513989" w:rsidRPr="00327A61" w:rsidTr="00B73605">
        <w:trPr>
          <w:trHeight w:val="293"/>
          <w:jc w:val="center"/>
        </w:trPr>
        <w:tc>
          <w:tcPr>
            <w:tcW w:w="4523" w:type="dxa"/>
            <w:tcBorders>
              <w:top w:val="single" w:sz="4" w:space="0" w:color="auto"/>
              <w:left w:val="single" w:sz="4" w:space="0" w:color="auto"/>
              <w:bottom w:val="single" w:sz="4" w:space="0" w:color="auto"/>
              <w:right w:val="single" w:sz="4" w:space="0" w:color="auto"/>
            </w:tcBorders>
            <w:vAlign w:val="bottom"/>
          </w:tcPr>
          <w:p w:rsidR="00513989" w:rsidRPr="00327A61" w:rsidRDefault="00513989" w:rsidP="00513989">
            <w:pPr>
              <w:pStyle w:val="FootnoteText"/>
              <w:rPr>
                <w:b/>
                <w:sz w:val="24"/>
                <w:szCs w:val="24"/>
              </w:rPr>
            </w:pPr>
            <w:r w:rsidRPr="00327A61">
              <w:rPr>
                <w:b/>
                <w:sz w:val="24"/>
                <w:szCs w:val="24"/>
              </w:rPr>
              <w:t>Общо разходи за социални осигуровки и надбавки:</w:t>
            </w:r>
          </w:p>
        </w:tc>
        <w:tc>
          <w:tcPr>
            <w:tcW w:w="1141" w:type="dxa"/>
            <w:tcBorders>
              <w:top w:val="single" w:sz="4" w:space="0" w:color="auto"/>
              <w:left w:val="nil"/>
              <w:bottom w:val="single" w:sz="4" w:space="0" w:color="auto"/>
              <w:right w:val="single" w:sz="4" w:space="0" w:color="auto"/>
            </w:tcBorders>
            <w:vAlign w:val="bottom"/>
          </w:tcPr>
          <w:p w:rsidR="00513989" w:rsidRPr="00327A61" w:rsidRDefault="00513989" w:rsidP="00513989">
            <w:pPr>
              <w:jc w:val="center"/>
              <w:rPr>
                <w:b/>
                <w:snapToGrid w:val="0"/>
                <w:color w:val="000000"/>
                <w:lang w:eastAsia="en-US"/>
              </w:rPr>
            </w:pPr>
          </w:p>
        </w:tc>
        <w:tc>
          <w:tcPr>
            <w:tcW w:w="1211" w:type="dxa"/>
            <w:tcBorders>
              <w:top w:val="nil"/>
              <w:left w:val="single" w:sz="4" w:space="0" w:color="auto"/>
              <w:bottom w:val="single" w:sz="4" w:space="0" w:color="auto"/>
              <w:right w:val="single" w:sz="4" w:space="0" w:color="auto"/>
            </w:tcBorders>
            <w:shd w:val="clear" w:color="auto" w:fill="auto"/>
            <w:vAlign w:val="bottom"/>
          </w:tcPr>
          <w:p w:rsidR="00513989" w:rsidRPr="00327A61" w:rsidRDefault="00513989" w:rsidP="00513989">
            <w:pPr>
              <w:jc w:val="right"/>
            </w:pPr>
            <w:r w:rsidRPr="00327A61">
              <w:t>870 640</w:t>
            </w:r>
          </w:p>
        </w:tc>
        <w:tc>
          <w:tcPr>
            <w:tcW w:w="1176" w:type="dxa"/>
            <w:tcBorders>
              <w:top w:val="nil"/>
              <w:left w:val="nil"/>
              <w:bottom w:val="single" w:sz="4" w:space="0" w:color="auto"/>
              <w:right w:val="single" w:sz="4" w:space="0" w:color="auto"/>
            </w:tcBorders>
            <w:shd w:val="clear" w:color="auto" w:fill="auto"/>
            <w:vAlign w:val="bottom"/>
          </w:tcPr>
          <w:p w:rsidR="00513989" w:rsidRPr="00327A61" w:rsidRDefault="00513989" w:rsidP="00513989">
            <w:pPr>
              <w:jc w:val="right"/>
            </w:pPr>
            <w:r w:rsidRPr="00327A61">
              <w:t>5 653.51</w:t>
            </w:r>
          </w:p>
        </w:tc>
      </w:tr>
    </w:tbl>
    <w:p w:rsidR="000D4A2E" w:rsidRPr="00327A61" w:rsidRDefault="000D4A2E" w:rsidP="000D4A2E">
      <w:bookmarkStart w:id="46" w:name="_Toc288478117"/>
    </w:p>
    <w:p w:rsidR="00916960" w:rsidRPr="00327A61" w:rsidRDefault="003452DE" w:rsidP="00DD76F5">
      <w:pPr>
        <w:numPr>
          <w:ilvl w:val="0"/>
          <w:numId w:val="3"/>
        </w:numPr>
        <w:tabs>
          <w:tab w:val="clear" w:pos="113"/>
          <w:tab w:val="num" w:pos="851"/>
        </w:tabs>
        <w:spacing w:after="120"/>
        <w:ind w:firstLine="567"/>
        <w:jc w:val="both"/>
        <w:rPr>
          <w:rFonts w:eastAsia="Times New Roman"/>
          <w:lang w:eastAsia="bg-BG"/>
        </w:rPr>
      </w:pPr>
      <w:r w:rsidRPr="00327A61">
        <w:rPr>
          <w:rFonts w:eastAsia="Times New Roman"/>
          <w:lang w:eastAsia="bg-BG"/>
        </w:rPr>
        <w:t xml:space="preserve">Начислените средства в сметка </w:t>
      </w:r>
      <w:r w:rsidRPr="00327A61">
        <w:rPr>
          <w:rFonts w:eastAsia="Times New Roman"/>
          <w:b/>
          <w:i/>
          <w:lang w:eastAsia="bg-BG"/>
        </w:rPr>
        <w:t>други</w:t>
      </w:r>
      <w:r w:rsidRPr="00327A61">
        <w:rPr>
          <w:rFonts w:eastAsia="Times New Roman"/>
          <w:b/>
          <w:lang w:eastAsia="bg-BG"/>
        </w:rPr>
        <w:t xml:space="preserve"> </w:t>
      </w:r>
      <w:r w:rsidRPr="00327A61">
        <w:rPr>
          <w:rFonts w:eastAsia="Times New Roman"/>
          <w:b/>
          <w:i/>
          <w:lang w:eastAsia="bg-BG"/>
        </w:rPr>
        <w:t>разходи</w:t>
      </w:r>
      <w:r w:rsidRPr="00327A61">
        <w:rPr>
          <w:rFonts w:eastAsia="Times New Roman"/>
          <w:lang w:eastAsia="bg-BG"/>
        </w:rPr>
        <w:t xml:space="preserve"> за 201</w:t>
      </w:r>
      <w:r w:rsidR="00916960" w:rsidRPr="00327A61">
        <w:rPr>
          <w:rFonts w:eastAsia="Times New Roman"/>
          <w:lang w:eastAsia="bg-BG"/>
        </w:rPr>
        <w:t>7</w:t>
      </w:r>
      <w:r w:rsidRPr="00327A61">
        <w:rPr>
          <w:rFonts w:eastAsia="Times New Roman"/>
          <w:lang w:eastAsia="bg-BG"/>
        </w:rPr>
        <w:t>г. са със 1</w:t>
      </w:r>
      <w:r w:rsidR="00916960" w:rsidRPr="00327A61">
        <w:rPr>
          <w:rFonts w:eastAsia="Times New Roman"/>
          <w:lang w:eastAsia="bg-BG"/>
        </w:rPr>
        <w:t>75</w:t>
      </w:r>
      <w:r w:rsidRPr="00327A61">
        <w:rPr>
          <w:rFonts w:eastAsia="Times New Roman"/>
          <w:lang w:eastAsia="bg-BG"/>
        </w:rPr>
        <w:t xml:space="preserve"> хил.лв. по</w:t>
      </w:r>
      <w:r w:rsidR="00916960" w:rsidRPr="00327A61">
        <w:rPr>
          <w:rFonts w:eastAsia="Times New Roman"/>
          <w:lang w:eastAsia="bg-BG"/>
        </w:rPr>
        <w:t>-малко</w:t>
      </w:r>
      <w:r w:rsidRPr="00327A61">
        <w:rPr>
          <w:rFonts w:eastAsia="Times New Roman"/>
          <w:lang w:eastAsia="bg-BG"/>
        </w:rPr>
        <w:t xml:space="preserve"> (</w:t>
      </w:r>
      <w:r w:rsidR="00916960" w:rsidRPr="00327A61">
        <w:rPr>
          <w:rFonts w:eastAsia="Times New Roman"/>
          <w:lang w:eastAsia="bg-BG"/>
        </w:rPr>
        <w:t>54</w:t>
      </w:r>
      <w:r w:rsidR="00A44C24" w:rsidRPr="00327A61">
        <w:rPr>
          <w:rFonts w:eastAsia="Times New Roman"/>
          <w:lang w:eastAsia="bg-BG"/>
        </w:rPr>
        <w:t>%) спрямо предходната 201</w:t>
      </w:r>
      <w:r w:rsidR="00916960" w:rsidRPr="00327A61">
        <w:rPr>
          <w:rFonts w:eastAsia="Times New Roman"/>
          <w:lang w:eastAsia="bg-BG"/>
        </w:rPr>
        <w:t>6</w:t>
      </w:r>
      <w:r w:rsidR="00A44C24" w:rsidRPr="00327A61">
        <w:rPr>
          <w:rFonts w:eastAsia="Times New Roman"/>
          <w:lang w:eastAsia="bg-BG"/>
        </w:rPr>
        <w:t xml:space="preserve"> г.</w:t>
      </w:r>
      <w:r w:rsidR="00916960" w:rsidRPr="00327A61">
        <w:rPr>
          <w:rFonts w:eastAsia="Times New Roman"/>
          <w:lang w:eastAsia="bg-BG"/>
        </w:rPr>
        <w:t xml:space="preserve"> Намалението се дължи най-вече на липсата на разходи през 2017г. по две пера – </w:t>
      </w:r>
      <w:r w:rsidR="00916960" w:rsidRPr="00327A61">
        <w:rPr>
          <w:rFonts w:eastAsia="Times New Roman"/>
          <w:i/>
          <w:lang w:eastAsia="bg-BG"/>
        </w:rPr>
        <w:t>Съдебни дела</w:t>
      </w:r>
      <w:r w:rsidR="00916960" w:rsidRPr="00327A61">
        <w:rPr>
          <w:rFonts w:eastAsia="Times New Roman"/>
          <w:lang w:eastAsia="bg-BG"/>
        </w:rPr>
        <w:t xml:space="preserve"> и </w:t>
      </w:r>
      <w:r w:rsidR="00916960" w:rsidRPr="00327A61">
        <w:rPr>
          <w:rFonts w:eastAsia="Times New Roman"/>
          <w:i/>
          <w:lang w:eastAsia="bg-BG"/>
        </w:rPr>
        <w:t>Разходи за провеждане на 150 годишнината</w:t>
      </w:r>
      <w:r w:rsidR="00916960" w:rsidRPr="00327A61">
        <w:rPr>
          <w:rFonts w:eastAsia="Times New Roman"/>
          <w:lang w:eastAsia="bg-BG"/>
        </w:rPr>
        <w:t xml:space="preserve"> на дружеството през миналата 2016г. Намаление се забелязва и в перото </w:t>
      </w:r>
      <w:r w:rsidR="00916960" w:rsidRPr="00327A61">
        <w:rPr>
          <w:rFonts w:eastAsia="Times New Roman"/>
          <w:i/>
          <w:lang w:eastAsia="bg-BG"/>
        </w:rPr>
        <w:t>Командировки</w:t>
      </w:r>
      <w:r w:rsidR="00916960" w:rsidRPr="00327A61">
        <w:rPr>
          <w:rFonts w:eastAsia="Times New Roman"/>
          <w:lang w:eastAsia="bg-BG"/>
        </w:rPr>
        <w:t xml:space="preserve"> с </w:t>
      </w:r>
      <w:r w:rsidR="001C768F" w:rsidRPr="00327A61">
        <w:rPr>
          <w:rFonts w:eastAsia="Times New Roman"/>
          <w:lang w:eastAsia="bg-BG"/>
        </w:rPr>
        <w:t>-18 хил.лв. /-5,6 %/</w:t>
      </w:r>
      <w:bookmarkEnd w:id="45"/>
      <w:r w:rsidR="00234100">
        <w:rPr>
          <w:rFonts w:eastAsia="Times New Roman"/>
          <w:lang w:eastAsia="bg-BG"/>
        </w:rPr>
        <w:t>.</w:t>
      </w:r>
    </w:p>
    <w:p w:rsidR="00AB1D3F" w:rsidRPr="00327A61" w:rsidRDefault="00AB1D3F" w:rsidP="00AB1D3F">
      <w:pPr>
        <w:spacing w:after="120"/>
        <w:ind w:left="113"/>
        <w:jc w:val="both"/>
        <w:rPr>
          <w:rFonts w:eastAsia="Times New Roman"/>
          <w:lang w:eastAsia="bg-BG"/>
        </w:rPr>
      </w:pPr>
    </w:p>
    <w:p w:rsidR="00A7154F" w:rsidRPr="00327A61" w:rsidRDefault="00797519" w:rsidP="00AB1D3F">
      <w:pPr>
        <w:spacing w:after="120"/>
        <w:ind w:left="113"/>
        <w:jc w:val="center"/>
        <w:rPr>
          <w:rFonts w:eastAsia="Times New Roman"/>
          <w:lang w:eastAsia="bg-BG"/>
        </w:rPr>
      </w:pPr>
      <w:r w:rsidRPr="00327A61">
        <w:rPr>
          <w:noProof/>
          <w:lang w:eastAsia="bg-BG"/>
        </w:rPr>
        <w:drawing>
          <wp:inline distT="0" distB="0" distL="0" distR="0">
            <wp:extent cx="4810125" cy="2962275"/>
            <wp:effectExtent l="0" t="0" r="9525" b="9525"/>
            <wp:docPr id="11" name="Ди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FF41EB" w:rsidRPr="00327A61" w:rsidRDefault="00FF41EB" w:rsidP="001245CF">
      <w:pPr>
        <w:spacing w:after="120"/>
        <w:jc w:val="both"/>
        <w:rPr>
          <w:i/>
          <w:u w:val="single"/>
        </w:rPr>
      </w:pPr>
    </w:p>
    <w:p w:rsidR="00FF41EB" w:rsidRPr="00327A61" w:rsidRDefault="00FF41EB" w:rsidP="001245CF">
      <w:pPr>
        <w:spacing w:after="120"/>
        <w:jc w:val="both"/>
        <w:rPr>
          <w:i/>
          <w:u w:val="single"/>
        </w:rPr>
      </w:pPr>
    </w:p>
    <w:p w:rsidR="008438C4" w:rsidRPr="00327A61" w:rsidRDefault="008438C4" w:rsidP="001245CF">
      <w:pPr>
        <w:spacing w:after="120"/>
        <w:jc w:val="both"/>
        <w:rPr>
          <w:i/>
          <w:u w:val="single"/>
        </w:rPr>
      </w:pPr>
    </w:p>
    <w:p w:rsidR="00F948B7" w:rsidRPr="00327A61" w:rsidRDefault="00F948B7" w:rsidP="001245CF">
      <w:pPr>
        <w:spacing w:after="120"/>
        <w:jc w:val="both"/>
        <w:rPr>
          <w:i/>
          <w:u w:val="single"/>
        </w:rPr>
      </w:pPr>
    </w:p>
    <w:p w:rsidR="00F948B7" w:rsidRPr="00327A61" w:rsidRDefault="00F948B7" w:rsidP="001245CF">
      <w:pPr>
        <w:spacing w:after="120"/>
        <w:jc w:val="both"/>
        <w:rPr>
          <w:i/>
          <w:u w:val="single"/>
        </w:rPr>
      </w:pPr>
    </w:p>
    <w:p w:rsidR="009B06B2" w:rsidRPr="00327A61" w:rsidRDefault="009B06B2" w:rsidP="001245CF">
      <w:pPr>
        <w:spacing w:after="120"/>
        <w:jc w:val="both"/>
        <w:rPr>
          <w:i/>
          <w:u w:val="single"/>
        </w:rPr>
      </w:pPr>
    </w:p>
    <w:p w:rsidR="009B06B2" w:rsidRPr="00327A61" w:rsidRDefault="009B06B2" w:rsidP="001245CF">
      <w:pPr>
        <w:spacing w:after="120"/>
        <w:jc w:val="both"/>
        <w:rPr>
          <w:i/>
          <w:u w:val="single"/>
        </w:rPr>
      </w:pPr>
    </w:p>
    <w:p w:rsidR="00773F85" w:rsidRPr="00327A61" w:rsidRDefault="00E026C6" w:rsidP="00E026C6">
      <w:pPr>
        <w:pStyle w:val="Heading2"/>
        <w:tabs>
          <w:tab w:val="num" w:pos="720"/>
        </w:tabs>
        <w:spacing w:after="120"/>
        <w:ind w:left="1080"/>
        <w:rPr>
          <w:rFonts w:ascii="Times New Roman" w:hAnsi="Times New Roman"/>
          <w:i/>
          <w:sz w:val="24"/>
          <w:u w:val="single"/>
        </w:rPr>
      </w:pPr>
      <w:bookmarkStart w:id="47" w:name="_Toc477959775"/>
      <w:r w:rsidRPr="00327A61">
        <w:rPr>
          <w:rFonts w:ascii="Times New Roman" w:hAnsi="Times New Roman"/>
          <w:i/>
          <w:sz w:val="24"/>
          <w:u w:val="single"/>
          <w:lang w:val="en-US"/>
        </w:rPr>
        <w:lastRenderedPageBreak/>
        <w:t>4</w:t>
      </w:r>
      <w:r w:rsidRPr="00327A61">
        <w:rPr>
          <w:rFonts w:ascii="Times New Roman" w:hAnsi="Times New Roman"/>
          <w:i/>
          <w:sz w:val="24"/>
          <w:u w:val="single"/>
        </w:rPr>
        <w:t xml:space="preserve">) </w:t>
      </w:r>
      <w:r w:rsidR="00773F85" w:rsidRPr="00327A61">
        <w:rPr>
          <w:rFonts w:ascii="Times New Roman" w:hAnsi="Times New Roman"/>
          <w:i/>
          <w:smallCaps/>
          <w:sz w:val="24"/>
          <w:u w:val="single"/>
        </w:rPr>
        <w:t>Приходи и разходи по основни видове дейности (Центрове на печалбата</w:t>
      </w:r>
      <w:r w:rsidR="00773F85" w:rsidRPr="00327A61">
        <w:rPr>
          <w:rFonts w:ascii="Times New Roman" w:hAnsi="Times New Roman"/>
          <w:i/>
          <w:sz w:val="24"/>
          <w:u w:val="single"/>
        </w:rPr>
        <w:t>)</w:t>
      </w:r>
      <w:bookmarkEnd w:id="46"/>
      <w:bookmarkEnd w:id="47"/>
    </w:p>
    <w:tbl>
      <w:tblPr>
        <w:tblW w:w="10065" w:type="dxa"/>
        <w:tblInd w:w="108" w:type="dxa"/>
        <w:tblBorders>
          <w:top w:val="single" w:sz="12" w:space="0" w:color="008080"/>
          <w:left w:val="single" w:sz="6" w:space="0" w:color="008080"/>
          <w:bottom w:val="single" w:sz="12" w:space="0" w:color="008080"/>
          <w:right w:val="single" w:sz="6" w:space="0" w:color="008080"/>
        </w:tblBorders>
        <w:tblLayout w:type="fixed"/>
        <w:tblLook w:val="0000" w:firstRow="0" w:lastRow="0" w:firstColumn="0" w:lastColumn="0" w:noHBand="0" w:noVBand="0"/>
      </w:tblPr>
      <w:tblGrid>
        <w:gridCol w:w="4140"/>
        <w:gridCol w:w="1080"/>
        <w:gridCol w:w="1080"/>
        <w:gridCol w:w="1355"/>
        <w:gridCol w:w="1080"/>
        <w:gridCol w:w="1330"/>
      </w:tblGrid>
      <w:tr w:rsidR="004B48E2" w:rsidRPr="00327A61" w:rsidTr="00A7154F">
        <w:trPr>
          <w:trHeight w:val="420"/>
        </w:trPr>
        <w:tc>
          <w:tcPr>
            <w:tcW w:w="4140" w:type="dxa"/>
            <w:tcBorders>
              <w:bottom w:val="single" w:sz="4" w:space="0" w:color="auto"/>
            </w:tcBorders>
            <w:shd w:val="solid" w:color="C0C0C0" w:fill="FFFFFF"/>
          </w:tcPr>
          <w:p w:rsidR="004B48E2" w:rsidRPr="00327A61" w:rsidRDefault="00773F85" w:rsidP="001834E1">
            <w:pPr>
              <w:rPr>
                <w:rFonts w:ascii="Arial" w:hAnsi="Arial" w:cs="Arial"/>
                <w:sz w:val="22"/>
                <w:szCs w:val="22"/>
              </w:rPr>
            </w:pPr>
            <w:bookmarkStart w:id="48" w:name="_Hlk506994975"/>
            <w:r w:rsidRPr="00327A61">
              <w:t xml:space="preserve"> </w:t>
            </w:r>
            <w:r w:rsidR="004B48E2" w:rsidRPr="00327A61">
              <w:rPr>
                <w:rFonts w:ascii="Arial" w:hAnsi="Arial" w:cs="Arial"/>
                <w:sz w:val="22"/>
                <w:szCs w:val="22"/>
              </w:rPr>
              <w:t> </w:t>
            </w:r>
          </w:p>
        </w:tc>
        <w:tc>
          <w:tcPr>
            <w:tcW w:w="5925" w:type="dxa"/>
            <w:gridSpan w:val="5"/>
            <w:tcBorders>
              <w:bottom w:val="single" w:sz="4" w:space="0" w:color="auto"/>
            </w:tcBorders>
            <w:shd w:val="solid" w:color="C0C0C0" w:fill="FFFFFF"/>
            <w:vAlign w:val="center"/>
          </w:tcPr>
          <w:p w:rsidR="004B48E2" w:rsidRPr="00327A61" w:rsidRDefault="004B48E2" w:rsidP="00D534AA">
            <w:pPr>
              <w:jc w:val="center"/>
              <w:rPr>
                <w:rFonts w:ascii="Arial" w:hAnsi="Arial" w:cs="Arial"/>
                <w:b/>
                <w:sz w:val="22"/>
                <w:szCs w:val="22"/>
              </w:rPr>
            </w:pPr>
            <w:r w:rsidRPr="00327A61">
              <w:rPr>
                <w:rFonts w:ascii="Arial" w:hAnsi="Arial" w:cs="Arial"/>
                <w:b/>
                <w:sz w:val="22"/>
                <w:szCs w:val="22"/>
              </w:rPr>
              <w:t>20</w:t>
            </w:r>
            <w:r w:rsidR="0053382A" w:rsidRPr="00327A61">
              <w:rPr>
                <w:rFonts w:ascii="Arial" w:hAnsi="Arial" w:cs="Arial"/>
                <w:b/>
                <w:sz w:val="22"/>
                <w:szCs w:val="22"/>
                <w:lang w:val="en-US"/>
              </w:rPr>
              <w:t>1</w:t>
            </w:r>
            <w:r w:rsidR="00513989" w:rsidRPr="00327A61">
              <w:rPr>
                <w:rFonts w:ascii="Arial" w:hAnsi="Arial" w:cs="Arial"/>
                <w:b/>
                <w:sz w:val="22"/>
                <w:szCs w:val="22"/>
              </w:rPr>
              <w:t>7</w:t>
            </w:r>
            <w:r w:rsidR="00017ACD" w:rsidRPr="00327A61">
              <w:rPr>
                <w:rFonts w:ascii="Arial" w:hAnsi="Arial" w:cs="Arial"/>
                <w:b/>
                <w:sz w:val="22"/>
                <w:szCs w:val="22"/>
              </w:rPr>
              <w:t xml:space="preserve"> </w:t>
            </w:r>
            <w:r w:rsidRPr="00327A61">
              <w:rPr>
                <w:rFonts w:ascii="Arial" w:hAnsi="Arial" w:cs="Arial"/>
                <w:b/>
                <w:sz w:val="22"/>
                <w:szCs w:val="22"/>
              </w:rPr>
              <w:t>г.</w:t>
            </w:r>
          </w:p>
        </w:tc>
      </w:tr>
      <w:tr w:rsidR="004B48E2" w:rsidRPr="00327A61" w:rsidTr="00A7154F">
        <w:trPr>
          <w:trHeight w:val="703"/>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F2098A" w:rsidRPr="00327A61" w:rsidRDefault="004B48E2" w:rsidP="00217999">
            <w:pPr>
              <w:pStyle w:val="FootnoteText"/>
              <w:jc w:val="center"/>
              <w:rPr>
                <w:rFonts w:ascii="Arial" w:hAnsi="Arial" w:cs="Arial"/>
                <w:b/>
              </w:rPr>
            </w:pPr>
            <w:r w:rsidRPr="00327A61">
              <w:rPr>
                <w:rFonts w:ascii="Arial" w:hAnsi="Arial" w:cs="Arial"/>
                <w:b/>
              </w:rPr>
              <w:t>ПРИХОДИ / РАЗХОДИ</w:t>
            </w:r>
          </w:p>
          <w:p w:rsidR="004B48E2" w:rsidRPr="00327A61" w:rsidRDefault="004B48E2" w:rsidP="00217999">
            <w:pPr>
              <w:pStyle w:val="FootnoteText"/>
              <w:jc w:val="center"/>
              <w:rPr>
                <w:rFonts w:ascii="Arial" w:hAnsi="Arial" w:cs="Arial"/>
                <w:b/>
              </w:rPr>
            </w:pPr>
            <w:r w:rsidRPr="00327A61">
              <w:rPr>
                <w:rFonts w:ascii="Arial" w:hAnsi="Arial" w:cs="Arial"/>
                <w:b/>
              </w:rPr>
              <w:t>по центрове на печалбата (хил.лв.)</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4B48E2" w:rsidRPr="00327A61" w:rsidRDefault="004B48E2" w:rsidP="00CD6AA0">
            <w:pPr>
              <w:jc w:val="center"/>
              <w:rPr>
                <w:rFonts w:ascii="Arial" w:hAnsi="Arial" w:cs="Arial"/>
                <w:b/>
                <w:snapToGrid w:val="0"/>
                <w:sz w:val="20"/>
                <w:szCs w:val="20"/>
                <w:lang w:val="ru-RU" w:eastAsia="en-US"/>
              </w:rPr>
            </w:pPr>
            <w:r w:rsidRPr="00327A61">
              <w:rPr>
                <w:rFonts w:ascii="Arial" w:hAnsi="Arial" w:cs="Arial"/>
                <w:b/>
                <w:snapToGrid w:val="0"/>
                <w:sz w:val="20"/>
                <w:szCs w:val="20"/>
                <w:lang w:val="ru-RU" w:eastAsia="en-US"/>
              </w:rPr>
              <w:t>20</w:t>
            </w:r>
            <w:r w:rsidR="007A2761" w:rsidRPr="00327A61">
              <w:rPr>
                <w:rFonts w:ascii="Arial" w:hAnsi="Arial" w:cs="Arial"/>
                <w:b/>
                <w:snapToGrid w:val="0"/>
                <w:sz w:val="20"/>
                <w:szCs w:val="20"/>
                <w:lang w:val="ru-RU" w:eastAsia="en-US"/>
              </w:rPr>
              <w:t>1</w:t>
            </w:r>
            <w:r w:rsidR="00513989" w:rsidRPr="00327A61">
              <w:rPr>
                <w:rFonts w:ascii="Arial" w:hAnsi="Arial" w:cs="Arial"/>
                <w:b/>
                <w:snapToGrid w:val="0"/>
                <w:sz w:val="20"/>
                <w:szCs w:val="20"/>
                <w:lang w:eastAsia="en-US"/>
              </w:rPr>
              <w:t>7</w:t>
            </w:r>
            <w:r w:rsidRPr="00327A61">
              <w:rPr>
                <w:rFonts w:ascii="Arial" w:hAnsi="Arial" w:cs="Arial"/>
                <w:b/>
                <w:snapToGrid w:val="0"/>
                <w:sz w:val="20"/>
                <w:szCs w:val="20"/>
                <w:lang w:val="ru-RU" w:eastAsia="en-US"/>
              </w:rPr>
              <w:t xml:space="preserve"> г.</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4B48E2" w:rsidRPr="00327A61" w:rsidRDefault="00CF04D6" w:rsidP="00217999">
            <w:pPr>
              <w:jc w:val="center"/>
              <w:rPr>
                <w:rFonts w:ascii="Arial" w:hAnsi="Arial" w:cs="Arial"/>
                <w:b/>
                <w:snapToGrid w:val="0"/>
                <w:sz w:val="20"/>
                <w:szCs w:val="20"/>
                <w:lang w:eastAsia="en-US"/>
              </w:rPr>
            </w:pPr>
            <w:r w:rsidRPr="00327A61">
              <w:rPr>
                <w:rFonts w:ascii="Arial" w:hAnsi="Arial" w:cs="Arial"/>
                <w:b/>
                <w:snapToGrid w:val="0"/>
                <w:sz w:val="20"/>
                <w:szCs w:val="20"/>
                <w:lang w:val="ru-RU" w:eastAsia="en-US"/>
              </w:rPr>
              <w:t>Б</w:t>
            </w:r>
            <w:r w:rsidR="004B48E2" w:rsidRPr="00327A61">
              <w:rPr>
                <w:rFonts w:ascii="Arial" w:hAnsi="Arial" w:cs="Arial"/>
                <w:b/>
                <w:snapToGrid w:val="0"/>
                <w:sz w:val="20"/>
                <w:szCs w:val="20"/>
                <w:lang w:val="ru-RU" w:eastAsia="en-US"/>
              </w:rPr>
              <w:t>изнес план</w:t>
            </w:r>
            <w:r w:rsidR="00CD6AA0" w:rsidRPr="00327A61">
              <w:rPr>
                <w:rFonts w:ascii="Arial" w:hAnsi="Arial" w:cs="Arial"/>
                <w:b/>
                <w:snapToGrid w:val="0"/>
                <w:sz w:val="20"/>
                <w:szCs w:val="20"/>
                <w:lang w:val="en-US" w:eastAsia="en-US"/>
              </w:rPr>
              <w:t xml:space="preserve"> 201</w:t>
            </w:r>
            <w:r w:rsidR="00513989" w:rsidRPr="00327A61">
              <w:rPr>
                <w:rFonts w:ascii="Arial" w:hAnsi="Arial" w:cs="Arial"/>
                <w:b/>
                <w:snapToGrid w:val="0"/>
                <w:sz w:val="20"/>
                <w:szCs w:val="20"/>
                <w:lang w:eastAsia="en-US"/>
              </w:rPr>
              <w:t>7</w:t>
            </w:r>
          </w:p>
        </w:tc>
        <w:tc>
          <w:tcPr>
            <w:tcW w:w="1355" w:type="dxa"/>
            <w:tcBorders>
              <w:top w:val="single" w:sz="4" w:space="0" w:color="auto"/>
              <w:left w:val="single" w:sz="4" w:space="0" w:color="auto"/>
              <w:bottom w:val="single" w:sz="4" w:space="0" w:color="auto"/>
              <w:right w:val="single" w:sz="4" w:space="0" w:color="auto"/>
            </w:tcBorders>
            <w:shd w:val="clear" w:color="auto" w:fill="auto"/>
            <w:vAlign w:val="center"/>
          </w:tcPr>
          <w:p w:rsidR="004B48E2" w:rsidRPr="00327A61" w:rsidRDefault="004B48E2" w:rsidP="00217999">
            <w:pPr>
              <w:jc w:val="center"/>
              <w:rPr>
                <w:rFonts w:ascii="Arial" w:hAnsi="Arial" w:cs="Arial"/>
                <w:b/>
                <w:snapToGrid w:val="0"/>
                <w:sz w:val="20"/>
                <w:szCs w:val="20"/>
                <w:lang w:val="ru-RU" w:eastAsia="en-US"/>
              </w:rPr>
            </w:pPr>
            <w:r w:rsidRPr="00327A61">
              <w:rPr>
                <w:rFonts w:ascii="Arial" w:hAnsi="Arial" w:cs="Arial"/>
                <w:b/>
                <w:snapToGrid w:val="0"/>
                <w:sz w:val="20"/>
                <w:szCs w:val="20"/>
                <w:lang w:val="ru-RU" w:eastAsia="en-US"/>
              </w:rPr>
              <w:t>Изменение (%)</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4B48E2" w:rsidRPr="00327A61" w:rsidRDefault="004B48E2" w:rsidP="00CD6AA0">
            <w:pPr>
              <w:jc w:val="center"/>
              <w:rPr>
                <w:rFonts w:ascii="Arial" w:hAnsi="Arial" w:cs="Arial"/>
                <w:b/>
                <w:snapToGrid w:val="0"/>
                <w:sz w:val="20"/>
                <w:szCs w:val="20"/>
                <w:lang w:eastAsia="en-US"/>
              </w:rPr>
            </w:pPr>
            <w:r w:rsidRPr="00327A61">
              <w:rPr>
                <w:rFonts w:ascii="Arial" w:hAnsi="Arial" w:cs="Arial"/>
                <w:b/>
                <w:snapToGrid w:val="0"/>
                <w:sz w:val="20"/>
                <w:szCs w:val="20"/>
                <w:lang w:eastAsia="en-US"/>
              </w:rPr>
              <w:t>20</w:t>
            </w:r>
            <w:r w:rsidR="003C1B25" w:rsidRPr="00327A61">
              <w:rPr>
                <w:rFonts w:ascii="Arial" w:hAnsi="Arial" w:cs="Arial"/>
                <w:b/>
                <w:snapToGrid w:val="0"/>
                <w:sz w:val="20"/>
                <w:szCs w:val="20"/>
                <w:lang w:eastAsia="en-US"/>
              </w:rPr>
              <w:t>1</w:t>
            </w:r>
            <w:r w:rsidR="00513989" w:rsidRPr="00327A61">
              <w:rPr>
                <w:rFonts w:ascii="Arial" w:hAnsi="Arial" w:cs="Arial"/>
                <w:b/>
                <w:snapToGrid w:val="0"/>
                <w:sz w:val="20"/>
                <w:szCs w:val="20"/>
                <w:lang w:eastAsia="en-US"/>
              </w:rPr>
              <w:t>6</w:t>
            </w:r>
            <w:r w:rsidRPr="00327A61">
              <w:rPr>
                <w:rFonts w:ascii="Arial" w:hAnsi="Arial" w:cs="Arial"/>
                <w:b/>
                <w:snapToGrid w:val="0"/>
                <w:sz w:val="20"/>
                <w:szCs w:val="20"/>
                <w:lang w:eastAsia="en-US"/>
              </w:rPr>
              <w:t xml:space="preserve"> г.</w:t>
            </w:r>
          </w:p>
        </w:tc>
        <w:tc>
          <w:tcPr>
            <w:tcW w:w="1330" w:type="dxa"/>
            <w:tcBorders>
              <w:top w:val="single" w:sz="4" w:space="0" w:color="auto"/>
              <w:left w:val="single" w:sz="4" w:space="0" w:color="auto"/>
              <w:bottom w:val="single" w:sz="4" w:space="0" w:color="auto"/>
              <w:right w:val="single" w:sz="4" w:space="0" w:color="auto"/>
            </w:tcBorders>
            <w:shd w:val="clear" w:color="auto" w:fill="auto"/>
            <w:vAlign w:val="center"/>
          </w:tcPr>
          <w:p w:rsidR="004B48E2" w:rsidRPr="00327A61" w:rsidRDefault="004B48E2" w:rsidP="00217999">
            <w:pPr>
              <w:jc w:val="center"/>
              <w:rPr>
                <w:rFonts w:ascii="Arial" w:hAnsi="Arial" w:cs="Arial"/>
                <w:b/>
                <w:snapToGrid w:val="0"/>
                <w:sz w:val="20"/>
                <w:szCs w:val="20"/>
                <w:lang w:val="en-US" w:eastAsia="en-US"/>
              </w:rPr>
            </w:pPr>
            <w:r w:rsidRPr="00327A61">
              <w:rPr>
                <w:rFonts w:ascii="Arial" w:hAnsi="Arial" w:cs="Arial"/>
                <w:b/>
                <w:snapToGrid w:val="0"/>
                <w:sz w:val="20"/>
                <w:szCs w:val="20"/>
                <w:lang w:val="ru-RU" w:eastAsia="en-US"/>
              </w:rPr>
              <w:t>Изменение</w:t>
            </w:r>
            <w:r w:rsidRPr="00327A61">
              <w:rPr>
                <w:rFonts w:ascii="Arial" w:hAnsi="Arial" w:cs="Arial"/>
                <w:b/>
                <w:snapToGrid w:val="0"/>
                <w:sz w:val="20"/>
                <w:szCs w:val="20"/>
                <w:lang w:val="en-US" w:eastAsia="en-US"/>
              </w:rPr>
              <w:t xml:space="preserve"> (%)</w:t>
            </w:r>
          </w:p>
        </w:tc>
      </w:tr>
      <w:tr w:rsidR="00513989" w:rsidRPr="00327A61" w:rsidTr="00F2098A">
        <w:trPr>
          <w:trHeight w:val="278"/>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513989" w:rsidRPr="00327A61" w:rsidRDefault="00513989" w:rsidP="00F2098A">
            <w:pPr>
              <w:pStyle w:val="FootnoteText"/>
              <w:ind w:left="201"/>
              <w:rPr>
                <w:rFonts w:ascii="Arial" w:hAnsi="Arial" w:cs="Arial"/>
              </w:rPr>
            </w:pPr>
            <w:r w:rsidRPr="00327A61">
              <w:rPr>
                <w:rFonts w:ascii="Arial" w:hAnsi="Arial" w:cs="Arial"/>
              </w:rPr>
              <w:t>- приходи от претоварна дейност</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lang w:eastAsia="bg-BG"/>
              </w:rPr>
            </w:pPr>
            <w:r w:rsidRPr="00327A61">
              <w:rPr>
                <w:rFonts w:ascii="Arial" w:hAnsi="Arial" w:cs="Arial"/>
                <w:sz w:val="20"/>
                <w:szCs w:val="20"/>
              </w:rPr>
              <w:t>3 095</w:t>
            </w:r>
          </w:p>
        </w:tc>
        <w:tc>
          <w:tcPr>
            <w:tcW w:w="1080"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3 066</w:t>
            </w:r>
          </w:p>
        </w:tc>
        <w:tc>
          <w:tcPr>
            <w:tcW w:w="135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0.9%</w:t>
            </w:r>
          </w:p>
        </w:tc>
        <w:tc>
          <w:tcPr>
            <w:tcW w:w="1080"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3 700</w:t>
            </w:r>
          </w:p>
        </w:tc>
        <w:tc>
          <w:tcPr>
            <w:tcW w:w="1330"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-16.4%</w:t>
            </w:r>
          </w:p>
        </w:tc>
      </w:tr>
      <w:tr w:rsidR="00513989" w:rsidRPr="00327A61" w:rsidTr="00F2098A">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513989" w:rsidRPr="00327A61" w:rsidRDefault="00513989" w:rsidP="00F2098A">
            <w:pPr>
              <w:ind w:left="201"/>
              <w:rPr>
                <w:rFonts w:ascii="Arial" w:hAnsi="Arial" w:cs="Arial"/>
                <w:sz w:val="20"/>
                <w:szCs w:val="20"/>
                <w:lang w:val="en-US"/>
              </w:rPr>
            </w:pPr>
            <w:r w:rsidRPr="00327A61">
              <w:rPr>
                <w:rFonts w:ascii="Arial" w:hAnsi="Arial" w:cs="Arial"/>
                <w:sz w:val="20"/>
                <w:szCs w:val="20"/>
              </w:rPr>
              <w:t>- разходи за претоварна дейност</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2 436</w:t>
            </w:r>
          </w:p>
        </w:tc>
        <w:tc>
          <w:tcPr>
            <w:tcW w:w="1080"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2 283</w:t>
            </w:r>
          </w:p>
        </w:tc>
        <w:tc>
          <w:tcPr>
            <w:tcW w:w="135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6.7%</w:t>
            </w:r>
          </w:p>
        </w:tc>
        <w:tc>
          <w:tcPr>
            <w:tcW w:w="1080"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2 465</w:t>
            </w:r>
          </w:p>
        </w:tc>
        <w:tc>
          <w:tcPr>
            <w:tcW w:w="1330"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-1.2%</w:t>
            </w:r>
          </w:p>
        </w:tc>
      </w:tr>
      <w:tr w:rsidR="00513989" w:rsidRPr="00327A61" w:rsidTr="00F2098A">
        <w:trPr>
          <w:trHeight w:val="401"/>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513989" w:rsidRPr="00327A61" w:rsidRDefault="00513989" w:rsidP="00F2098A">
            <w:pPr>
              <w:rPr>
                <w:rFonts w:ascii="Arial" w:hAnsi="Arial" w:cs="Arial"/>
                <w:b/>
                <w:sz w:val="20"/>
                <w:szCs w:val="20"/>
              </w:rPr>
            </w:pPr>
            <w:r w:rsidRPr="00327A61">
              <w:rPr>
                <w:rFonts w:ascii="Arial" w:hAnsi="Arial" w:cs="Arial"/>
                <w:b/>
                <w:sz w:val="20"/>
                <w:szCs w:val="20"/>
              </w:rPr>
              <w:t>Печалба от претоварна дейност</w:t>
            </w:r>
          </w:p>
        </w:tc>
        <w:tc>
          <w:tcPr>
            <w:tcW w:w="1080" w:type="dxa"/>
            <w:tcBorders>
              <w:top w:val="nil"/>
              <w:left w:val="single" w:sz="4" w:space="0" w:color="auto"/>
              <w:bottom w:val="single" w:sz="4" w:space="0" w:color="auto"/>
              <w:right w:val="single" w:sz="4" w:space="0" w:color="auto"/>
            </w:tcBorders>
            <w:shd w:val="clear" w:color="000000" w:fill="FFFFFF"/>
            <w:vAlign w:val="center"/>
          </w:tcPr>
          <w:p w:rsidR="00513989" w:rsidRPr="00327A61" w:rsidRDefault="00513989" w:rsidP="00F2098A">
            <w:pPr>
              <w:jc w:val="right"/>
              <w:rPr>
                <w:rFonts w:ascii="Arial" w:hAnsi="Arial" w:cs="Arial"/>
                <w:b/>
                <w:bCs/>
                <w:sz w:val="20"/>
                <w:szCs w:val="20"/>
              </w:rPr>
            </w:pPr>
            <w:r w:rsidRPr="00327A61">
              <w:rPr>
                <w:rFonts w:ascii="Arial" w:hAnsi="Arial" w:cs="Arial"/>
                <w:b/>
                <w:bCs/>
                <w:sz w:val="20"/>
                <w:szCs w:val="20"/>
              </w:rPr>
              <w:t>659</w:t>
            </w:r>
          </w:p>
        </w:tc>
        <w:tc>
          <w:tcPr>
            <w:tcW w:w="1080" w:type="dxa"/>
            <w:tcBorders>
              <w:top w:val="nil"/>
              <w:left w:val="nil"/>
              <w:bottom w:val="single" w:sz="4" w:space="0" w:color="auto"/>
              <w:right w:val="single" w:sz="4" w:space="0" w:color="auto"/>
            </w:tcBorders>
            <w:shd w:val="clear" w:color="000000" w:fill="FFFFFF"/>
            <w:vAlign w:val="center"/>
          </w:tcPr>
          <w:p w:rsidR="00513989" w:rsidRPr="00327A61" w:rsidRDefault="00513989" w:rsidP="00F2098A">
            <w:pPr>
              <w:jc w:val="right"/>
              <w:rPr>
                <w:rFonts w:ascii="Arial" w:hAnsi="Arial" w:cs="Arial"/>
                <w:b/>
                <w:bCs/>
                <w:sz w:val="20"/>
                <w:szCs w:val="20"/>
              </w:rPr>
            </w:pPr>
            <w:r w:rsidRPr="00327A61">
              <w:rPr>
                <w:rFonts w:ascii="Arial" w:hAnsi="Arial" w:cs="Arial"/>
                <w:b/>
                <w:bCs/>
                <w:sz w:val="20"/>
                <w:szCs w:val="20"/>
              </w:rPr>
              <w:t>783</w:t>
            </w:r>
          </w:p>
        </w:tc>
        <w:tc>
          <w:tcPr>
            <w:tcW w:w="1355" w:type="dxa"/>
            <w:tcBorders>
              <w:top w:val="nil"/>
              <w:left w:val="nil"/>
              <w:bottom w:val="single" w:sz="4" w:space="0" w:color="auto"/>
              <w:right w:val="single" w:sz="4" w:space="0" w:color="auto"/>
            </w:tcBorders>
            <w:shd w:val="clear" w:color="000000" w:fill="FFFFFF"/>
            <w:vAlign w:val="center"/>
          </w:tcPr>
          <w:p w:rsidR="00513989" w:rsidRPr="00327A61" w:rsidRDefault="00513989" w:rsidP="00F2098A">
            <w:pPr>
              <w:jc w:val="right"/>
              <w:rPr>
                <w:rFonts w:ascii="Arial" w:hAnsi="Arial" w:cs="Arial"/>
                <w:b/>
                <w:bCs/>
                <w:sz w:val="20"/>
                <w:szCs w:val="20"/>
              </w:rPr>
            </w:pPr>
            <w:r w:rsidRPr="00327A61">
              <w:rPr>
                <w:rFonts w:ascii="Arial" w:hAnsi="Arial" w:cs="Arial"/>
                <w:b/>
                <w:bCs/>
                <w:sz w:val="20"/>
                <w:szCs w:val="20"/>
              </w:rPr>
              <w:t>-15.8%</w:t>
            </w:r>
          </w:p>
        </w:tc>
        <w:tc>
          <w:tcPr>
            <w:tcW w:w="1080" w:type="dxa"/>
            <w:tcBorders>
              <w:top w:val="nil"/>
              <w:left w:val="nil"/>
              <w:bottom w:val="single" w:sz="4" w:space="0" w:color="auto"/>
              <w:right w:val="single" w:sz="4" w:space="0" w:color="auto"/>
            </w:tcBorders>
            <w:shd w:val="clear" w:color="000000" w:fill="FFFFFF"/>
            <w:vAlign w:val="center"/>
          </w:tcPr>
          <w:p w:rsidR="00513989" w:rsidRPr="00327A61" w:rsidRDefault="00513989" w:rsidP="00F2098A">
            <w:pPr>
              <w:jc w:val="right"/>
              <w:rPr>
                <w:rFonts w:ascii="Arial" w:hAnsi="Arial" w:cs="Arial"/>
                <w:b/>
                <w:bCs/>
                <w:sz w:val="20"/>
                <w:szCs w:val="20"/>
              </w:rPr>
            </w:pPr>
            <w:r w:rsidRPr="00327A61">
              <w:rPr>
                <w:rFonts w:ascii="Arial" w:hAnsi="Arial" w:cs="Arial"/>
                <w:b/>
                <w:bCs/>
                <w:sz w:val="20"/>
                <w:szCs w:val="20"/>
              </w:rPr>
              <w:t>1 235</w:t>
            </w:r>
          </w:p>
        </w:tc>
        <w:tc>
          <w:tcPr>
            <w:tcW w:w="1330" w:type="dxa"/>
            <w:tcBorders>
              <w:top w:val="nil"/>
              <w:left w:val="nil"/>
              <w:bottom w:val="single" w:sz="4" w:space="0" w:color="auto"/>
              <w:right w:val="single" w:sz="4" w:space="0" w:color="auto"/>
            </w:tcBorders>
            <w:shd w:val="clear" w:color="000000" w:fill="FFFFFF"/>
            <w:vAlign w:val="center"/>
          </w:tcPr>
          <w:p w:rsidR="00513989" w:rsidRPr="00327A61" w:rsidRDefault="00513989" w:rsidP="00F2098A">
            <w:pPr>
              <w:jc w:val="right"/>
              <w:rPr>
                <w:rFonts w:ascii="Arial" w:hAnsi="Arial" w:cs="Arial"/>
                <w:b/>
                <w:bCs/>
                <w:sz w:val="20"/>
                <w:szCs w:val="20"/>
              </w:rPr>
            </w:pPr>
            <w:r w:rsidRPr="00327A61">
              <w:rPr>
                <w:rFonts w:ascii="Arial" w:hAnsi="Arial" w:cs="Arial"/>
                <w:b/>
                <w:bCs/>
                <w:sz w:val="20"/>
                <w:szCs w:val="20"/>
              </w:rPr>
              <w:t>-46.6%</w:t>
            </w:r>
          </w:p>
        </w:tc>
      </w:tr>
      <w:tr w:rsidR="00513989" w:rsidRPr="00327A61" w:rsidTr="00F2098A">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513989" w:rsidRPr="00327A61" w:rsidRDefault="00513989" w:rsidP="00F2098A">
            <w:pPr>
              <w:ind w:left="201"/>
              <w:rPr>
                <w:rFonts w:ascii="Arial" w:hAnsi="Arial" w:cs="Arial"/>
                <w:sz w:val="20"/>
                <w:szCs w:val="20"/>
              </w:rPr>
            </w:pPr>
            <w:r w:rsidRPr="00327A61">
              <w:rPr>
                <w:rFonts w:ascii="Arial" w:hAnsi="Arial" w:cs="Arial"/>
                <w:sz w:val="20"/>
                <w:szCs w:val="20"/>
              </w:rPr>
              <w:t>- приходи от съхранение</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1 631</w:t>
            </w:r>
          </w:p>
        </w:tc>
        <w:tc>
          <w:tcPr>
            <w:tcW w:w="1080"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1 935</w:t>
            </w:r>
          </w:p>
        </w:tc>
        <w:tc>
          <w:tcPr>
            <w:tcW w:w="135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-15.7%</w:t>
            </w:r>
          </w:p>
        </w:tc>
        <w:tc>
          <w:tcPr>
            <w:tcW w:w="1080"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2 086</w:t>
            </w:r>
          </w:p>
        </w:tc>
        <w:tc>
          <w:tcPr>
            <w:tcW w:w="1330"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-21.8%</w:t>
            </w:r>
          </w:p>
        </w:tc>
      </w:tr>
      <w:tr w:rsidR="00513989" w:rsidRPr="00327A61" w:rsidTr="00F2098A">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513989" w:rsidRPr="00327A61" w:rsidRDefault="00513989" w:rsidP="00F2098A">
            <w:pPr>
              <w:ind w:left="201"/>
              <w:rPr>
                <w:rFonts w:ascii="Arial" w:hAnsi="Arial" w:cs="Arial"/>
                <w:sz w:val="20"/>
                <w:szCs w:val="20"/>
              </w:rPr>
            </w:pPr>
            <w:r w:rsidRPr="00327A61">
              <w:rPr>
                <w:rFonts w:ascii="Arial" w:hAnsi="Arial" w:cs="Arial"/>
                <w:sz w:val="20"/>
                <w:szCs w:val="20"/>
              </w:rPr>
              <w:t>- разходи за съхранение</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488</w:t>
            </w:r>
          </w:p>
        </w:tc>
        <w:tc>
          <w:tcPr>
            <w:tcW w:w="1080"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496</w:t>
            </w:r>
          </w:p>
        </w:tc>
        <w:tc>
          <w:tcPr>
            <w:tcW w:w="135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-1.6%</w:t>
            </w:r>
          </w:p>
        </w:tc>
        <w:tc>
          <w:tcPr>
            <w:tcW w:w="1080"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549</w:t>
            </w:r>
          </w:p>
        </w:tc>
        <w:tc>
          <w:tcPr>
            <w:tcW w:w="1330"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rFonts w:ascii="Arial" w:hAnsi="Arial" w:cs="Arial"/>
                <w:sz w:val="20"/>
                <w:szCs w:val="20"/>
              </w:rPr>
            </w:pPr>
            <w:r w:rsidRPr="00327A61">
              <w:rPr>
                <w:rFonts w:ascii="Arial" w:hAnsi="Arial" w:cs="Arial"/>
                <w:sz w:val="20"/>
                <w:szCs w:val="20"/>
              </w:rPr>
              <w:t>-11.1%</w:t>
            </w:r>
          </w:p>
        </w:tc>
      </w:tr>
      <w:tr w:rsidR="00513989" w:rsidRPr="00327A61" w:rsidTr="00F2098A">
        <w:trPr>
          <w:trHeight w:val="349"/>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513989" w:rsidRPr="00327A61" w:rsidRDefault="00513989" w:rsidP="00F2098A">
            <w:pPr>
              <w:rPr>
                <w:rFonts w:ascii="Arial" w:hAnsi="Arial" w:cs="Arial"/>
                <w:b/>
                <w:sz w:val="20"/>
                <w:szCs w:val="20"/>
              </w:rPr>
            </w:pPr>
            <w:r w:rsidRPr="00327A61">
              <w:rPr>
                <w:rFonts w:ascii="Arial" w:hAnsi="Arial" w:cs="Arial"/>
                <w:b/>
                <w:sz w:val="20"/>
                <w:szCs w:val="20"/>
              </w:rPr>
              <w:t>Печалба от съхранение</w:t>
            </w:r>
          </w:p>
        </w:tc>
        <w:tc>
          <w:tcPr>
            <w:tcW w:w="1080" w:type="dxa"/>
            <w:tcBorders>
              <w:top w:val="nil"/>
              <w:left w:val="single" w:sz="4" w:space="0" w:color="auto"/>
              <w:bottom w:val="single" w:sz="4" w:space="0" w:color="auto"/>
              <w:right w:val="single" w:sz="4" w:space="0" w:color="auto"/>
            </w:tcBorders>
            <w:shd w:val="clear" w:color="000000" w:fill="FFFFFF"/>
            <w:vAlign w:val="center"/>
          </w:tcPr>
          <w:p w:rsidR="00513989" w:rsidRPr="00327A61" w:rsidRDefault="00513989" w:rsidP="00F2098A">
            <w:pPr>
              <w:jc w:val="right"/>
              <w:rPr>
                <w:rFonts w:ascii="Arial" w:hAnsi="Arial" w:cs="Arial"/>
                <w:b/>
                <w:bCs/>
                <w:sz w:val="20"/>
                <w:szCs w:val="20"/>
              </w:rPr>
            </w:pPr>
            <w:r w:rsidRPr="00327A61">
              <w:rPr>
                <w:rFonts w:ascii="Arial" w:hAnsi="Arial" w:cs="Arial"/>
                <w:b/>
                <w:bCs/>
                <w:sz w:val="20"/>
                <w:szCs w:val="20"/>
              </w:rPr>
              <w:t>1 143</w:t>
            </w:r>
          </w:p>
        </w:tc>
        <w:tc>
          <w:tcPr>
            <w:tcW w:w="1080" w:type="dxa"/>
            <w:tcBorders>
              <w:top w:val="nil"/>
              <w:left w:val="nil"/>
              <w:bottom w:val="single" w:sz="4" w:space="0" w:color="auto"/>
              <w:right w:val="single" w:sz="4" w:space="0" w:color="auto"/>
            </w:tcBorders>
            <w:shd w:val="clear" w:color="000000" w:fill="FFFFFF"/>
            <w:vAlign w:val="center"/>
          </w:tcPr>
          <w:p w:rsidR="00513989" w:rsidRPr="00327A61" w:rsidRDefault="00513989" w:rsidP="00F2098A">
            <w:pPr>
              <w:jc w:val="right"/>
              <w:rPr>
                <w:rFonts w:ascii="Arial" w:hAnsi="Arial" w:cs="Arial"/>
                <w:b/>
                <w:bCs/>
                <w:sz w:val="20"/>
                <w:szCs w:val="20"/>
              </w:rPr>
            </w:pPr>
            <w:r w:rsidRPr="00327A61">
              <w:rPr>
                <w:rFonts w:ascii="Arial" w:hAnsi="Arial" w:cs="Arial"/>
                <w:b/>
                <w:bCs/>
                <w:sz w:val="20"/>
                <w:szCs w:val="20"/>
              </w:rPr>
              <w:t>1 439</w:t>
            </w:r>
          </w:p>
        </w:tc>
        <w:tc>
          <w:tcPr>
            <w:tcW w:w="1355" w:type="dxa"/>
            <w:tcBorders>
              <w:top w:val="nil"/>
              <w:left w:val="nil"/>
              <w:bottom w:val="single" w:sz="4" w:space="0" w:color="auto"/>
              <w:right w:val="single" w:sz="4" w:space="0" w:color="auto"/>
            </w:tcBorders>
            <w:shd w:val="clear" w:color="000000" w:fill="FFFFFF"/>
            <w:vAlign w:val="center"/>
          </w:tcPr>
          <w:p w:rsidR="00513989" w:rsidRPr="00327A61" w:rsidRDefault="00513989" w:rsidP="00F2098A">
            <w:pPr>
              <w:jc w:val="right"/>
              <w:rPr>
                <w:rFonts w:ascii="Arial" w:hAnsi="Arial" w:cs="Arial"/>
                <w:b/>
                <w:bCs/>
                <w:sz w:val="20"/>
                <w:szCs w:val="20"/>
              </w:rPr>
            </w:pPr>
            <w:r w:rsidRPr="00327A61">
              <w:rPr>
                <w:rFonts w:ascii="Arial" w:hAnsi="Arial" w:cs="Arial"/>
                <w:b/>
                <w:bCs/>
                <w:sz w:val="20"/>
                <w:szCs w:val="20"/>
              </w:rPr>
              <w:t>-20.6%</w:t>
            </w:r>
          </w:p>
        </w:tc>
        <w:tc>
          <w:tcPr>
            <w:tcW w:w="1080" w:type="dxa"/>
            <w:tcBorders>
              <w:top w:val="nil"/>
              <w:left w:val="nil"/>
              <w:bottom w:val="single" w:sz="4" w:space="0" w:color="auto"/>
              <w:right w:val="single" w:sz="4" w:space="0" w:color="auto"/>
            </w:tcBorders>
            <w:shd w:val="clear" w:color="000000" w:fill="FFFFFF"/>
            <w:vAlign w:val="center"/>
          </w:tcPr>
          <w:p w:rsidR="00513989" w:rsidRPr="00327A61" w:rsidRDefault="00513989" w:rsidP="00F2098A">
            <w:pPr>
              <w:jc w:val="right"/>
              <w:rPr>
                <w:rFonts w:ascii="Arial" w:hAnsi="Arial" w:cs="Arial"/>
                <w:b/>
                <w:bCs/>
                <w:sz w:val="20"/>
                <w:szCs w:val="20"/>
              </w:rPr>
            </w:pPr>
            <w:r w:rsidRPr="00327A61">
              <w:rPr>
                <w:rFonts w:ascii="Arial" w:hAnsi="Arial" w:cs="Arial"/>
                <w:b/>
                <w:bCs/>
                <w:sz w:val="20"/>
                <w:szCs w:val="20"/>
              </w:rPr>
              <w:t>1 537</w:t>
            </w:r>
          </w:p>
        </w:tc>
        <w:tc>
          <w:tcPr>
            <w:tcW w:w="1330" w:type="dxa"/>
            <w:tcBorders>
              <w:top w:val="nil"/>
              <w:left w:val="nil"/>
              <w:bottom w:val="single" w:sz="4" w:space="0" w:color="auto"/>
              <w:right w:val="single" w:sz="4" w:space="0" w:color="auto"/>
            </w:tcBorders>
            <w:shd w:val="clear" w:color="000000" w:fill="FFFFFF"/>
            <w:vAlign w:val="center"/>
          </w:tcPr>
          <w:p w:rsidR="00513989" w:rsidRPr="00327A61" w:rsidRDefault="00513989" w:rsidP="00F2098A">
            <w:pPr>
              <w:jc w:val="right"/>
              <w:rPr>
                <w:rFonts w:ascii="Arial" w:hAnsi="Arial" w:cs="Arial"/>
                <w:b/>
                <w:bCs/>
                <w:sz w:val="20"/>
                <w:szCs w:val="20"/>
              </w:rPr>
            </w:pPr>
            <w:r w:rsidRPr="00327A61">
              <w:rPr>
                <w:rFonts w:ascii="Arial" w:hAnsi="Arial" w:cs="Arial"/>
                <w:b/>
                <w:bCs/>
                <w:sz w:val="20"/>
                <w:szCs w:val="20"/>
              </w:rPr>
              <w:t>-25.6%</w:t>
            </w:r>
          </w:p>
        </w:tc>
      </w:tr>
      <w:tr w:rsidR="002005D0" w:rsidRPr="00327A61" w:rsidTr="00F2098A">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2005D0" w:rsidRPr="00327A61" w:rsidRDefault="002005D0" w:rsidP="002005D0">
            <w:pPr>
              <w:ind w:left="201"/>
              <w:rPr>
                <w:rFonts w:ascii="Arial" w:hAnsi="Arial" w:cs="Arial"/>
                <w:sz w:val="20"/>
                <w:szCs w:val="20"/>
              </w:rPr>
            </w:pPr>
            <w:r w:rsidRPr="00327A61">
              <w:rPr>
                <w:rFonts w:ascii="Arial" w:hAnsi="Arial" w:cs="Arial"/>
                <w:sz w:val="20"/>
                <w:szCs w:val="20"/>
              </w:rPr>
              <w:t>- други приходи</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688</w:t>
            </w:r>
          </w:p>
        </w:tc>
        <w:tc>
          <w:tcPr>
            <w:tcW w:w="108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495</w:t>
            </w:r>
          </w:p>
        </w:tc>
        <w:tc>
          <w:tcPr>
            <w:tcW w:w="1355"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39.0%</w:t>
            </w:r>
          </w:p>
        </w:tc>
        <w:tc>
          <w:tcPr>
            <w:tcW w:w="108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lang w:eastAsia="bg-BG"/>
              </w:rPr>
            </w:pPr>
            <w:r w:rsidRPr="00327A61">
              <w:rPr>
                <w:rFonts w:ascii="Arial" w:hAnsi="Arial" w:cs="Arial"/>
                <w:sz w:val="20"/>
                <w:szCs w:val="20"/>
              </w:rPr>
              <w:t>574</w:t>
            </w:r>
          </w:p>
        </w:tc>
        <w:tc>
          <w:tcPr>
            <w:tcW w:w="133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19.9%</w:t>
            </w:r>
          </w:p>
        </w:tc>
      </w:tr>
      <w:tr w:rsidR="002005D0" w:rsidRPr="00327A61" w:rsidTr="00F2098A">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2005D0" w:rsidRPr="00327A61" w:rsidRDefault="002005D0" w:rsidP="002005D0">
            <w:pPr>
              <w:ind w:left="201"/>
              <w:rPr>
                <w:rFonts w:ascii="Arial" w:hAnsi="Arial" w:cs="Arial"/>
                <w:sz w:val="20"/>
                <w:szCs w:val="20"/>
              </w:rPr>
            </w:pPr>
            <w:r w:rsidRPr="00327A61">
              <w:rPr>
                <w:rFonts w:ascii="Arial" w:hAnsi="Arial" w:cs="Arial"/>
                <w:sz w:val="20"/>
                <w:szCs w:val="20"/>
              </w:rPr>
              <w:t>- други разходи</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1 860</w:t>
            </w:r>
          </w:p>
        </w:tc>
        <w:tc>
          <w:tcPr>
            <w:tcW w:w="108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2 185</w:t>
            </w:r>
          </w:p>
        </w:tc>
        <w:tc>
          <w:tcPr>
            <w:tcW w:w="1355"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-14.9%</w:t>
            </w:r>
          </w:p>
        </w:tc>
        <w:tc>
          <w:tcPr>
            <w:tcW w:w="108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2 136</w:t>
            </w:r>
          </w:p>
        </w:tc>
        <w:tc>
          <w:tcPr>
            <w:tcW w:w="133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-12.9%</w:t>
            </w:r>
          </w:p>
        </w:tc>
      </w:tr>
      <w:tr w:rsidR="002005D0" w:rsidRPr="00327A61" w:rsidTr="003A0A11">
        <w:trPr>
          <w:trHeight w:val="354"/>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2005D0" w:rsidRPr="00327A61" w:rsidRDefault="002005D0" w:rsidP="002005D0">
            <w:pPr>
              <w:rPr>
                <w:rFonts w:ascii="Arial" w:hAnsi="Arial" w:cs="Arial"/>
                <w:b/>
                <w:sz w:val="20"/>
                <w:szCs w:val="20"/>
              </w:rPr>
            </w:pPr>
            <w:r w:rsidRPr="00327A61">
              <w:rPr>
                <w:rFonts w:ascii="Arial" w:hAnsi="Arial" w:cs="Arial"/>
                <w:b/>
                <w:sz w:val="20"/>
                <w:szCs w:val="20"/>
              </w:rPr>
              <w:t xml:space="preserve">Общо приходи от дейността </w:t>
            </w:r>
          </w:p>
        </w:tc>
        <w:tc>
          <w:tcPr>
            <w:tcW w:w="1080" w:type="dxa"/>
            <w:tcBorders>
              <w:top w:val="nil"/>
              <w:left w:val="single" w:sz="4" w:space="0" w:color="auto"/>
              <w:bottom w:val="single" w:sz="4" w:space="0" w:color="auto"/>
              <w:right w:val="single" w:sz="4" w:space="0" w:color="auto"/>
            </w:tcBorders>
            <w:shd w:val="clear" w:color="000000" w:fill="FFFFFF"/>
            <w:vAlign w:val="center"/>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5 414</w:t>
            </w:r>
          </w:p>
        </w:tc>
        <w:tc>
          <w:tcPr>
            <w:tcW w:w="1080" w:type="dxa"/>
            <w:tcBorders>
              <w:top w:val="nil"/>
              <w:left w:val="nil"/>
              <w:bottom w:val="single" w:sz="4" w:space="0" w:color="auto"/>
              <w:right w:val="single" w:sz="4" w:space="0" w:color="auto"/>
            </w:tcBorders>
            <w:shd w:val="clear" w:color="000000" w:fill="FFFFFF"/>
            <w:vAlign w:val="center"/>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5 496</w:t>
            </w:r>
          </w:p>
        </w:tc>
        <w:tc>
          <w:tcPr>
            <w:tcW w:w="1355" w:type="dxa"/>
            <w:tcBorders>
              <w:top w:val="nil"/>
              <w:left w:val="nil"/>
              <w:bottom w:val="single" w:sz="4" w:space="0" w:color="auto"/>
              <w:right w:val="single" w:sz="4" w:space="0" w:color="auto"/>
            </w:tcBorders>
            <w:shd w:val="clear" w:color="000000" w:fill="FFFFFF"/>
            <w:vAlign w:val="center"/>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-1.5%</w:t>
            </w:r>
          </w:p>
        </w:tc>
        <w:tc>
          <w:tcPr>
            <w:tcW w:w="108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6 360</w:t>
            </w:r>
          </w:p>
        </w:tc>
        <w:tc>
          <w:tcPr>
            <w:tcW w:w="133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-14.9%</w:t>
            </w:r>
          </w:p>
        </w:tc>
      </w:tr>
      <w:tr w:rsidR="002005D0" w:rsidRPr="00327A61" w:rsidTr="003A0A11">
        <w:trPr>
          <w:trHeight w:val="349"/>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2005D0" w:rsidRPr="00327A61" w:rsidRDefault="002005D0" w:rsidP="002005D0">
            <w:pPr>
              <w:rPr>
                <w:rFonts w:ascii="Arial" w:hAnsi="Arial" w:cs="Arial"/>
                <w:b/>
                <w:sz w:val="20"/>
                <w:szCs w:val="20"/>
              </w:rPr>
            </w:pPr>
            <w:r w:rsidRPr="00327A61">
              <w:rPr>
                <w:rFonts w:ascii="Arial" w:hAnsi="Arial" w:cs="Arial"/>
                <w:b/>
                <w:sz w:val="20"/>
                <w:szCs w:val="20"/>
              </w:rPr>
              <w:t>Общо разходи за дейността</w:t>
            </w:r>
          </w:p>
        </w:tc>
        <w:tc>
          <w:tcPr>
            <w:tcW w:w="1080" w:type="dxa"/>
            <w:tcBorders>
              <w:top w:val="nil"/>
              <w:left w:val="single" w:sz="4" w:space="0" w:color="auto"/>
              <w:bottom w:val="single" w:sz="4" w:space="0" w:color="auto"/>
              <w:right w:val="single" w:sz="4" w:space="0" w:color="auto"/>
            </w:tcBorders>
            <w:shd w:val="clear" w:color="000000" w:fill="FFFFFF"/>
            <w:vAlign w:val="center"/>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4 784</w:t>
            </w:r>
          </w:p>
        </w:tc>
        <w:tc>
          <w:tcPr>
            <w:tcW w:w="1080" w:type="dxa"/>
            <w:tcBorders>
              <w:top w:val="nil"/>
              <w:left w:val="nil"/>
              <w:bottom w:val="single" w:sz="4" w:space="0" w:color="auto"/>
              <w:right w:val="single" w:sz="4" w:space="0" w:color="auto"/>
            </w:tcBorders>
            <w:shd w:val="clear" w:color="000000" w:fill="FFFFFF"/>
            <w:vAlign w:val="center"/>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4 964</w:t>
            </w:r>
          </w:p>
        </w:tc>
        <w:tc>
          <w:tcPr>
            <w:tcW w:w="1355" w:type="dxa"/>
            <w:tcBorders>
              <w:top w:val="nil"/>
              <w:left w:val="nil"/>
              <w:bottom w:val="single" w:sz="4" w:space="0" w:color="auto"/>
              <w:right w:val="single" w:sz="4" w:space="0" w:color="auto"/>
            </w:tcBorders>
            <w:shd w:val="clear" w:color="000000" w:fill="FFFFFF"/>
            <w:vAlign w:val="center"/>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-3.6%</w:t>
            </w:r>
          </w:p>
        </w:tc>
        <w:tc>
          <w:tcPr>
            <w:tcW w:w="108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5 150</w:t>
            </w:r>
          </w:p>
        </w:tc>
        <w:tc>
          <w:tcPr>
            <w:tcW w:w="133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-7.1%</w:t>
            </w:r>
          </w:p>
        </w:tc>
      </w:tr>
      <w:tr w:rsidR="002005D0" w:rsidRPr="00327A61" w:rsidTr="00B82B16">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tcPr>
          <w:p w:rsidR="002005D0" w:rsidRPr="00327A61" w:rsidRDefault="002005D0" w:rsidP="002005D0">
            <w:pPr>
              <w:pStyle w:val="FootnoteText"/>
              <w:rPr>
                <w:rFonts w:ascii="Arial" w:hAnsi="Arial" w:cs="Arial"/>
              </w:rPr>
            </w:pPr>
            <w:r w:rsidRPr="00327A61">
              <w:rPr>
                <w:rFonts w:ascii="Arial" w:hAnsi="Arial" w:cs="Arial"/>
              </w:rPr>
              <w:t>Приходи от продажби на 1 зает (в лева)</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37 082</w:t>
            </w:r>
          </w:p>
        </w:tc>
        <w:tc>
          <w:tcPr>
            <w:tcW w:w="108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37 135</w:t>
            </w:r>
          </w:p>
        </w:tc>
        <w:tc>
          <w:tcPr>
            <w:tcW w:w="1355"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-0.1%</w:t>
            </w:r>
          </w:p>
        </w:tc>
        <w:tc>
          <w:tcPr>
            <w:tcW w:w="108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41 299</w:t>
            </w:r>
          </w:p>
        </w:tc>
        <w:tc>
          <w:tcPr>
            <w:tcW w:w="133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-10.2%</w:t>
            </w:r>
          </w:p>
        </w:tc>
      </w:tr>
      <w:tr w:rsidR="002005D0" w:rsidRPr="00327A61" w:rsidTr="00B82B16">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tcPr>
          <w:p w:rsidR="002005D0" w:rsidRPr="00327A61" w:rsidRDefault="002005D0" w:rsidP="002005D0">
            <w:pPr>
              <w:rPr>
                <w:rFonts w:ascii="Arial" w:hAnsi="Arial" w:cs="Arial"/>
                <w:sz w:val="20"/>
                <w:szCs w:val="20"/>
              </w:rPr>
            </w:pPr>
            <w:r w:rsidRPr="00327A61">
              <w:rPr>
                <w:rFonts w:ascii="Arial" w:hAnsi="Arial" w:cs="Arial"/>
                <w:sz w:val="20"/>
                <w:szCs w:val="20"/>
              </w:rPr>
              <w:t>Разходи за дейността на 1 зает (в лева)</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32 767</w:t>
            </w:r>
          </w:p>
        </w:tc>
        <w:tc>
          <w:tcPr>
            <w:tcW w:w="108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33 541</w:t>
            </w:r>
          </w:p>
        </w:tc>
        <w:tc>
          <w:tcPr>
            <w:tcW w:w="1355"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-2.3%</w:t>
            </w:r>
          </w:p>
        </w:tc>
        <w:tc>
          <w:tcPr>
            <w:tcW w:w="108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33 442</w:t>
            </w:r>
          </w:p>
        </w:tc>
        <w:tc>
          <w:tcPr>
            <w:tcW w:w="133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sz w:val="20"/>
                <w:szCs w:val="20"/>
              </w:rPr>
            </w:pPr>
            <w:r w:rsidRPr="00327A61">
              <w:rPr>
                <w:rFonts w:ascii="Arial" w:hAnsi="Arial" w:cs="Arial"/>
                <w:sz w:val="20"/>
                <w:szCs w:val="20"/>
              </w:rPr>
              <w:t>-2.0%</w:t>
            </w:r>
          </w:p>
        </w:tc>
      </w:tr>
      <w:tr w:rsidR="002005D0" w:rsidRPr="00327A61" w:rsidTr="00B82B16">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tcPr>
          <w:p w:rsidR="002005D0" w:rsidRPr="00327A61" w:rsidRDefault="002005D0" w:rsidP="002005D0">
            <w:pPr>
              <w:rPr>
                <w:rFonts w:ascii="Arial" w:hAnsi="Arial" w:cs="Arial"/>
                <w:b/>
                <w:bCs/>
                <w:sz w:val="20"/>
                <w:szCs w:val="20"/>
              </w:rPr>
            </w:pPr>
            <w:r w:rsidRPr="00327A61">
              <w:rPr>
                <w:rFonts w:ascii="Arial" w:hAnsi="Arial" w:cs="Arial"/>
                <w:b/>
                <w:bCs/>
                <w:sz w:val="20"/>
                <w:szCs w:val="20"/>
              </w:rPr>
              <w:t>Печалба преди лихви и данъци</w:t>
            </w:r>
          </w:p>
          <w:p w:rsidR="002005D0" w:rsidRPr="00327A61" w:rsidRDefault="002005D0" w:rsidP="002005D0">
            <w:pPr>
              <w:rPr>
                <w:rFonts w:ascii="Arial" w:hAnsi="Arial" w:cs="Arial"/>
                <w:b/>
                <w:bCs/>
                <w:sz w:val="20"/>
                <w:szCs w:val="20"/>
              </w:rPr>
            </w:pPr>
            <w:r w:rsidRPr="00327A61">
              <w:rPr>
                <w:rFonts w:ascii="Arial" w:hAnsi="Arial" w:cs="Arial"/>
                <w:b/>
                <w:bCs/>
                <w:sz w:val="20"/>
                <w:szCs w:val="20"/>
              </w:rPr>
              <w:t>на 1 зает (в лева)</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4 315</w:t>
            </w:r>
          </w:p>
        </w:tc>
        <w:tc>
          <w:tcPr>
            <w:tcW w:w="108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3 595</w:t>
            </w:r>
          </w:p>
        </w:tc>
        <w:tc>
          <w:tcPr>
            <w:tcW w:w="1355"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20.0%</w:t>
            </w:r>
          </w:p>
        </w:tc>
        <w:tc>
          <w:tcPr>
            <w:tcW w:w="108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7 857</w:t>
            </w:r>
          </w:p>
        </w:tc>
        <w:tc>
          <w:tcPr>
            <w:tcW w:w="1330" w:type="dxa"/>
            <w:tcBorders>
              <w:top w:val="nil"/>
              <w:left w:val="nil"/>
              <w:bottom w:val="single" w:sz="4" w:space="0" w:color="auto"/>
              <w:right w:val="single" w:sz="4" w:space="0" w:color="auto"/>
            </w:tcBorders>
            <w:shd w:val="clear" w:color="000000" w:fill="FFFFFF"/>
            <w:vAlign w:val="bottom"/>
          </w:tcPr>
          <w:p w:rsidR="002005D0" w:rsidRPr="00327A61" w:rsidRDefault="002005D0" w:rsidP="002005D0">
            <w:pPr>
              <w:jc w:val="right"/>
              <w:rPr>
                <w:rFonts w:ascii="Arial" w:hAnsi="Arial" w:cs="Arial"/>
                <w:b/>
                <w:bCs/>
                <w:sz w:val="20"/>
                <w:szCs w:val="20"/>
              </w:rPr>
            </w:pPr>
            <w:r w:rsidRPr="00327A61">
              <w:rPr>
                <w:rFonts w:ascii="Arial" w:hAnsi="Arial" w:cs="Arial"/>
                <w:b/>
                <w:bCs/>
                <w:sz w:val="20"/>
                <w:szCs w:val="20"/>
              </w:rPr>
              <w:t>-45.1%</w:t>
            </w:r>
          </w:p>
        </w:tc>
      </w:tr>
      <w:bookmarkEnd w:id="48"/>
    </w:tbl>
    <w:p w:rsidR="000C0391" w:rsidRPr="00327A61" w:rsidRDefault="000C0391" w:rsidP="000C0391">
      <w:pPr>
        <w:ind w:firstLine="284"/>
        <w:jc w:val="both"/>
        <w:rPr>
          <w:rFonts w:eastAsia="Times New Roman"/>
          <w:lang w:eastAsia="bg-BG"/>
        </w:rPr>
      </w:pPr>
    </w:p>
    <w:p w:rsidR="000C7B41" w:rsidRPr="00327A61" w:rsidRDefault="00C7606B" w:rsidP="00534C70">
      <w:pPr>
        <w:ind w:firstLine="709"/>
        <w:jc w:val="both"/>
        <w:rPr>
          <w:rFonts w:eastAsia="Times New Roman"/>
          <w:lang w:eastAsia="bg-BG"/>
        </w:rPr>
      </w:pPr>
      <w:bookmarkStart w:id="49" w:name="_Hlk506994866"/>
      <w:r w:rsidRPr="00327A61">
        <w:rPr>
          <w:rFonts w:eastAsia="Times New Roman"/>
          <w:lang w:eastAsia="bg-BG"/>
        </w:rPr>
        <w:t>За</w:t>
      </w:r>
      <w:r w:rsidR="000C0391" w:rsidRPr="00327A61">
        <w:rPr>
          <w:rFonts w:eastAsia="Times New Roman"/>
          <w:lang w:eastAsia="bg-BG"/>
        </w:rPr>
        <w:t xml:space="preserve"> 201</w:t>
      </w:r>
      <w:r w:rsidR="00534C70" w:rsidRPr="00327A61">
        <w:rPr>
          <w:rFonts w:eastAsia="Times New Roman"/>
          <w:lang w:eastAsia="bg-BG"/>
        </w:rPr>
        <w:t>7</w:t>
      </w:r>
      <w:r w:rsidR="000C0391" w:rsidRPr="00327A61">
        <w:rPr>
          <w:rFonts w:eastAsia="Times New Roman"/>
          <w:lang w:eastAsia="bg-BG"/>
        </w:rPr>
        <w:t xml:space="preserve">г. приходите от основната </w:t>
      </w:r>
      <w:r w:rsidR="000C0391" w:rsidRPr="00327A61">
        <w:rPr>
          <w:rFonts w:eastAsia="Times New Roman"/>
          <w:u w:val="single"/>
          <w:lang w:eastAsia="bg-BG"/>
        </w:rPr>
        <w:t>претоварна дейност</w:t>
      </w:r>
      <w:r w:rsidR="000C0391" w:rsidRPr="00327A61">
        <w:rPr>
          <w:rFonts w:eastAsia="Times New Roman"/>
          <w:lang w:eastAsia="bg-BG"/>
        </w:rPr>
        <w:t xml:space="preserve"> </w:t>
      </w:r>
      <w:r w:rsidR="00534C70" w:rsidRPr="00327A61">
        <w:rPr>
          <w:rFonts w:eastAsia="Times New Roman"/>
          <w:lang w:eastAsia="bg-BG"/>
        </w:rPr>
        <w:t>намаляват с -605 хил.лв. /-16 %/</w:t>
      </w:r>
      <w:r w:rsidR="000C0391" w:rsidRPr="00327A61">
        <w:rPr>
          <w:rFonts w:eastAsia="Times New Roman"/>
          <w:lang w:eastAsia="bg-BG"/>
        </w:rPr>
        <w:t>. Разходите за тази първостепенна дейност на комплекса</w:t>
      </w:r>
      <w:r w:rsidR="00534C70" w:rsidRPr="00327A61">
        <w:rPr>
          <w:rFonts w:eastAsia="Times New Roman"/>
          <w:lang w:eastAsia="bg-BG"/>
        </w:rPr>
        <w:t xml:space="preserve"> също намаляват, но в по-малък размер -29 хил.лв. /-1,2%/</w:t>
      </w:r>
      <w:r w:rsidR="000C0391" w:rsidRPr="00327A61">
        <w:rPr>
          <w:rFonts w:eastAsia="Times New Roman"/>
          <w:lang w:eastAsia="bg-BG"/>
        </w:rPr>
        <w:t>. В резултат, към края на 201</w:t>
      </w:r>
      <w:r w:rsidR="00534C70" w:rsidRPr="00327A61">
        <w:rPr>
          <w:rFonts w:eastAsia="Times New Roman"/>
          <w:lang w:eastAsia="bg-BG"/>
        </w:rPr>
        <w:t>7</w:t>
      </w:r>
      <w:r w:rsidR="000C0391" w:rsidRPr="00327A61">
        <w:rPr>
          <w:rFonts w:eastAsia="Times New Roman"/>
          <w:lang w:eastAsia="bg-BG"/>
        </w:rPr>
        <w:t xml:space="preserve"> г. дружеството отчита </w:t>
      </w:r>
      <w:r w:rsidR="000C0391" w:rsidRPr="00327A61">
        <w:rPr>
          <w:rFonts w:eastAsia="Times New Roman"/>
          <w:u w:val="single"/>
          <w:lang w:eastAsia="bg-BG"/>
        </w:rPr>
        <w:t xml:space="preserve">печалба от тази дейност в размер на </w:t>
      </w:r>
      <w:r w:rsidR="00534C70" w:rsidRPr="00327A61">
        <w:rPr>
          <w:rFonts w:eastAsia="Times New Roman"/>
          <w:u w:val="single"/>
          <w:lang w:eastAsia="bg-BG"/>
        </w:rPr>
        <w:t>659</w:t>
      </w:r>
      <w:r w:rsidR="000C0391" w:rsidRPr="00327A61">
        <w:rPr>
          <w:rFonts w:eastAsia="Times New Roman"/>
          <w:u w:val="single"/>
          <w:lang w:eastAsia="bg-BG"/>
        </w:rPr>
        <w:t xml:space="preserve"> хил. лв</w:t>
      </w:r>
      <w:r w:rsidR="000C0391" w:rsidRPr="00327A61">
        <w:rPr>
          <w:rFonts w:eastAsia="Times New Roman"/>
          <w:lang w:eastAsia="bg-BG"/>
        </w:rPr>
        <w:t>., ко</w:t>
      </w:r>
      <w:r w:rsidR="00534C70" w:rsidRPr="00327A61">
        <w:rPr>
          <w:rFonts w:eastAsia="Times New Roman"/>
          <w:lang w:eastAsia="bg-BG"/>
        </w:rPr>
        <w:t>е</w:t>
      </w:r>
      <w:r w:rsidR="000C0391" w:rsidRPr="00327A61">
        <w:rPr>
          <w:rFonts w:eastAsia="Times New Roman"/>
          <w:lang w:eastAsia="bg-BG"/>
        </w:rPr>
        <w:t xml:space="preserve">то </w:t>
      </w:r>
      <w:r w:rsidR="00534C70" w:rsidRPr="00327A61">
        <w:rPr>
          <w:rFonts w:eastAsia="Times New Roman"/>
          <w:lang w:eastAsia="bg-BG"/>
        </w:rPr>
        <w:t xml:space="preserve">е с </w:t>
      </w:r>
      <w:r w:rsidR="002005D0" w:rsidRPr="00327A61">
        <w:rPr>
          <w:rFonts w:eastAsia="Times New Roman"/>
          <w:lang w:eastAsia="bg-BG"/>
        </w:rPr>
        <w:t>-</w:t>
      </w:r>
      <w:r w:rsidR="00534C70" w:rsidRPr="00327A61">
        <w:rPr>
          <w:rFonts w:eastAsia="Times New Roman"/>
          <w:lang w:eastAsia="bg-BG"/>
        </w:rPr>
        <w:t xml:space="preserve">576 хил.лв по-малко или -46,6% намаление спрямо </w:t>
      </w:r>
      <w:r w:rsidR="000C0391" w:rsidRPr="00327A61">
        <w:rPr>
          <w:rFonts w:eastAsia="Times New Roman"/>
          <w:lang w:eastAsia="bg-BG"/>
        </w:rPr>
        <w:t>резултата от 201</w:t>
      </w:r>
      <w:r w:rsidR="00534C70" w:rsidRPr="00327A61">
        <w:rPr>
          <w:rFonts w:eastAsia="Times New Roman"/>
          <w:lang w:eastAsia="bg-BG"/>
        </w:rPr>
        <w:t>6</w:t>
      </w:r>
      <w:r w:rsidR="000C0391" w:rsidRPr="00327A61">
        <w:rPr>
          <w:rFonts w:eastAsia="Times New Roman"/>
          <w:lang w:eastAsia="bg-BG"/>
        </w:rPr>
        <w:t>г.</w:t>
      </w:r>
      <w:bookmarkEnd w:id="49"/>
    </w:p>
    <w:p w:rsidR="00534C70" w:rsidRPr="00327A61" w:rsidRDefault="00534C70" w:rsidP="000C7B41">
      <w:pPr>
        <w:ind w:firstLine="284"/>
        <w:jc w:val="both"/>
        <w:rPr>
          <w:rFonts w:eastAsia="Times New Roman"/>
          <w:lang w:eastAsia="bg-BG"/>
        </w:rPr>
      </w:pPr>
    </w:p>
    <w:p w:rsidR="00BE01E2" w:rsidRPr="00327A61" w:rsidRDefault="008B4E89" w:rsidP="000C0391">
      <w:pPr>
        <w:spacing w:after="120"/>
        <w:ind w:firstLine="709"/>
        <w:jc w:val="center"/>
        <w:rPr>
          <w:rFonts w:eastAsia="Times New Roman"/>
          <w:lang w:eastAsia="bg-BG"/>
        </w:rPr>
      </w:pPr>
      <w:r w:rsidRPr="00327A61">
        <w:rPr>
          <w:noProof/>
          <w:lang w:eastAsia="bg-BG"/>
        </w:rPr>
        <w:drawing>
          <wp:inline distT="0" distB="0" distL="0" distR="0" wp14:anchorId="4508B9FE" wp14:editId="7AD417FE">
            <wp:extent cx="4391025" cy="2576512"/>
            <wp:effectExtent l="0" t="0" r="0" b="0"/>
            <wp:docPr id="16" name="Диаграма 16">
              <a:extLst xmlns:a="http://schemas.openxmlformats.org/drawingml/2006/main">
                <a:ext uri="{FF2B5EF4-FFF2-40B4-BE49-F238E27FC236}">
                  <a16:creationId xmlns:a16="http://schemas.microsoft.com/office/drawing/2014/main" id="{B79C2574-7555-4E3E-993A-08D37367EFC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0C0391" w:rsidRPr="00327A61" w:rsidRDefault="00874552" w:rsidP="000C0391">
      <w:pPr>
        <w:spacing w:after="120"/>
        <w:ind w:firstLine="709"/>
        <w:jc w:val="both"/>
        <w:rPr>
          <w:rFonts w:eastAsia="Times New Roman"/>
          <w:lang w:eastAsia="bg-BG"/>
        </w:rPr>
      </w:pPr>
      <w:bookmarkStart w:id="50" w:name="_Hlk506994924"/>
      <w:r w:rsidRPr="00327A61">
        <w:rPr>
          <w:rFonts w:eastAsia="Times New Roman"/>
          <w:lang w:eastAsia="bg-BG"/>
        </w:rPr>
        <w:t>За 201</w:t>
      </w:r>
      <w:r w:rsidR="00534C70" w:rsidRPr="00327A61">
        <w:rPr>
          <w:rFonts w:eastAsia="Times New Roman"/>
          <w:lang w:eastAsia="bg-BG"/>
        </w:rPr>
        <w:t>7</w:t>
      </w:r>
      <w:r w:rsidR="000C0391" w:rsidRPr="00327A61">
        <w:rPr>
          <w:rFonts w:eastAsia="Times New Roman"/>
          <w:lang w:eastAsia="bg-BG"/>
        </w:rPr>
        <w:t>г. дружеството</w:t>
      </w:r>
      <w:r w:rsidRPr="00327A61">
        <w:rPr>
          <w:rFonts w:eastAsia="Times New Roman"/>
          <w:lang w:eastAsia="bg-BG"/>
        </w:rPr>
        <w:t xml:space="preserve"> отчита</w:t>
      </w:r>
      <w:r w:rsidR="000C0391" w:rsidRPr="00327A61">
        <w:rPr>
          <w:rFonts w:eastAsia="Times New Roman"/>
          <w:lang w:eastAsia="bg-BG"/>
        </w:rPr>
        <w:t xml:space="preserve"> постъпления от </w:t>
      </w:r>
      <w:r w:rsidR="000C0391" w:rsidRPr="00327A61">
        <w:rPr>
          <w:rFonts w:eastAsia="Times New Roman"/>
          <w:u w:val="single"/>
          <w:lang w:eastAsia="bg-BG"/>
        </w:rPr>
        <w:t>складовата си дейност</w:t>
      </w:r>
      <w:r w:rsidRPr="00327A61">
        <w:rPr>
          <w:rFonts w:eastAsia="Times New Roman"/>
          <w:lang w:eastAsia="bg-BG"/>
        </w:rPr>
        <w:t xml:space="preserve"> в размер на </w:t>
      </w:r>
      <w:r w:rsidR="000C0391" w:rsidRPr="00327A61">
        <w:rPr>
          <w:rFonts w:eastAsia="Times New Roman"/>
          <w:lang w:eastAsia="bg-BG"/>
        </w:rPr>
        <w:t xml:space="preserve"> </w:t>
      </w:r>
      <w:r w:rsidR="00534C70" w:rsidRPr="00327A61">
        <w:rPr>
          <w:rFonts w:eastAsia="Times New Roman"/>
          <w:lang w:eastAsia="bg-BG"/>
        </w:rPr>
        <w:t>1 631</w:t>
      </w:r>
      <w:r w:rsidR="000C0391" w:rsidRPr="00327A61">
        <w:rPr>
          <w:rFonts w:eastAsia="Times New Roman"/>
          <w:lang w:eastAsia="bg-BG"/>
        </w:rPr>
        <w:t xml:space="preserve"> хил.лв. при </w:t>
      </w:r>
      <w:r w:rsidRPr="00327A61">
        <w:rPr>
          <w:rFonts w:eastAsia="Times New Roman"/>
          <w:lang w:eastAsia="bg-BG"/>
        </w:rPr>
        <w:t>2 0</w:t>
      </w:r>
      <w:r w:rsidR="00534C70" w:rsidRPr="00327A61">
        <w:rPr>
          <w:rFonts w:eastAsia="Times New Roman"/>
          <w:lang w:eastAsia="bg-BG"/>
        </w:rPr>
        <w:t>86</w:t>
      </w:r>
      <w:r w:rsidR="000C0391" w:rsidRPr="00327A61">
        <w:rPr>
          <w:rFonts w:eastAsia="Times New Roman"/>
          <w:lang w:eastAsia="bg-BG"/>
        </w:rPr>
        <w:t xml:space="preserve"> хил.лв. </w:t>
      </w:r>
      <w:r w:rsidR="00C47E32" w:rsidRPr="00327A61">
        <w:rPr>
          <w:rFonts w:eastAsia="Times New Roman"/>
          <w:lang w:eastAsia="bg-BG"/>
        </w:rPr>
        <w:t>за</w:t>
      </w:r>
      <w:r w:rsidR="000C0391" w:rsidRPr="00327A61">
        <w:rPr>
          <w:rFonts w:eastAsia="Times New Roman"/>
          <w:lang w:eastAsia="bg-BG"/>
        </w:rPr>
        <w:t xml:space="preserve"> </w:t>
      </w:r>
      <w:r w:rsidR="00C47E32" w:rsidRPr="00327A61">
        <w:rPr>
          <w:rFonts w:eastAsia="Times New Roman"/>
          <w:lang w:eastAsia="bg-BG"/>
        </w:rPr>
        <w:t>предходната</w:t>
      </w:r>
      <w:r w:rsidR="000C0391" w:rsidRPr="00327A61">
        <w:rPr>
          <w:rFonts w:eastAsia="Times New Roman"/>
          <w:lang w:eastAsia="bg-BG"/>
        </w:rPr>
        <w:t xml:space="preserve"> година</w:t>
      </w:r>
      <w:r w:rsidR="00B478B0" w:rsidRPr="00327A61">
        <w:rPr>
          <w:rFonts w:eastAsia="Times New Roman"/>
          <w:lang w:eastAsia="bg-BG"/>
        </w:rPr>
        <w:t>,</w:t>
      </w:r>
      <w:r w:rsidRPr="00327A61">
        <w:rPr>
          <w:rFonts w:eastAsia="Times New Roman"/>
          <w:lang w:eastAsia="bg-BG"/>
        </w:rPr>
        <w:t xml:space="preserve"> </w:t>
      </w:r>
      <w:r w:rsidR="00A60D62" w:rsidRPr="00327A61">
        <w:rPr>
          <w:rFonts w:eastAsia="Times New Roman"/>
          <w:lang w:eastAsia="bg-BG"/>
        </w:rPr>
        <w:t>налице</w:t>
      </w:r>
      <w:r w:rsidR="000C0391" w:rsidRPr="00327A61">
        <w:rPr>
          <w:rFonts w:eastAsia="Times New Roman"/>
          <w:lang w:eastAsia="bg-BG"/>
        </w:rPr>
        <w:t xml:space="preserve"> </w:t>
      </w:r>
      <w:r w:rsidRPr="00327A61">
        <w:rPr>
          <w:rFonts w:eastAsia="Times New Roman"/>
          <w:lang w:eastAsia="bg-BG"/>
        </w:rPr>
        <w:t>е намаление</w:t>
      </w:r>
      <w:r w:rsidR="000C0391" w:rsidRPr="00327A61">
        <w:rPr>
          <w:rFonts w:eastAsia="Times New Roman"/>
          <w:lang w:eastAsia="bg-BG"/>
        </w:rPr>
        <w:t xml:space="preserve"> от </w:t>
      </w:r>
      <w:r w:rsidR="0063477A" w:rsidRPr="00327A61">
        <w:rPr>
          <w:rFonts w:eastAsia="Times New Roman"/>
          <w:lang w:eastAsia="bg-BG"/>
        </w:rPr>
        <w:t>-</w:t>
      </w:r>
      <w:r w:rsidRPr="00327A61">
        <w:rPr>
          <w:rFonts w:eastAsia="Times New Roman"/>
          <w:lang w:eastAsia="bg-BG"/>
        </w:rPr>
        <w:t>4</w:t>
      </w:r>
      <w:r w:rsidR="00534C70" w:rsidRPr="00327A61">
        <w:rPr>
          <w:rFonts w:eastAsia="Times New Roman"/>
          <w:lang w:eastAsia="bg-BG"/>
        </w:rPr>
        <w:t>55</w:t>
      </w:r>
      <w:r w:rsidR="000C0391" w:rsidRPr="00327A61">
        <w:rPr>
          <w:rFonts w:eastAsia="Times New Roman"/>
          <w:lang w:eastAsia="bg-BG"/>
        </w:rPr>
        <w:t xml:space="preserve"> хил.лв</w:t>
      </w:r>
      <w:r w:rsidR="00F22C4D" w:rsidRPr="00327A61">
        <w:rPr>
          <w:rFonts w:eastAsia="Times New Roman"/>
          <w:lang w:eastAsia="bg-BG"/>
        </w:rPr>
        <w:t>.</w:t>
      </w:r>
      <w:r w:rsidR="006C4C3A" w:rsidRPr="00327A61">
        <w:rPr>
          <w:rFonts w:eastAsia="Times New Roman"/>
          <w:lang w:eastAsia="bg-BG"/>
        </w:rPr>
        <w:t xml:space="preserve"> /</w:t>
      </w:r>
      <w:r w:rsidR="0063477A" w:rsidRPr="00327A61">
        <w:rPr>
          <w:rFonts w:eastAsia="Times New Roman"/>
          <w:lang w:eastAsia="bg-BG"/>
        </w:rPr>
        <w:t>-22</w:t>
      </w:r>
      <w:r w:rsidR="000C0391" w:rsidRPr="00327A61">
        <w:rPr>
          <w:rFonts w:eastAsia="Times New Roman"/>
          <w:lang w:eastAsia="bg-BG"/>
        </w:rPr>
        <w:t xml:space="preserve"> %</w:t>
      </w:r>
      <w:r w:rsidR="006C4C3A" w:rsidRPr="00327A61">
        <w:rPr>
          <w:rFonts w:eastAsia="Times New Roman"/>
          <w:lang w:eastAsia="bg-BG"/>
        </w:rPr>
        <w:t>/</w:t>
      </w:r>
      <w:r w:rsidR="000C0391" w:rsidRPr="00327A61">
        <w:rPr>
          <w:rFonts w:eastAsia="Times New Roman"/>
          <w:lang w:eastAsia="bg-BG"/>
        </w:rPr>
        <w:t>. Разходите за складова дейност към края на 201</w:t>
      </w:r>
      <w:r w:rsidR="0063477A" w:rsidRPr="00327A61">
        <w:rPr>
          <w:rFonts w:eastAsia="Times New Roman"/>
          <w:lang w:eastAsia="bg-BG"/>
        </w:rPr>
        <w:t>7</w:t>
      </w:r>
      <w:r w:rsidR="000C0391" w:rsidRPr="00327A61">
        <w:rPr>
          <w:rFonts w:eastAsia="Times New Roman"/>
          <w:lang w:eastAsia="bg-BG"/>
        </w:rPr>
        <w:t xml:space="preserve">г. възлизат на </w:t>
      </w:r>
      <w:r w:rsidR="0063477A" w:rsidRPr="00327A61">
        <w:rPr>
          <w:rFonts w:eastAsia="Times New Roman"/>
          <w:lang w:eastAsia="bg-BG"/>
        </w:rPr>
        <w:t>48</w:t>
      </w:r>
      <w:r w:rsidRPr="00327A61">
        <w:rPr>
          <w:rFonts w:eastAsia="Times New Roman"/>
          <w:lang w:eastAsia="bg-BG"/>
        </w:rPr>
        <w:t xml:space="preserve">8 хил. лв., което е с </w:t>
      </w:r>
      <w:r w:rsidR="0063477A" w:rsidRPr="00327A61">
        <w:rPr>
          <w:rFonts w:eastAsia="Times New Roman"/>
          <w:lang w:eastAsia="bg-BG"/>
        </w:rPr>
        <w:t>-61</w:t>
      </w:r>
      <w:r w:rsidR="000C0391" w:rsidRPr="00327A61">
        <w:rPr>
          <w:rFonts w:eastAsia="Times New Roman"/>
          <w:lang w:eastAsia="bg-BG"/>
        </w:rPr>
        <w:t xml:space="preserve"> хил.лв. по</w:t>
      </w:r>
      <w:r w:rsidR="0063477A" w:rsidRPr="00327A61">
        <w:rPr>
          <w:rFonts w:eastAsia="Times New Roman"/>
          <w:lang w:eastAsia="bg-BG"/>
        </w:rPr>
        <w:t>-малко</w:t>
      </w:r>
      <w:r w:rsidR="000C0391" w:rsidRPr="00327A61">
        <w:rPr>
          <w:rFonts w:eastAsia="Times New Roman"/>
          <w:lang w:eastAsia="bg-BG"/>
        </w:rPr>
        <w:t xml:space="preserve"> от отчетеното за 201</w:t>
      </w:r>
      <w:r w:rsidR="0063477A" w:rsidRPr="00327A61">
        <w:rPr>
          <w:rFonts w:eastAsia="Times New Roman"/>
          <w:lang w:eastAsia="bg-BG"/>
        </w:rPr>
        <w:t>6</w:t>
      </w:r>
      <w:r w:rsidR="000C0391" w:rsidRPr="00327A61">
        <w:rPr>
          <w:rFonts w:eastAsia="Times New Roman"/>
          <w:lang w:eastAsia="bg-BG"/>
        </w:rPr>
        <w:t xml:space="preserve">г. В резултат на горната динамика, </w:t>
      </w:r>
      <w:r w:rsidR="000C0391" w:rsidRPr="00327A61">
        <w:rPr>
          <w:rFonts w:eastAsia="Times New Roman"/>
          <w:u w:val="single"/>
          <w:lang w:eastAsia="bg-BG"/>
        </w:rPr>
        <w:t>печалба от съхранение</w:t>
      </w:r>
      <w:r w:rsidR="000C0391" w:rsidRPr="00327A61">
        <w:rPr>
          <w:rFonts w:eastAsia="Times New Roman"/>
          <w:lang w:eastAsia="bg-BG"/>
        </w:rPr>
        <w:t xml:space="preserve"> през 201</w:t>
      </w:r>
      <w:r w:rsidR="00CF04D6" w:rsidRPr="00327A61">
        <w:rPr>
          <w:rFonts w:eastAsia="Times New Roman"/>
          <w:lang w:eastAsia="bg-BG"/>
        </w:rPr>
        <w:t>7</w:t>
      </w:r>
      <w:r w:rsidR="000C0391" w:rsidRPr="00327A61">
        <w:rPr>
          <w:rFonts w:eastAsia="Times New Roman"/>
          <w:lang w:eastAsia="bg-BG"/>
        </w:rPr>
        <w:t xml:space="preserve"> г. </w:t>
      </w:r>
      <w:r w:rsidR="000C0391" w:rsidRPr="00327A61">
        <w:rPr>
          <w:rFonts w:eastAsia="Times New Roman"/>
          <w:u w:val="single"/>
          <w:lang w:eastAsia="bg-BG"/>
        </w:rPr>
        <w:t xml:space="preserve">възлиза на 1 </w:t>
      </w:r>
      <w:r w:rsidR="0063477A" w:rsidRPr="00327A61">
        <w:rPr>
          <w:rFonts w:eastAsia="Times New Roman"/>
          <w:u w:val="single"/>
          <w:lang w:eastAsia="bg-BG"/>
        </w:rPr>
        <w:t>143</w:t>
      </w:r>
      <w:r w:rsidR="000C0391" w:rsidRPr="00327A61">
        <w:rPr>
          <w:rFonts w:eastAsia="Times New Roman"/>
          <w:u w:val="single"/>
          <w:lang w:eastAsia="bg-BG"/>
        </w:rPr>
        <w:t xml:space="preserve"> хил. лв.</w:t>
      </w:r>
      <w:r w:rsidR="000C0391" w:rsidRPr="00327A61">
        <w:rPr>
          <w:rFonts w:eastAsia="Times New Roman"/>
          <w:lang w:eastAsia="bg-BG"/>
        </w:rPr>
        <w:t xml:space="preserve"> и в сравнение с отчетената през 201</w:t>
      </w:r>
      <w:r w:rsidR="0063477A" w:rsidRPr="00327A61">
        <w:rPr>
          <w:rFonts w:eastAsia="Times New Roman"/>
          <w:lang w:eastAsia="bg-BG"/>
        </w:rPr>
        <w:t>6</w:t>
      </w:r>
      <w:r w:rsidR="000C0391" w:rsidRPr="00327A61">
        <w:rPr>
          <w:rFonts w:eastAsia="Times New Roman"/>
          <w:lang w:eastAsia="bg-BG"/>
        </w:rPr>
        <w:t xml:space="preserve"> г.</w:t>
      </w:r>
      <w:r w:rsidRPr="00327A61">
        <w:rPr>
          <w:rFonts w:eastAsia="Times New Roman"/>
          <w:lang w:eastAsia="bg-BG"/>
        </w:rPr>
        <w:t>,</w:t>
      </w:r>
      <w:r w:rsidR="000C0391" w:rsidRPr="00327A61">
        <w:rPr>
          <w:rFonts w:eastAsia="Times New Roman"/>
          <w:lang w:eastAsia="bg-BG"/>
        </w:rPr>
        <w:t xml:space="preserve"> тя </w:t>
      </w:r>
      <w:r w:rsidRPr="00327A61">
        <w:rPr>
          <w:rFonts w:eastAsia="Times New Roman"/>
          <w:lang w:eastAsia="bg-BG"/>
        </w:rPr>
        <w:t xml:space="preserve">намалява с </w:t>
      </w:r>
      <w:r w:rsidR="0063477A" w:rsidRPr="00327A61">
        <w:rPr>
          <w:rFonts w:eastAsia="Times New Roman"/>
          <w:lang w:eastAsia="bg-BG"/>
        </w:rPr>
        <w:t>-394</w:t>
      </w:r>
      <w:r w:rsidRPr="00327A61">
        <w:rPr>
          <w:rFonts w:eastAsia="Times New Roman"/>
          <w:lang w:eastAsia="bg-BG"/>
        </w:rPr>
        <w:t xml:space="preserve"> хил.лв. или </w:t>
      </w:r>
      <w:r w:rsidR="0063477A" w:rsidRPr="00327A61">
        <w:rPr>
          <w:rFonts w:eastAsia="Times New Roman"/>
          <w:lang w:eastAsia="bg-BG"/>
        </w:rPr>
        <w:t>-25</w:t>
      </w:r>
      <w:r w:rsidRPr="00327A61">
        <w:rPr>
          <w:rFonts w:eastAsia="Times New Roman"/>
          <w:lang w:eastAsia="bg-BG"/>
        </w:rPr>
        <w:t>,</w:t>
      </w:r>
      <w:r w:rsidR="0063477A" w:rsidRPr="00327A61">
        <w:rPr>
          <w:rFonts w:eastAsia="Times New Roman"/>
          <w:lang w:eastAsia="bg-BG"/>
        </w:rPr>
        <w:t>6</w:t>
      </w:r>
      <w:r w:rsidRPr="00327A61">
        <w:rPr>
          <w:rFonts w:eastAsia="Times New Roman"/>
          <w:lang w:eastAsia="bg-BG"/>
        </w:rPr>
        <w:t xml:space="preserve"> %.</w:t>
      </w:r>
      <w:bookmarkEnd w:id="50"/>
      <w:r w:rsidR="000C0391" w:rsidRPr="00327A61">
        <w:rPr>
          <w:rFonts w:eastAsia="Times New Roman"/>
          <w:lang w:eastAsia="bg-BG"/>
        </w:rPr>
        <w:t xml:space="preserve"> </w:t>
      </w:r>
    </w:p>
    <w:p w:rsidR="0063477A" w:rsidRPr="00327A61" w:rsidRDefault="000C0391" w:rsidP="000C0391">
      <w:pPr>
        <w:spacing w:after="120"/>
        <w:ind w:firstLine="709"/>
        <w:jc w:val="both"/>
        <w:rPr>
          <w:rFonts w:eastAsia="Times New Roman"/>
          <w:lang w:eastAsia="bg-BG"/>
        </w:rPr>
      </w:pPr>
      <w:bookmarkStart w:id="51" w:name="_Hlk506994950"/>
      <w:r w:rsidRPr="00327A61">
        <w:rPr>
          <w:rFonts w:eastAsia="Times New Roman"/>
          <w:lang w:eastAsia="bg-BG"/>
        </w:rPr>
        <w:t>В приходите от</w:t>
      </w:r>
      <w:r w:rsidRPr="00327A61">
        <w:rPr>
          <w:rFonts w:eastAsia="Times New Roman"/>
          <w:i/>
          <w:lang w:eastAsia="bg-BG"/>
        </w:rPr>
        <w:t xml:space="preserve"> други дейности</w:t>
      </w:r>
      <w:r w:rsidRPr="00327A61">
        <w:rPr>
          <w:rFonts w:eastAsia="Times New Roman"/>
          <w:lang w:eastAsia="bg-BG"/>
        </w:rPr>
        <w:t xml:space="preserve"> на </w:t>
      </w:r>
      <w:r w:rsidR="008B4E89" w:rsidRPr="00327A61">
        <w:rPr>
          <w:rFonts w:eastAsia="Times New Roman"/>
          <w:lang w:eastAsia="bg-BG"/>
        </w:rPr>
        <w:t>„</w:t>
      </w:r>
      <w:r w:rsidRPr="00327A61">
        <w:rPr>
          <w:rFonts w:eastAsia="Times New Roman"/>
          <w:lang w:eastAsia="bg-BG"/>
        </w:rPr>
        <w:t>Пристанищен комплекс-Русе</w:t>
      </w:r>
      <w:r w:rsidR="008B4E89" w:rsidRPr="00327A61">
        <w:rPr>
          <w:rFonts w:eastAsia="Times New Roman"/>
          <w:lang w:eastAsia="bg-BG"/>
        </w:rPr>
        <w:t>“</w:t>
      </w:r>
      <w:r w:rsidRPr="00327A61">
        <w:rPr>
          <w:rFonts w:eastAsia="Times New Roman"/>
          <w:lang w:eastAsia="bg-BG"/>
        </w:rPr>
        <w:t xml:space="preserve"> ЕАД за 201</w:t>
      </w:r>
      <w:r w:rsidR="0063477A" w:rsidRPr="00327A61">
        <w:rPr>
          <w:rFonts w:eastAsia="Times New Roman"/>
          <w:lang w:eastAsia="bg-BG"/>
        </w:rPr>
        <w:t>7</w:t>
      </w:r>
      <w:r w:rsidRPr="00327A61">
        <w:rPr>
          <w:rFonts w:eastAsia="Times New Roman"/>
          <w:lang w:eastAsia="bg-BG"/>
        </w:rPr>
        <w:t xml:space="preserve"> г. регулярно влизат приходите от понтонни и маневрени услуги, експедиция и кантария, </w:t>
      </w:r>
      <w:r w:rsidRPr="00327A61">
        <w:rPr>
          <w:rFonts w:eastAsia="Times New Roman"/>
          <w:lang w:eastAsia="bg-BG"/>
        </w:rPr>
        <w:lastRenderedPageBreak/>
        <w:t xml:space="preserve">ползване на пристанищни механични средства и други. </w:t>
      </w:r>
      <w:r w:rsidR="00AC06DB" w:rsidRPr="00327A61">
        <w:rPr>
          <w:rFonts w:eastAsia="Times New Roman"/>
          <w:lang w:eastAsia="bg-BG"/>
        </w:rPr>
        <w:t>За</w:t>
      </w:r>
      <w:r w:rsidRPr="00327A61">
        <w:rPr>
          <w:rFonts w:eastAsia="Times New Roman"/>
          <w:lang w:eastAsia="bg-BG"/>
        </w:rPr>
        <w:t xml:space="preserve"> текущата година тези приходи </w:t>
      </w:r>
      <w:r w:rsidR="0063477A" w:rsidRPr="00327A61">
        <w:rPr>
          <w:rFonts w:eastAsia="Times New Roman"/>
          <w:lang w:eastAsia="bg-BG"/>
        </w:rPr>
        <w:t>се увеличават</w:t>
      </w:r>
      <w:r w:rsidR="00AC06DB" w:rsidRPr="00327A61">
        <w:rPr>
          <w:rFonts w:eastAsia="Times New Roman"/>
          <w:lang w:eastAsia="bg-BG"/>
        </w:rPr>
        <w:t xml:space="preserve"> с</w:t>
      </w:r>
      <w:r w:rsidRPr="00327A61">
        <w:rPr>
          <w:rFonts w:eastAsia="Times New Roman"/>
          <w:lang w:eastAsia="bg-BG"/>
        </w:rPr>
        <w:t xml:space="preserve"> </w:t>
      </w:r>
      <w:r w:rsidR="0063477A" w:rsidRPr="00327A61">
        <w:rPr>
          <w:rFonts w:eastAsia="Times New Roman"/>
          <w:lang w:eastAsia="bg-BG"/>
        </w:rPr>
        <w:t>114</w:t>
      </w:r>
      <w:r w:rsidRPr="00327A61">
        <w:rPr>
          <w:rFonts w:eastAsia="Times New Roman"/>
          <w:lang w:eastAsia="bg-BG"/>
        </w:rPr>
        <w:t xml:space="preserve"> хил. лв. </w:t>
      </w:r>
      <w:r w:rsidR="00AC06DB" w:rsidRPr="00327A61">
        <w:rPr>
          <w:rFonts w:eastAsia="Times New Roman"/>
          <w:lang w:eastAsia="bg-BG"/>
        </w:rPr>
        <w:t>(2</w:t>
      </w:r>
      <w:r w:rsidR="0063477A" w:rsidRPr="00327A61">
        <w:rPr>
          <w:rFonts w:eastAsia="Times New Roman"/>
          <w:lang w:eastAsia="bg-BG"/>
        </w:rPr>
        <w:t>0</w:t>
      </w:r>
      <w:r w:rsidRPr="00327A61">
        <w:rPr>
          <w:rFonts w:eastAsia="Times New Roman"/>
          <w:lang w:eastAsia="bg-BG"/>
        </w:rPr>
        <w:t xml:space="preserve"> %). </w:t>
      </w:r>
      <w:r w:rsidR="0063477A" w:rsidRPr="00327A61">
        <w:rPr>
          <w:rFonts w:eastAsia="Times New Roman"/>
          <w:lang w:eastAsia="bg-BG"/>
        </w:rPr>
        <w:t xml:space="preserve">За увеличеният размер на </w:t>
      </w:r>
      <w:r w:rsidR="0063477A" w:rsidRPr="00327A61">
        <w:rPr>
          <w:rFonts w:eastAsia="Times New Roman"/>
          <w:i/>
          <w:lang w:eastAsia="bg-BG"/>
        </w:rPr>
        <w:t>други приходи</w:t>
      </w:r>
      <w:r w:rsidR="0063477A" w:rsidRPr="00327A61">
        <w:rPr>
          <w:rFonts w:eastAsia="Times New Roman"/>
          <w:lang w:eastAsia="bg-BG"/>
        </w:rPr>
        <w:t xml:space="preserve"> през 2017г. влияние оказват най-вече постъпленията от продажба на метални отпадъци в размер на 86 хил.лв</w:t>
      </w:r>
      <w:bookmarkEnd w:id="51"/>
      <w:r w:rsidR="0063477A" w:rsidRPr="00327A61">
        <w:rPr>
          <w:rFonts w:eastAsia="Times New Roman"/>
          <w:lang w:eastAsia="bg-BG"/>
        </w:rPr>
        <w:t>.</w:t>
      </w:r>
    </w:p>
    <w:p w:rsidR="00F76B40" w:rsidRPr="00327A61" w:rsidRDefault="00F76B40" w:rsidP="00BE01E2">
      <w:pPr>
        <w:tabs>
          <w:tab w:val="left" w:pos="3720"/>
        </w:tabs>
        <w:rPr>
          <w:sz w:val="26"/>
          <w:szCs w:val="26"/>
        </w:rPr>
      </w:pPr>
    </w:p>
    <w:p w:rsidR="0076393F" w:rsidRPr="00327A61" w:rsidRDefault="009D69C9" w:rsidP="005B4848">
      <w:pPr>
        <w:spacing w:after="120"/>
        <w:jc w:val="center"/>
      </w:pPr>
      <w:r w:rsidRPr="00327A61">
        <w:rPr>
          <w:noProof/>
          <w:lang w:eastAsia="bg-BG"/>
        </w:rPr>
        <w:drawing>
          <wp:inline distT="0" distB="0" distL="0" distR="0" wp14:anchorId="79AFDC8F" wp14:editId="6AAD43BF">
            <wp:extent cx="4389437" cy="2576512"/>
            <wp:effectExtent l="0" t="0" r="0" b="0"/>
            <wp:docPr id="8" name="Диаграма 8">
              <a:extLst xmlns:a="http://schemas.openxmlformats.org/drawingml/2006/main">
                <a:ext uri="{FF2B5EF4-FFF2-40B4-BE49-F238E27FC236}">
                  <a16:creationId xmlns:a16="http://schemas.microsoft.com/office/drawing/2014/main" id="{CA6F6452-D327-405B-A731-8691670D1FA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4A394F" w:rsidRPr="00327A61" w:rsidRDefault="00F178DE" w:rsidP="00DD76F5">
      <w:pPr>
        <w:pStyle w:val="Heading2"/>
        <w:numPr>
          <w:ilvl w:val="1"/>
          <w:numId w:val="2"/>
        </w:numPr>
        <w:tabs>
          <w:tab w:val="num" w:pos="540"/>
        </w:tabs>
        <w:spacing w:before="240" w:after="120"/>
        <w:rPr>
          <w:rFonts w:ascii="Times New Roman" w:hAnsi="Times New Roman"/>
          <w:i/>
          <w:sz w:val="24"/>
          <w:u w:val="single"/>
        </w:rPr>
      </w:pPr>
      <w:bookmarkStart w:id="52" w:name="_Toc288478118"/>
      <w:bookmarkStart w:id="53" w:name="_Toc477959776"/>
      <w:r w:rsidRPr="00327A61">
        <w:rPr>
          <w:rFonts w:ascii="Times New Roman" w:hAnsi="Times New Roman"/>
          <w:i/>
          <w:sz w:val="24"/>
          <w:u w:val="single"/>
        </w:rPr>
        <w:t xml:space="preserve">5) </w:t>
      </w:r>
      <w:r w:rsidR="004A394F" w:rsidRPr="00327A61">
        <w:rPr>
          <w:rFonts w:ascii="Times New Roman" w:hAnsi="Times New Roman"/>
          <w:i/>
          <w:smallCaps/>
          <w:sz w:val="24"/>
          <w:u w:val="single"/>
        </w:rPr>
        <w:t>Анализ на финансовите приходи и разходи</w:t>
      </w:r>
      <w:bookmarkEnd w:id="52"/>
      <w:bookmarkEnd w:id="53"/>
    </w:p>
    <w:p w:rsidR="000C0391" w:rsidRPr="00327A61" w:rsidRDefault="0015326C" w:rsidP="000C0391">
      <w:pPr>
        <w:pStyle w:val="BodyTextIndent"/>
        <w:spacing w:after="60"/>
        <w:ind w:firstLine="709"/>
      </w:pPr>
      <w:bookmarkStart w:id="54" w:name="_Hlk506994765"/>
      <w:r w:rsidRPr="00327A61">
        <w:t>За</w:t>
      </w:r>
      <w:r w:rsidR="000C0391" w:rsidRPr="00327A61">
        <w:t xml:space="preserve"> 201</w:t>
      </w:r>
      <w:r w:rsidR="00363925" w:rsidRPr="00327A61">
        <w:t>7</w:t>
      </w:r>
      <w:r w:rsidR="000C0391" w:rsidRPr="00327A61">
        <w:t xml:space="preserve">г. дружеството реализира </w:t>
      </w:r>
      <w:r w:rsidR="000C0391" w:rsidRPr="00327A61">
        <w:rPr>
          <w:i/>
          <w:u w:val="single"/>
        </w:rPr>
        <w:t>отрицателен нетен резултат от финансовите си приходи и разходи</w:t>
      </w:r>
      <w:r w:rsidR="000C0391" w:rsidRPr="00327A61">
        <w:t xml:space="preserve"> от </w:t>
      </w:r>
      <w:r w:rsidR="00363925" w:rsidRPr="00327A61">
        <w:t>30</w:t>
      </w:r>
      <w:r w:rsidR="000C0391" w:rsidRPr="00327A61">
        <w:t xml:space="preserve"> хил.лв., докато през 201</w:t>
      </w:r>
      <w:r w:rsidR="00363925" w:rsidRPr="00327A61">
        <w:t>6</w:t>
      </w:r>
      <w:r w:rsidR="000C0391" w:rsidRPr="00327A61">
        <w:t xml:space="preserve"> г. този отрицателен резултат бе в размер </w:t>
      </w:r>
      <w:r w:rsidR="00363925" w:rsidRPr="00327A61">
        <w:t>197</w:t>
      </w:r>
      <w:r w:rsidR="000C0391" w:rsidRPr="00327A61">
        <w:t xml:space="preserve"> хил.лв. В това число:</w:t>
      </w:r>
    </w:p>
    <w:p w:rsidR="000C0391" w:rsidRPr="00327A61" w:rsidRDefault="000C0391" w:rsidP="000C0391">
      <w:pPr>
        <w:spacing w:after="60"/>
        <w:ind w:firstLine="709"/>
        <w:jc w:val="both"/>
      </w:pPr>
      <w:r w:rsidRPr="00327A61">
        <w:rPr>
          <w:i/>
          <w:u w:val="single"/>
        </w:rPr>
        <w:t>Приходите от лихви</w:t>
      </w:r>
      <w:r w:rsidRPr="00327A61">
        <w:t xml:space="preserve"> към края на 201</w:t>
      </w:r>
      <w:r w:rsidR="00156E47" w:rsidRPr="00327A61">
        <w:t>7</w:t>
      </w:r>
      <w:r w:rsidRPr="00327A61">
        <w:t xml:space="preserve"> г. възлизат на </w:t>
      </w:r>
      <w:r w:rsidR="00156E47" w:rsidRPr="00327A61">
        <w:t>24</w:t>
      </w:r>
      <w:r w:rsidRPr="00327A61">
        <w:t xml:space="preserve"> хил.лв. (при </w:t>
      </w:r>
      <w:r w:rsidR="00156E47" w:rsidRPr="00327A61">
        <w:t>36</w:t>
      </w:r>
      <w:r w:rsidRPr="00327A61">
        <w:t xml:space="preserve"> хил. лв. за 201</w:t>
      </w:r>
      <w:r w:rsidR="00156E47" w:rsidRPr="00327A61">
        <w:t>6</w:t>
      </w:r>
      <w:r w:rsidRPr="00327A61">
        <w:t xml:space="preserve"> г.) и формират </w:t>
      </w:r>
      <w:r w:rsidR="00156E47" w:rsidRPr="00327A61">
        <w:t>10</w:t>
      </w:r>
      <w:r w:rsidRPr="00327A61">
        <w:t xml:space="preserve">0 % от финансовите приходи на дружеството. Спрямо предходната година е отчетен </w:t>
      </w:r>
      <w:r w:rsidR="002A11C6" w:rsidRPr="00327A61">
        <w:t>спад</w:t>
      </w:r>
      <w:r w:rsidRPr="00327A61">
        <w:t xml:space="preserve"> на този вид приходи в размер на </w:t>
      </w:r>
      <w:r w:rsidR="00156E47" w:rsidRPr="00327A61">
        <w:t>-12</w:t>
      </w:r>
      <w:r w:rsidR="002A11C6" w:rsidRPr="00327A61">
        <w:t xml:space="preserve"> хил. лв.</w:t>
      </w:r>
      <w:r w:rsidRPr="00327A61">
        <w:t xml:space="preserve"> (</w:t>
      </w:r>
      <w:r w:rsidR="002A11C6" w:rsidRPr="00327A61">
        <w:t>-</w:t>
      </w:r>
      <w:r w:rsidR="00156E47" w:rsidRPr="00327A61">
        <w:t>33</w:t>
      </w:r>
      <w:r w:rsidRPr="00327A61">
        <w:t xml:space="preserve"> %).</w:t>
      </w:r>
    </w:p>
    <w:p w:rsidR="000C0391" w:rsidRPr="00327A61" w:rsidRDefault="000C0391" w:rsidP="000C0391">
      <w:pPr>
        <w:spacing w:after="60"/>
        <w:ind w:firstLine="709"/>
        <w:jc w:val="both"/>
      </w:pPr>
      <w:r w:rsidRPr="00327A61">
        <w:t xml:space="preserve">През периода </w:t>
      </w:r>
      <w:r w:rsidR="00156E47" w:rsidRPr="00327A61">
        <w:t xml:space="preserve">не </w:t>
      </w:r>
      <w:r w:rsidRPr="00327A61">
        <w:t xml:space="preserve">са реализирани </w:t>
      </w:r>
      <w:r w:rsidRPr="00327A61">
        <w:rPr>
          <w:i/>
          <w:u w:val="single"/>
        </w:rPr>
        <w:t>положителни разлики от промяна на валутни курсове</w:t>
      </w:r>
      <w:r w:rsidR="00156E47" w:rsidRPr="00327A61">
        <w:t xml:space="preserve">, </w:t>
      </w:r>
      <w:r w:rsidRPr="00327A61">
        <w:t xml:space="preserve">при </w:t>
      </w:r>
      <w:r w:rsidR="00156E47" w:rsidRPr="00327A61">
        <w:t>9</w:t>
      </w:r>
      <w:r w:rsidRPr="00327A61">
        <w:t xml:space="preserve"> хил.лв. такива през 201</w:t>
      </w:r>
      <w:r w:rsidR="00156E47" w:rsidRPr="00327A61">
        <w:t>6</w:t>
      </w:r>
      <w:r w:rsidRPr="00327A61">
        <w:t xml:space="preserve"> г.</w:t>
      </w:r>
    </w:p>
    <w:p w:rsidR="00A66C0B" w:rsidRPr="00327A61" w:rsidRDefault="000C0391" w:rsidP="000C0391">
      <w:pPr>
        <w:spacing w:after="60"/>
        <w:ind w:firstLine="709"/>
        <w:jc w:val="both"/>
      </w:pPr>
      <w:r w:rsidRPr="00327A61">
        <w:t>За 201</w:t>
      </w:r>
      <w:r w:rsidR="00156E47" w:rsidRPr="00327A61">
        <w:t>7</w:t>
      </w:r>
      <w:r w:rsidRPr="00327A61">
        <w:t>г.</w:t>
      </w:r>
      <w:r w:rsidR="008C3773" w:rsidRPr="00327A61">
        <w:t xml:space="preserve"> във финансовите разходи</w:t>
      </w:r>
      <w:r w:rsidRPr="00327A61">
        <w:t xml:space="preserve"> са отчетени </w:t>
      </w:r>
      <w:r w:rsidR="008F5837" w:rsidRPr="00327A61">
        <w:t>2</w:t>
      </w:r>
      <w:r w:rsidR="00156E47" w:rsidRPr="00327A61">
        <w:t>0</w:t>
      </w:r>
      <w:r w:rsidRPr="00327A61">
        <w:t xml:space="preserve"> хил.лв., които представля</w:t>
      </w:r>
      <w:r w:rsidR="00E05FF2" w:rsidRPr="00327A61">
        <w:t>ва</w:t>
      </w:r>
      <w:r w:rsidRPr="00327A61">
        <w:t>т обезценка на депозирани</w:t>
      </w:r>
      <w:r w:rsidR="00B353C6" w:rsidRPr="00327A61">
        <w:t>те</w:t>
      </w:r>
      <w:r w:rsidRPr="00327A61">
        <w:t xml:space="preserve"> парични средства на дружеството в „Корпоративна търговска банка“ АД, след обявяването на банката в несъстоятелност, </w:t>
      </w:r>
      <w:r w:rsidR="00156E47" w:rsidRPr="00327A61">
        <w:t xml:space="preserve">32 хил.лв. отрицателни валутни курсови разлики, </w:t>
      </w:r>
      <w:r w:rsidRPr="00327A61">
        <w:t xml:space="preserve">както и </w:t>
      </w:r>
      <w:r w:rsidR="00156E47" w:rsidRPr="00327A61">
        <w:t>2</w:t>
      </w:r>
      <w:r w:rsidRPr="00327A61">
        <w:t xml:space="preserve"> хил. лв. други разходи по финансови операции. Така общата сума на финансовите разходи за текущата година достига </w:t>
      </w:r>
      <w:r w:rsidR="00156E47" w:rsidRPr="00327A61">
        <w:t>54</w:t>
      </w:r>
      <w:r w:rsidRPr="00327A61">
        <w:t xml:space="preserve"> хил.лв. при </w:t>
      </w:r>
      <w:r w:rsidR="00156E47" w:rsidRPr="00327A61">
        <w:t>242</w:t>
      </w:r>
      <w:r w:rsidRPr="00327A61">
        <w:t xml:space="preserve"> хил.лв. за 201</w:t>
      </w:r>
      <w:r w:rsidR="00156E47" w:rsidRPr="00327A61">
        <w:t>6</w:t>
      </w:r>
      <w:r w:rsidRPr="00327A61">
        <w:t xml:space="preserve"> г</w:t>
      </w:r>
      <w:r w:rsidR="00E05FF2" w:rsidRPr="00327A61">
        <w:t>. По този начин ф</w:t>
      </w:r>
      <w:r w:rsidRPr="00327A61">
        <w:t>инансовите разходи за 201</w:t>
      </w:r>
      <w:r w:rsidR="003221F3" w:rsidRPr="00327A61">
        <w:t>7</w:t>
      </w:r>
      <w:r w:rsidRPr="00327A61">
        <w:t xml:space="preserve"> г. </w:t>
      </w:r>
      <w:r w:rsidR="008F5837" w:rsidRPr="00327A61">
        <w:t>намаляват с</w:t>
      </w:r>
      <w:r w:rsidRPr="00327A61">
        <w:t xml:space="preserve"> </w:t>
      </w:r>
      <w:r w:rsidR="003221F3" w:rsidRPr="00327A61">
        <w:t>188</w:t>
      </w:r>
      <w:r w:rsidRPr="00327A61">
        <w:t xml:space="preserve"> хил.лв. </w:t>
      </w:r>
      <w:r w:rsidR="008F5837" w:rsidRPr="00327A61">
        <w:t xml:space="preserve">спрямо </w:t>
      </w:r>
      <w:r w:rsidRPr="00327A61">
        <w:t>изр</w:t>
      </w:r>
      <w:r w:rsidR="008F5837" w:rsidRPr="00327A61">
        <w:t>азходените през предходната 201</w:t>
      </w:r>
      <w:r w:rsidR="003221F3" w:rsidRPr="00327A61">
        <w:t>6</w:t>
      </w:r>
      <w:r w:rsidRPr="00327A61">
        <w:t xml:space="preserve"> г. средства по това направление</w:t>
      </w:r>
      <w:bookmarkEnd w:id="54"/>
      <w:r w:rsidRPr="00327A61">
        <w:t>.</w:t>
      </w:r>
    </w:p>
    <w:p w:rsidR="00A72BD2" w:rsidRPr="00327A61" w:rsidRDefault="00A72BD2" w:rsidP="00DD76F5">
      <w:pPr>
        <w:pStyle w:val="Heading2"/>
        <w:numPr>
          <w:ilvl w:val="1"/>
          <w:numId w:val="2"/>
        </w:numPr>
        <w:tabs>
          <w:tab w:val="num" w:pos="540"/>
        </w:tabs>
        <w:spacing w:after="120"/>
        <w:rPr>
          <w:rFonts w:ascii="Times New Roman" w:hAnsi="Times New Roman"/>
          <w:i/>
          <w:sz w:val="24"/>
          <w:u w:val="single"/>
        </w:rPr>
      </w:pPr>
      <w:bookmarkStart w:id="55" w:name="_Toc288478119"/>
      <w:bookmarkStart w:id="56" w:name="_Toc477959777"/>
    </w:p>
    <w:p w:rsidR="00B9618A" w:rsidRPr="00327A61" w:rsidRDefault="00F178DE" w:rsidP="00DD76F5">
      <w:pPr>
        <w:pStyle w:val="Heading2"/>
        <w:numPr>
          <w:ilvl w:val="1"/>
          <w:numId w:val="2"/>
        </w:numPr>
        <w:tabs>
          <w:tab w:val="num" w:pos="540"/>
        </w:tabs>
        <w:spacing w:after="120"/>
        <w:rPr>
          <w:rFonts w:ascii="Times New Roman" w:hAnsi="Times New Roman"/>
          <w:i/>
          <w:smallCaps/>
          <w:sz w:val="24"/>
          <w:u w:val="single"/>
        </w:rPr>
      </w:pPr>
      <w:r w:rsidRPr="00327A61">
        <w:rPr>
          <w:rFonts w:ascii="Times New Roman" w:hAnsi="Times New Roman"/>
          <w:i/>
          <w:sz w:val="24"/>
          <w:u w:val="single"/>
        </w:rPr>
        <w:t xml:space="preserve">6) </w:t>
      </w:r>
      <w:r w:rsidR="00D12A66" w:rsidRPr="00327A61">
        <w:rPr>
          <w:rFonts w:ascii="Times New Roman" w:hAnsi="Times New Roman"/>
          <w:i/>
          <w:smallCaps/>
          <w:sz w:val="24"/>
          <w:u w:val="single"/>
        </w:rPr>
        <w:t>Анализ на промените в Баланса на дружеството</w:t>
      </w:r>
      <w:bookmarkEnd w:id="55"/>
      <w:bookmarkEnd w:id="56"/>
    </w:p>
    <w:p w:rsidR="00F178DE" w:rsidRPr="00327A61" w:rsidRDefault="001E1227" w:rsidP="00F178DE">
      <w:pPr>
        <w:pStyle w:val="Heading3"/>
        <w:spacing w:before="120" w:after="60"/>
        <w:ind w:left="720"/>
        <w:jc w:val="left"/>
        <w:rPr>
          <w:rFonts w:ascii="Times New Roman" w:hAnsi="Times New Roman"/>
          <w:lang w:val="en-US"/>
        </w:rPr>
      </w:pPr>
      <w:r w:rsidRPr="00327A61">
        <w:rPr>
          <w:rFonts w:ascii="Times New Roman" w:hAnsi="Times New Roman"/>
        </w:rPr>
        <w:t xml:space="preserve">6.1. </w:t>
      </w:r>
      <w:bookmarkStart w:id="57" w:name="_Toc288478120"/>
      <w:bookmarkStart w:id="58" w:name="_Toc477959778"/>
      <w:r w:rsidR="00F178DE" w:rsidRPr="00327A61">
        <w:rPr>
          <w:rFonts w:ascii="Times New Roman" w:hAnsi="Times New Roman"/>
        </w:rPr>
        <w:t>Актив</w:t>
      </w:r>
      <w:bookmarkEnd w:id="57"/>
      <w:bookmarkEnd w:id="58"/>
    </w:p>
    <w:p w:rsidR="00F178DE" w:rsidRPr="00327A61" w:rsidRDefault="00F178DE" w:rsidP="00F178DE">
      <w:pPr>
        <w:spacing w:after="120"/>
        <w:ind w:firstLine="720"/>
        <w:jc w:val="both"/>
        <w:rPr>
          <w:lang w:val="ru-RU"/>
        </w:rPr>
      </w:pPr>
      <w:bookmarkStart w:id="59" w:name="_Hlk506995059"/>
      <w:r w:rsidRPr="00327A61">
        <w:t>За осъществяване на дейността си през 2017г. “Пристанищен комплекс–Русе” ЕАД  разполага с активи с общ  размер от 17 107 хил.лв</w:t>
      </w:r>
      <w:bookmarkEnd w:id="59"/>
      <w:r w:rsidRPr="00327A61">
        <w:t xml:space="preserve">. </w:t>
      </w:r>
    </w:p>
    <w:p w:rsidR="00F178DE" w:rsidRPr="00327A61" w:rsidRDefault="00F178DE" w:rsidP="00F178DE">
      <w:pPr>
        <w:ind w:firstLine="709"/>
        <w:jc w:val="both"/>
      </w:pPr>
      <w:r w:rsidRPr="00327A61">
        <w:rPr>
          <w:rFonts w:eastAsia="Times New Roman"/>
          <w:lang w:eastAsia="bg-BG"/>
        </w:rPr>
        <w:t xml:space="preserve">Към 31 декември 2017г. стойността на </w:t>
      </w:r>
      <w:r w:rsidRPr="00327A61">
        <w:rPr>
          <w:rFonts w:eastAsia="Times New Roman"/>
          <w:i/>
          <w:lang w:eastAsia="bg-BG"/>
        </w:rPr>
        <w:t>Дълготрайните активи</w:t>
      </w:r>
      <w:r w:rsidRPr="00327A61">
        <w:rPr>
          <w:rFonts w:eastAsia="Times New Roman"/>
          <w:lang w:eastAsia="bg-BG"/>
        </w:rPr>
        <w:t xml:space="preserve"> на дружеството възлиза на 5 279 хил.лв., което е със 468 хил.лв. (- 8 %) по-малко в сравнение с края на 2016г. Този спад е изражение в голяма степен на динамиката между стойността на новозакупените през текущата година активи, бракуваните и начислената за периода амортизация. Дълготрайните активи заемат 31%</w:t>
      </w:r>
      <w:r w:rsidRPr="00327A61">
        <w:rPr>
          <w:rFonts w:eastAsia="Times New Roman"/>
          <w:vertAlign w:val="superscript"/>
          <w:lang w:eastAsia="bg-BG"/>
        </w:rPr>
        <w:t>-тен</w:t>
      </w:r>
      <w:r w:rsidRPr="00327A61">
        <w:rPr>
          <w:rFonts w:eastAsia="Times New Roman"/>
          <w:lang w:eastAsia="bg-BG"/>
        </w:rPr>
        <w:t xml:space="preserve"> дял в структурата на Актива.</w:t>
      </w:r>
      <w:r w:rsidRPr="00327A61">
        <w:t xml:space="preserve"> В края на текущата година, като дългосрочни финансови активи на стойност 1 329 хил.лв. са посочени недвижими имоти, </w:t>
      </w:r>
      <w:r w:rsidRPr="00327A61">
        <w:lastRenderedPageBreak/>
        <w:t>собственост на дружеството (инвестиционни имоти съгласно МСС 40), чиято стойност бе преоценена до пазарните нива към края на 2016г. През 2017г. тяхната стойност остава непроменена, тъй като няма съществена промяна в пазарните условия.</w:t>
      </w:r>
    </w:p>
    <w:p w:rsidR="00F178DE" w:rsidRPr="00327A61" w:rsidRDefault="00F178DE" w:rsidP="00F178DE"/>
    <w:tbl>
      <w:tblPr>
        <w:tblW w:w="7882" w:type="dxa"/>
        <w:jc w:val="center"/>
        <w:tblLayout w:type="fixed"/>
        <w:tblCellMar>
          <w:left w:w="70" w:type="dxa"/>
          <w:right w:w="70" w:type="dxa"/>
        </w:tblCellMar>
        <w:tblLook w:val="0000" w:firstRow="0" w:lastRow="0" w:firstColumn="0" w:lastColumn="0" w:noHBand="0" w:noVBand="0"/>
      </w:tblPr>
      <w:tblGrid>
        <w:gridCol w:w="4140"/>
        <w:gridCol w:w="1252"/>
        <w:gridCol w:w="1245"/>
        <w:gridCol w:w="1245"/>
      </w:tblGrid>
      <w:tr w:rsidR="006A2652" w:rsidRPr="00327A61">
        <w:trPr>
          <w:trHeight w:val="270"/>
          <w:jc w:val="center"/>
        </w:trPr>
        <w:tc>
          <w:tcPr>
            <w:tcW w:w="4140" w:type="dxa"/>
            <w:tcBorders>
              <w:top w:val="single" w:sz="4" w:space="0" w:color="auto"/>
              <w:left w:val="single" w:sz="4" w:space="0" w:color="auto"/>
              <w:bottom w:val="single" w:sz="4" w:space="0" w:color="auto"/>
              <w:right w:val="single" w:sz="4" w:space="0" w:color="auto"/>
            </w:tcBorders>
            <w:shd w:val="clear" w:color="auto" w:fill="C0C0C0"/>
            <w:vAlign w:val="bottom"/>
          </w:tcPr>
          <w:p w:rsidR="006A2652" w:rsidRPr="00327A61" w:rsidRDefault="006A2652" w:rsidP="00701693">
            <w:pPr>
              <w:pBdr>
                <w:between w:val="single" w:sz="4" w:space="1" w:color="auto"/>
              </w:pBdr>
              <w:rPr>
                <w:sz w:val="22"/>
                <w:szCs w:val="20"/>
              </w:rPr>
            </w:pPr>
            <w:r w:rsidRPr="00327A61">
              <w:rPr>
                <w:sz w:val="22"/>
                <w:szCs w:val="20"/>
              </w:rPr>
              <w:t>СЧЕТОВОДЕН БАЛАНС</w:t>
            </w:r>
          </w:p>
        </w:tc>
        <w:tc>
          <w:tcPr>
            <w:tcW w:w="3742" w:type="dxa"/>
            <w:gridSpan w:val="3"/>
            <w:tcBorders>
              <w:top w:val="single" w:sz="4" w:space="0" w:color="auto"/>
              <w:left w:val="single" w:sz="4" w:space="0" w:color="auto"/>
              <w:bottom w:val="single" w:sz="4" w:space="0" w:color="auto"/>
              <w:right w:val="single" w:sz="4" w:space="0" w:color="auto"/>
            </w:tcBorders>
            <w:shd w:val="clear" w:color="auto" w:fill="C0C0C0"/>
            <w:vAlign w:val="bottom"/>
          </w:tcPr>
          <w:p w:rsidR="006A2652" w:rsidRPr="00327A61" w:rsidRDefault="006A2652" w:rsidP="00CD6AA0">
            <w:pPr>
              <w:jc w:val="center"/>
              <w:rPr>
                <w:snapToGrid w:val="0"/>
                <w:color w:val="000000"/>
                <w:sz w:val="22"/>
                <w:szCs w:val="20"/>
                <w:lang w:eastAsia="en-US"/>
              </w:rPr>
            </w:pPr>
            <w:r w:rsidRPr="00327A61">
              <w:rPr>
                <w:snapToGrid w:val="0"/>
                <w:color w:val="000000"/>
                <w:sz w:val="22"/>
                <w:szCs w:val="20"/>
                <w:lang w:eastAsia="en-US"/>
              </w:rPr>
              <w:t>31 ДЕКЕМВРИ 20</w:t>
            </w:r>
            <w:r w:rsidR="00776116" w:rsidRPr="00327A61">
              <w:rPr>
                <w:snapToGrid w:val="0"/>
                <w:color w:val="000000"/>
                <w:sz w:val="22"/>
                <w:szCs w:val="20"/>
                <w:lang w:eastAsia="en-US"/>
              </w:rPr>
              <w:t>1</w:t>
            </w:r>
            <w:r w:rsidR="00E901D4" w:rsidRPr="00327A61">
              <w:rPr>
                <w:snapToGrid w:val="0"/>
                <w:color w:val="000000"/>
                <w:sz w:val="22"/>
                <w:szCs w:val="20"/>
                <w:lang w:eastAsia="en-US"/>
              </w:rPr>
              <w:t>7</w:t>
            </w:r>
          </w:p>
        </w:tc>
      </w:tr>
      <w:tr w:rsidR="00513989" w:rsidRPr="00327A61" w:rsidTr="00E901D4">
        <w:trPr>
          <w:trHeight w:val="302"/>
          <w:jc w:val="center"/>
        </w:trPr>
        <w:tc>
          <w:tcPr>
            <w:tcW w:w="4140" w:type="dxa"/>
            <w:tcBorders>
              <w:top w:val="single" w:sz="4" w:space="0" w:color="auto"/>
              <w:left w:val="single" w:sz="4" w:space="0" w:color="auto"/>
              <w:right w:val="nil"/>
            </w:tcBorders>
            <w:vAlign w:val="center"/>
          </w:tcPr>
          <w:p w:rsidR="00513989" w:rsidRPr="00327A61" w:rsidRDefault="00E901D4" w:rsidP="00A72BD2">
            <w:pPr>
              <w:rPr>
                <w:i/>
                <w:sz w:val="18"/>
                <w:szCs w:val="20"/>
              </w:rPr>
            </w:pPr>
            <w:r w:rsidRPr="00327A61">
              <w:rPr>
                <w:i/>
                <w:sz w:val="18"/>
                <w:szCs w:val="20"/>
              </w:rPr>
              <w:t>в</w:t>
            </w:r>
            <w:r w:rsidR="00513989" w:rsidRPr="00327A61">
              <w:rPr>
                <w:i/>
                <w:sz w:val="18"/>
                <w:szCs w:val="20"/>
              </w:rPr>
              <w:t xml:space="preserve"> хил. лева</w:t>
            </w:r>
          </w:p>
        </w:tc>
        <w:tc>
          <w:tcPr>
            <w:tcW w:w="1252" w:type="dxa"/>
            <w:tcBorders>
              <w:top w:val="single" w:sz="4" w:space="0" w:color="auto"/>
              <w:left w:val="single" w:sz="4" w:space="0" w:color="auto"/>
              <w:bottom w:val="single" w:sz="4" w:space="0" w:color="auto"/>
              <w:right w:val="single" w:sz="4" w:space="0" w:color="auto"/>
            </w:tcBorders>
            <w:vAlign w:val="center"/>
          </w:tcPr>
          <w:p w:rsidR="00513989" w:rsidRPr="00327A61" w:rsidRDefault="00513989" w:rsidP="00E901D4">
            <w:pPr>
              <w:jc w:val="center"/>
              <w:rPr>
                <w:sz w:val="22"/>
                <w:szCs w:val="16"/>
                <w:lang w:eastAsia="bg-BG"/>
              </w:rPr>
            </w:pPr>
            <w:r w:rsidRPr="00327A61">
              <w:rPr>
                <w:sz w:val="22"/>
                <w:szCs w:val="16"/>
              </w:rPr>
              <w:t>31.12.2017</w:t>
            </w:r>
          </w:p>
        </w:tc>
        <w:tc>
          <w:tcPr>
            <w:tcW w:w="1245" w:type="dxa"/>
            <w:tcBorders>
              <w:top w:val="single" w:sz="4" w:space="0" w:color="auto"/>
              <w:left w:val="nil"/>
              <w:bottom w:val="single" w:sz="4" w:space="0" w:color="auto"/>
              <w:right w:val="nil"/>
            </w:tcBorders>
            <w:vAlign w:val="center"/>
          </w:tcPr>
          <w:p w:rsidR="00513989" w:rsidRPr="00327A61" w:rsidRDefault="00513989" w:rsidP="00E901D4">
            <w:pPr>
              <w:jc w:val="center"/>
              <w:rPr>
                <w:sz w:val="22"/>
                <w:szCs w:val="16"/>
              </w:rPr>
            </w:pPr>
            <w:r w:rsidRPr="00327A61">
              <w:rPr>
                <w:sz w:val="22"/>
                <w:szCs w:val="16"/>
              </w:rPr>
              <w:t>31.12.2016</w:t>
            </w:r>
          </w:p>
        </w:tc>
        <w:tc>
          <w:tcPr>
            <w:tcW w:w="1245" w:type="dxa"/>
            <w:tcBorders>
              <w:top w:val="single" w:sz="4" w:space="0" w:color="auto"/>
              <w:left w:val="single" w:sz="4" w:space="0" w:color="auto"/>
              <w:bottom w:val="single" w:sz="4" w:space="0" w:color="auto"/>
              <w:right w:val="single" w:sz="4" w:space="0" w:color="auto"/>
            </w:tcBorders>
            <w:vAlign w:val="center"/>
          </w:tcPr>
          <w:p w:rsidR="00513989" w:rsidRPr="00327A61" w:rsidRDefault="00513989" w:rsidP="00E901D4">
            <w:pPr>
              <w:jc w:val="center"/>
              <w:rPr>
                <w:sz w:val="22"/>
                <w:szCs w:val="16"/>
              </w:rPr>
            </w:pPr>
            <w:r w:rsidRPr="00327A61">
              <w:rPr>
                <w:sz w:val="22"/>
                <w:szCs w:val="16"/>
              </w:rPr>
              <w:t>1/2 (%)</w:t>
            </w:r>
          </w:p>
        </w:tc>
      </w:tr>
      <w:tr w:rsidR="00513989" w:rsidRPr="00327A61" w:rsidTr="00B82B16">
        <w:trPr>
          <w:trHeight w:val="330"/>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513989">
            <w:pPr>
              <w:rPr>
                <w:b/>
                <w:sz w:val="22"/>
                <w:szCs w:val="22"/>
              </w:rPr>
            </w:pPr>
            <w:r w:rsidRPr="00327A61">
              <w:rPr>
                <w:b/>
                <w:sz w:val="22"/>
                <w:szCs w:val="22"/>
              </w:rPr>
              <w:t>Дълготрайни активи</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5 279</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5 747</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-8.1%</w:t>
            </w:r>
          </w:p>
        </w:tc>
      </w:tr>
      <w:tr w:rsidR="00513989" w:rsidRPr="00327A61" w:rsidTr="00B82B16">
        <w:trPr>
          <w:trHeight w:val="121"/>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513989">
            <w:pPr>
              <w:rPr>
                <w:sz w:val="22"/>
                <w:szCs w:val="22"/>
                <w:lang w:val="en-US"/>
              </w:rPr>
            </w:pPr>
            <w:r w:rsidRPr="00327A61">
              <w:rPr>
                <w:sz w:val="22"/>
                <w:szCs w:val="22"/>
              </w:rPr>
              <w:t> </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rPr>
                <w:sz w:val="22"/>
                <w:szCs w:val="22"/>
              </w:rPr>
            </w:pPr>
            <w:r w:rsidRPr="00327A61">
              <w:rPr>
                <w:sz w:val="22"/>
                <w:szCs w:val="22"/>
              </w:rPr>
              <w:t> </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rPr>
                <w:sz w:val="22"/>
                <w:szCs w:val="22"/>
              </w:rPr>
            </w:pPr>
            <w:r w:rsidRPr="00327A61">
              <w:rPr>
                <w:sz w:val="22"/>
                <w:szCs w:val="22"/>
              </w:rPr>
              <w:t> </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rPr>
                <w:sz w:val="22"/>
                <w:szCs w:val="22"/>
              </w:rPr>
            </w:pPr>
            <w:r w:rsidRPr="00327A61">
              <w:rPr>
                <w:sz w:val="22"/>
                <w:szCs w:val="22"/>
              </w:rPr>
              <w:t> </w:t>
            </w:r>
          </w:p>
        </w:tc>
      </w:tr>
      <w:tr w:rsidR="00513989" w:rsidRPr="00327A61"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513989">
            <w:pPr>
              <w:rPr>
                <w:b/>
                <w:sz w:val="22"/>
                <w:szCs w:val="22"/>
              </w:rPr>
            </w:pPr>
            <w:r w:rsidRPr="00327A61">
              <w:rPr>
                <w:b/>
                <w:sz w:val="22"/>
                <w:szCs w:val="22"/>
              </w:rPr>
              <w:t>Краткотрайни активи, в т.ч.:</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11 828</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11 404</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3.7%</w:t>
            </w:r>
          </w:p>
        </w:tc>
      </w:tr>
      <w:tr w:rsidR="00513989" w:rsidRPr="00327A61"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F178DE">
            <w:pPr>
              <w:ind w:firstLine="209"/>
              <w:jc w:val="both"/>
              <w:rPr>
                <w:sz w:val="22"/>
                <w:szCs w:val="22"/>
              </w:rPr>
            </w:pPr>
            <w:r w:rsidRPr="00327A61">
              <w:rPr>
                <w:sz w:val="22"/>
                <w:szCs w:val="22"/>
              </w:rPr>
              <w:t>Материални запаси</w:t>
            </w:r>
            <w:r w:rsidR="007B7191" w:rsidRPr="00327A61">
              <w:rPr>
                <w:sz w:val="22"/>
                <w:szCs w:val="22"/>
              </w:rPr>
              <w:t xml:space="preserve"> и стоки</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273</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198</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37.9%</w:t>
            </w:r>
          </w:p>
        </w:tc>
      </w:tr>
      <w:tr w:rsidR="00513989" w:rsidRPr="00327A61"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F178DE">
            <w:pPr>
              <w:ind w:firstLine="209"/>
              <w:jc w:val="both"/>
              <w:rPr>
                <w:sz w:val="22"/>
                <w:szCs w:val="22"/>
              </w:rPr>
            </w:pPr>
            <w:r w:rsidRPr="00327A61">
              <w:rPr>
                <w:sz w:val="22"/>
                <w:szCs w:val="22"/>
              </w:rPr>
              <w:t>Краткосрочни вземания</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2 521</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2 703</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-6.7%</w:t>
            </w:r>
          </w:p>
        </w:tc>
      </w:tr>
      <w:tr w:rsidR="00513989" w:rsidRPr="00327A61"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F178DE">
            <w:pPr>
              <w:ind w:firstLine="209"/>
              <w:jc w:val="both"/>
              <w:rPr>
                <w:sz w:val="22"/>
                <w:szCs w:val="22"/>
              </w:rPr>
            </w:pPr>
            <w:r w:rsidRPr="00327A61">
              <w:rPr>
                <w:sz w:val="22"/>
                <w:szCs w:val="22"/>
              </w:rPr>
              <w:t>Парични средства</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9 034</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8 503</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6.2%</w:t>
            </w:r>
          </w:p>
        </w:tc>
      </w:tr>
      <w:tr w:rsidR="00513989" w:rsidRPr="00327A61" w:rsidTr="00B82B16">
        <w:trPr>
          <w:trHeight w:val="315"/>
          <w:jc w:val="center"/>
        </w:trPr>
        <w:tc>
          <w:tcPr>
            <w:tcW w:w="4140" w:type="dxa"/>
            <w:tcBorders>
              <w:top w:val="single" w:sz="4" w:space="0" w:color="auto"/>
              <w:left w:val="single" w:sz="4" w:space="0" w:color="auto"/>
              <w:bottom w:val="single" w:sz="4" w:space="0" w:color="auto"/>
              <w:right w:val="single" w:sz="4" w:space="0" w:color="auto"/>
            </w:tcBorders>
            <w:vAlign w:val="bottom"/>
          </w:tcPr>
          <w:p w:rsidR="00513989" w:rsidRPr="00327A61" w:rsidRDefault="00513989" w:rsidP="00513989">
            <w:pPr>
              <w:rPr>
                <w:b/>
                <w:sz w:val="22"/>
                <w:szCs w:val="22"/>
              </w:rPr>
            </w:pPr>
            <w:r w:rsidRPr="00327A61">
              <w:rPr>
                <w:b/>
                <w:sz w:val="22"/>
                <w:szCs w:val="22"/>
              </w:rPr>
              <w:t>Краткосрочни пасиви, в т.ч.:</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651</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717</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-9.2%</w:t>
            </w:r>
          </w:p>
        </w:tc>
      </w:tr>
      <w:tr w:rsidR="00513989" w:rsidRPr="00327A61" w:rsidTr="008B74A9">
        <w:trPr>
          <w:trHeight w:val="315"/>
          <w:jc w:val="center"/>
        </w:trPr>
        <w:tc>
          <w:tcPr>
            <w:tcW w:w="4140" w:type="dxa"/>
            <w:tcBorders>
              <w:top w:val="single" w:sz="4" w:space="0" w:color="auto"/>
              <w:left w:val="single" w:sz="4" w:space="0" w:color="auto"/>
              <w:bottom w:val="single" w:sz="4" w:space="0" w:color="auto"/>
              <w:right w:val="single" w:sz="4" w:space="0" w:color="auto"/>
            </w:tcBorders>
            <w:vAlign w:val="bottom"/>
          </w:tcPr>
          <w:p w:rsidR="00513989" w:rsidRPr="00327A61" w:rsidRDefault="00513989" w:rsidP="00F178DE">
            <w:pPr>
              <w:ind w:firstLine="209"/>
              <w:rPr>
                <w:sz w:val="22"/>
                <w:szCs w:val="22"/>
              </w:rPr>
            </w:pPr>
            <w:r w:rsidRPr="00327A61">
              <w:rPr>
                <w:sz w:val="22"/>
                <w:szCs w:val="22"/>
              </w:rPr>
              <w:t>Краткосрочни задължения</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651</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717</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-9.2%</w:t>
            </w:r>
          </w:p>
        </w:tc>
      </w:tr>
      <w:tr w:rsidR="00513989" w:rsidRPr="00327A61" w:rsidTr="008B74A9">
        <w:trPr>
          <w:trHeight w:val="315"/>
          <w:jc w:val="center"/>
        </w:trPr>
        <w:tc>
          <w:tcPr>
            <w:tcW w:w="4140" w:type="dxa"/>
            <w:tcBorders>
              <w:top w:val="single" w:sz="4" w:space="0" w:color="auto"/>
              <w:left w:val="single" w:sz="4" w:space="0" w:color="auto"/>
              <w:bottom w:val="single" w:sz="4" w:space="0" w:color="auto"/>
              <w:right w:val="single" w:sz="4" w:space="0" w:color="auto"/>
            </w:tcBorders>
            <w:vAlign w:val="bottom"/>
          </w:tcPr>
          <w:p w:rsidR="00513989" w:rsidRPr="00327A61" w:rsidRDefault="00513989" w:rsidP="00F178DE">
            <w:pPr>
              <w:pStyle w:val="FootnoteText"/>
              <w:ind w:firstLine="209"/>
              <w:rPr>
                <w:sz w:val="22"/>
                <w:szCs w:val="22"/>
              </w:rPr>
            </w:pPr>
            <w:r w:rsidRPr="00327A61">
              <w:rPr>
                <w:sz w:val="22"/>
                <w:szCs w:val="22"/>
              </w:rPr>
              <w:t xml:space="preserve">Работен капитал </w:t>
            </w:r>
          </w:p>
        </w:tc>
        <w:tc>
          <w:tcPr>
            <w:tcW w:w="1252" w:type="dxa"/>
            <w:tcBorders>
              <w:top w:val="single" w:sz="4" w:space="0" w:color="auto"/>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11 177</w:t>
            </w:r>
          </w:p>
        </w:tc>
        <w:tc>
          <w:tcPr>
            <w:tcW w:w="1245" w:type="dxa"/>
            <w:tcBorders>
              <w:top w:val="single" w:sz="4" w:space="0" w:color="auto"/>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10 687</w:t>
            </w:r>
          </w:p>
        </w:tc>
        <w:tc>
          <w:tcPr>
            <w:tcW w:w="1245" w:type="dxa"/>
            <w:tcBorders>
              <w:top w:val="single" w:sz="4" w:space="0" w:color="auto"/>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4.6%</w:t>
            </w:r>
          </w:p>
        </w:tc>
      </w:tr>
      <w:tr w:rsidR="00513989" w:rsidRPr="00327A61" w:rsidTr="008B74A9">
        <w:trPr>
          <w:trHeight w:val="315"/>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F178DE">
            <w:pPr>
              <w:pStyle w:val="FootnoteText"/>
              <w:ind w:firstLine="209"/>
              <w:rPr>
                <w:sz w:val="22"/>
                <w:szCs w:val="22"/>
              </w:rPr>
            </w:pPr>
            <w:r w:rsidRPr="00327A61">
              <w:rPr>
                <w:sz w:val="22"/>
                <w:szCs w:val="22"/>
              </w:rPr>
              <w:t>Зает</w:t>
            </w:r>
            <w:r w:rsidRPr="00327A61">
              <w:rPr>
                <w:sz w:val="22"/>
                <w:szCs w:val="22"/>
                <w:lang w:val="en-US"/>
              </w:rPr>
              <w:t xml:space="preserve"> (постоянен)</w:t>
            </w:r>
            <w:r w:rsidRPr="00327A61">
              <w:rPr>
                <w:sz w:val="22"/>
                <w:szCs w:val="22"/>
              </w:rPr>
              <w:t xml:space="preserve"> капитал</w:t>
            </w:r>
          </w:p>
        </w:tc>
        <w:tc>
          <w:tcPr>
            <w:tcW w:w="1252" w:type="dxa"/>
            <w:tcBorders>
              <w:top w:val="single" w:sz="4" w:space="0" w:color="auto"/>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16 456</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16 434</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0.1%</w:t>
            </w:r>
          </w:p>
        </w:tc>
      </w:tr>
      <w:tr w:rsidR="00513989" w:rsidRPr="00327A61" w:rsidTr="00B82B16">
        <w:trPr>
          <w:trHeight w:val="208"/>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513989">
            <w:pPr>
              <w:rPr>
                <w:sz w:val="22"/>
                <w:szCs w:val="22"/>
              </w:rPr>
            </w:pPr>
            <w:r w:rsidRPr="00327A61">
              <w:rPr>
                <w:sz w:val="22"/>
                <w:szCs w:val="22"/>
              </w:rPr>
              <w:t> </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rPr>
                <w:sz w:val="22"/>
                <w:szCs w:val="22"/>
              </w:rPr>
            </w:pPr>
            <w:r w:rsidRPr="00327A61">
              <w:rPr>
                <w:sz w:val="22"/>
                <w:szCs w:val="22"/>
              </w:rPr>
              <w:t> </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rPr>
                <w:sz w:val="22"/>
                <w:szCs w:val="22"/>
              </w:rPr>
            </w:pPr>
            <w:r w:rsidRPr="00327A61">
              <w:rPr>
                <w:sz w:val="22"/>
                <w:szCs w:val="22"/>
              </w:rPr>
              <w:t> </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rPr>
                <w:sz w:val="22"/>
                <w:szCs w:val="22"/>
              </w:rPr>
            </w:pPr>
            <w:r w:rsidRPr="00327A61">
              <w:rPr>
                <w:sz w:val="22"/>
                <w:szCs w:val="22"/>
              </w:rPr>
              <w:t> </w:t>
            </w:r>
          </w:p>
        </w:tc>
      </w:tr>
      <w:tr w:rsidR="00513989" w:rsidRPr="00327A61"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513989">
            <w:pPr>
              <w:rPr>
                <w:b/>
                <w:sz w:val="22"/>
                <w:szCs w:val="22"/>
              </w:rPr>
            </w:pPr>
            <w:r w:rsidRPr="00327A61">
              <w:rPr>
                <w:b/>
                <w:sz w:val="22"/>
                <w:szCs w:val="22"/>
              </w:rPr>
              <w:t>Дългосрочни пасиви</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363</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414</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-12.3%</w:t>
            </w:r>
          </w:p>
        </w:tc>
      </w:tr>
      <w:tr w:rsidR="00513989" w:rsidRPr="00327A61"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513989">
            <w:pPr>
              <w:rPr>
                <w:sz w:val="22"/>
                <w:szCs w:val="22"/>
              </w:rPr>
            </w:pPr>
            <w:r w:rsidRPr="00327A61">
              <w:rPr>
                <w:sz w:val="22"/>
                <w:szCs w:val="22"/>
              </w:rPr>
              <w:t>Други</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rPr>
                <w:sz w:val="22"/>
                <w:szCs w:val="22"/>
              </w:rPr>
            </w:pPr>
            <w:r w:rsidRPr="00327A61">
              <w:rPr>
                <w:sz w:val="22"/>
                <w:szCs w:val="22"/>
              </w:rPr>
              <w:t> </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rPr>
                <w:sz w:val="22"/>
                <w:szCs w:val="22"/>
              </w:rPr>
            </w:pPr>
            <w:r w:rsidRPr="00327A61">
              <w:rPr>
                <w:sz w:val="22"/>
                <w:szCs w:val="22"/>
              </w:rPr>
              <w:t> </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rPr>
                <w:sz w:val="22"/>
                <w:szCs w:val="22"/>
              </w:rPr>
            </w:pPr>
            <w:r w:rsidRPr="00327A61">
              <w:rPr>
                <w:sz w:val="22"/>
                <w:szCs w:val="22"/>
              </w:rPr>
              <w:t> </w:t>
            </w:r>
          </w:p>
        </w:tc>
      </w:tr>
      <w:tr w:rsidR="00513989" w:rsidRPr="00327A61"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513989">
            <w:pPr>
              <w:pStyle w:val="FootnoteText"/>
              <w:rPr>
                <w:sz w:val="22"/>
                <w:szCs w:val="22"/>
              </w:rPr>
            </w:pPr>
            <w:r w:rsidRPr="00327A61">
              <w:rPr>
                <w:sz w:val="22"/>
                <w:szCs w:val="22"/>
              </w:rPr>
              <w:t xml:space="preserve">Чиста стойност на активите </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16 093</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16 020</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0.5%</w:t>
            </w:r>
          </w:p>
        </w:tc>
      </w:tr>
      <w:tr w:rsidR="00513989" w:rsidRPr="00327A61" w:rsidTr="00B82B16">
        <w:trPr>
          <w:trHeight w:val="70"/>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513989">
            <w:pPr>
              <w:rPr>
                <w:sz w:val="22"/>
                <w:szCs w:val="22"/>
              </w:rPr>
            </w:pPr>
            <w:r w:rsidRPr="00327A61">
              <w:rPr>
                <w:sz w:val="22"/>
                <w:szCs w:val="22"/>
              </w:rPr>
              <w:t> </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rPr>
                <w:sz w:val="22"/>
                <w:szCs w:val="22"/>
              </w:rPr>
            </w:pPr>
            <w:r w:rsidRPr="00327A61">
              <w:rPr>
                <w:sz w:val="22"/>
                <w:szCs w:val="22"/>
              </w:rPr>
              <w:t> </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rPr>
                <w:sz w:val="22"/>
                <w:szCs w:val="22"/>
              </w:rPr>
            </w:pPr>
            <w:r w:rsidRPr="00327A61">
              <w:rPr>
                <w:sz w:val="22"/>
                <w:szCs w:val="22"/>
              </w:rPr>
              <w:t> </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rPr>
                <w:sz w:val="22"/>
                <w:szCs w:val="22"/>
              </w:rPr>
            </w:pPr>
            <w:r w:rsidRPr="00327A61">
              <w:rPr>
                <w:sz w:val="22"/>
                <w:szCs w:val="22"/>
              </w:rPr>
              <w:t> </w:t>
            </w:r>
          </w:p>
        </w:tc>
      </w:tr>
      <w:tr w:rsidR="00513989" w:rsidRPr="00327A61"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513989">
            <w:pPr>
              <w:rPr>
                <w:b/>
                <w:sz w:val="22"/>
                <w:szCs w:val="22"/>
              </w:rPr>
            </w:pPr>
            <w:r w:rsidRPr="00327A61">
              <w:rPr>
                <w:b/>
                <w:sz w:val="22"/>
                <w:szCs w:val="22"/>
              </w:rPr>
              <w:t>Печалба (загуба)</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540</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926</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-41.7%</w:t>
            </w:r>
          </w:p>
        </w:tc>
      </w:tr>
      <w:tr w:rsidR="00513989" w:rsidRPr="00327A61" w:rsidTr="00B82B16">
        <w:trPr>
          <w:trHeight w:val="315"/>
          <w:jc w:val="center"/>
        </w:trPr>
        <w:tc>
          <w:tcPr>
            <w:tcW w:w="4140" w:type="dxa"/>
            <w:tcBorders>
              <w:top w:val="single" w:sz="4" w:space="0" w:color="auto"/>
              <w:left w:val="single" w:sz="4" w:space="0" w:color="auto"/>
              <w:bottom w:val="single" w:sz="4" w:space="0" w:color="auto"/>
              <w:right w:val="single" w:sz="4" w:space="0" w:color="auto"/>
            </w:tcBorders>
            <w:vAlign w:val="bottom"/>
          </w:tcPr>
          <w:p w:rsidR="00513989" w:rsidRPr="00327A61" w:rsidRDefault="00513989" w:rsidP="00513989">
            <w:pPr>
              <w:rPr>
                <w:sz w:val="22"/>
                <w:szCs w:val="22"/>
              </w:rPr>
            </w:pPr>
            <w:r w:rsidRPr="00327A61">
              <w:rPr>
                <w:sz w:val="22"/>
                <w:szCs w:val="22"/>
              </w:rPr>
              <w:t>Финансов резултат от минали години</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1 134</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1 074</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5.6%</w:t>
            </w:r>
          </w:p>
        </w:tc>
      </w:tr>
      <w:tr w:rsidR="00513989" w:rsidRPr="00327A61"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513989">
            <w:pPr>
              <w:rPr>
                <w:sz w:val="22"/>
                <w:szCs w:val="22"/>
              </w:rPr>
            </w:pPr>
            <w:r w:rsidRPr="00327A61">
              <w:rPr>
                <w:sz w:val="22"/>
                <w:szCs w:val="22"/>
              </w:rPr>
              <w:t xml:space="preserve">Резерви </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11 757</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11 358</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3.5%</w:t>
            </w:r>
          </w:p>
        </w:tc>
      </w:tr>
      <w:tr w:rsidR="00513989" w:rsidRPr="00327A61"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513989">
            <w:pPr>
              <w:rPr>
                <w:sz w:val="22"/>
                <w:szCs w:val="22"/>
              </w:rPr>
            </w:pPr>
            <w:r w:rsidRPr="00327A61">
              <w:rPr>
                <w:sz w:val="22"/>
                <w:szCs w:val="22"/>
              </w:rPr>
              <w:t>Основен капитал</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2 662</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2 662</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0.0%</w:t>
            </w:r>
          </w:p>
        </w:tc>
      </w:tr>
      <w:tr w:rsidR="00513989" w:rsidRPr="00327A61"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513989" w:rsidRPr="00327A61" w:rsidRDefault="00513989" w:rsidP="00513989">
            <w:pPr>
              <w:rPr>
                <w:b/>
                <w:sz w:val="22"/>
                <w:szCs w:val="22"/>
              </w:rPr>
            </w:pPr>
            <w:r w:rsidRPr="00327A61">
              <w:rPr>
                <w:b/>
                <w:sz w:val="22"/>
                <w:szCs w:val="22"/>
              </w:rPr>
              <w:t>Собствен капитал</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16 093</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16 020</w:t>
            </w:r>
          </w:p>
        </w:tc>
        <w:tc>
          <w:tcPr>
            <w:tcW w:w="1245" w:type="dxa"/>
            <w:tcBorders>
              <w:top w:val="nil"/>
              <w:left w:val="nil"/>
              <w:bottom w:val="single" w:sz="4" w:space="0" w:color="auto"/>
              <w:right w:val="single" w:sz="4" w:space="0" w:color="auto"/>
            </w:tcBorders>
            <w:shd w:val="clear" w:color="000000" w:fill="FFFFFF"/>
            <w:vAlign w:val="bottom"/>
          </w:tcPr>
          <w:p w:rsidR="00513989" w:rsidRPr="00327A61" w:rsidRDefault="00513989" w:rsidP="00513989">
            <w:pPr>
              <w:jc w:val="right"/>
              <w:rPr>
                <w:sz w:val="22"/>
                <w:szCs w:val="22"/>
              </w:rPr>
            </w:pPr>
            <w:r w:rsidRPr="00327A61">
              <w:rPr>
                <w:sz w:val="22"/>
                <w:szCs w:val="22"/>
              </w:rPr>
              <w:t>0.5%</w:t>
            </w:r>
          </w:p>
        </w:tc>
      </w:tr>
    </w:tbl>
    <w:p w:rsidR="006B5258" w:rsidRPr="00327A61" w:rsidRDefault="006B5258" w:rsidP="006B5258">
      <w:pPr>
        <w:spacing w:after="120"/>
        <w:ind w:firstLine="706"/>
        <w:jc w:val="both"/>
      </w:pPr>
    </w:p>
    <w:p w:rsidR="006B5258" w:rsidRPr="00327A61" w:rsidRDefault="006B5258" w:rsidP="006B5258">
      <w:pPr>
        <w:spacing w:after="120"/>
        <w:ind w:firstLine="706"/>
        <w:jc w:val="both"/>
        <w:rPr>
          <w:rFonts w:eastAsia="Times New Roman"/>
          <w:lang w:eastAsia="bg-BG"/>
        </w:rPr>
      </w:pPr>
      <w:r w:rsidRPr="00327A61">
        <w:rPr>
          <w:rFonts w:eastAsia="Times New Roman"/>
          <w:lang w:eastAsia="bg-BG"/>
        </w:rPr>
        <w:t>Краткотрайните активи, с които дружеството разполага към края на отчетната година, възлизат на 11 </w:t>
      </w:r>
      <w:r w:rsidR="009E742B" w:rsidRPr="00327A61">
        <w:rPr>
          <w:rFonts w:eastAsia="Times New Roman"/>
          <w:lang w:eastAsia="bg-BG"/>
        </w:rPr>
        <w:t>828</w:t>
      </w:r>
      <w:r w:rsidRPr="00327A61">
        <w:rPr>
          <w:rFonts w:eastAsia="Times New Roman"/>
          <w:lang w:eastAsia="bg-BG"/>
        </w:rPr>
        <w:t xml:space="preserve"> хил.лв., което представлява </w:t>
      </w:r>
      <w:r w:rsidR="009E742B" w:rsidRPr="00327A61">
        <w:rPr>
          <w:rFonts w:eastAsia="Times New Roman"/>
          <w:lang w:val="ru-RU" w:eastAsia="bg-BG"/>
        </w:rPr>
        <w:t>69</w:t>
      </w:r>
      <w:r w:rsidRPr="00327A61">
        <w:rPr>
          <w:rFonts w:eastAsia="Times New Roman"/>
          <w:lang w:val="ru-RU" w:eastAsia="bg-BG"/>
        </w:rPr>
        <w:t xml:space="preserve"> </w:t>
      </w:r>
      <w:r w:rsidRPr="00327A61">
        <w:rPr>
          <w:rFonts w:eastAsia="Times New Roman"/>
          <w:lang w:eastAsia="bg-BG"/>
        </w:rPr>
        <w:t xml:space="preserve">% от стойността на Актива на комплекса. В сравнение с края на предходната година тяхната стойност се е увеличила с </w:t>
      </w:r>
      <w:r w:rsidR="009E742B" w:rsidRPr="00327A61">
        <w:rPr>
          <w:rFonts w:eastAsia="Times New Roman"/>
          <w:lang w:eastAsia="bg-BG"/>
        </w:rPr>
        <w:t>424</w:t>
      </w:r>
      <w:r w:rsidRPr="00327A61">
        <w:rPr>
          <w:rFonts w:eastAsia="Times New Roman"/>
          <w:lang w:eastAsia="bg-BG"/>
        </w:rPr>
        <w:t xml:space="preserve"> хил.лв. (</w:t>
      </w:r>
      <w:r w:rsidR="009E742B" w:rsidRPr="00327A61">
        <w:rPr>
          <w:rFonts w:eastAsia="Times New Roman"/>
          <w:lang w:eastAsia="bg-BG"/>
        </w:rPr>
        <w:t>3</w:t>
      </w:r>
      <w:r w:rsidRPr="00327A61">
        <w:rPr>
          <w:rFonts w:eastAsia="Times New Roman"/>
          <w:lang w:eastAsia="bg-BG"/>
        </w:rPr>
        <w:t>,</w:t>
      </w:r>
      <w:r w:rsidR="009E742B" w:rsidRPr="00327A61">
        <w:rPr>
          <w:rFonts w:eastAsia="Times New Roman"/>
          <w:lang w:eastAsia="bg-BG"/>
        </w:rPr>
        <w:t>7</w:t>
      </w:r>
      <w:r w:rsidRPr="00327A61">
        <w:rPr>
          <w:rFonts w:eastAsia="Times New Roman"/>
          <w:lang w:eastAsia="bg-BG"/>
        </w:rPr>
        <w:t xml:space="preserve"> %). От тях:</w:t>
      </w:r>
    </w:p>
    <w:p w:rsidR="006B5258" w:rsidRPr="007B7191" w:rsidRDefault="006B5258" w:rsidP="00811727">
      <w:pPr>
        <w:spacing w:after="120"/>
        <w:ind w:firstLine="851"/>
        <w:jc w:val="both"/>
        <w:rPr>
          <w:rFonts w:eastAsia="Times New Roman"/>
          <w:lang w:eastAsia="bg-BG"/>
        </w:rPr>
      </w:pPr>
      <w:r w:rsidRPr="00327A61">
        <w:rPr>
          <w:rFonts w:eastAsia="Times New Roman"/>
          <w:lang w:eastAsia="bg-BG"/>
        </w:rPr>
        <w:t xml:space="preserve">- Материалните запаси представляват 2 % от стойността на Актива на дружеството. През отчетния период тяхната стойност </w:t>
      </w:r>
      <w:r w:rsidR="009E742B" w:rsidRPr="00327A61">
        <w:rPr>
          <w:rFonts w:eastAsia="Times New Roman"/>
          <w:lang w:eastAsia="bg-BG"/>
        </w:rPr>
        <w:t>се увеличава</w:t>
      </w:r>
      <w:r w:rsidRPr="00327A61">
        <w:rPr>
          <w:rFonts w:eastAsia="Times New Roman"/>
          <w:lang w:eastAsia="bg-BG"/>
        </w:rPr>
        <w:t xml:space="preserve"> </w:t>
      </w:r>
      <w:r w:rsidRPr="0002110A">
        <w:rPr>
          <w:rFonts w:eastAsia="Times New Roman"/>
          <w:lang w:eastAsia="bg-BG"/>
        </w:rPr>
        <w:t xml:space="preserve">с </w:t>
      </w:r>
      <w:r w:rsidR="001769EA" w:rsidRPr="0002110A">
        <w:rPr>
          <w:rFonts w:eastAsia="Times New Roman"/>
          <w:lang w:eastAsia="bg-BG"/>
        </w:rPr>
        <w:t>7</w:t>
      </w:r>
      <w:r w:rsidR="009E742B" w:rsidRPr="0002110A">
        <w:rPr>
          <w:rFonts w:eastAsia="Times New Roman"/>
          <w:lang w:eastAsia="bg-BG"/>
        </w:rPr>
        <w:t>5</w:t>
      </w:r>
      <w:r w:rsidRPr="0002110A">
        <w:rPr>
          <w:rFonts w:eastAsia="Times New Roman"/>
          <w:lang w:eastAsia="bg-BG"/>
        </w:rPr>
        <w:t xml:space="preserve"> хил. лв. (</w:t>
      </w:r>
      <w:r w:rsidR="009E742B" w:rsidRPr="0002110A">
        <w:rPr>
          <w:rFonts w:eastAsia="Times New Roman"/>
          <w:lang w:eastAsia="bg-BG"/>
        </w:rPr>
        <w:t>3</w:t>
      </w:r>
      <w:r w:rsidR="007B7191" w:rsidRPr="0002110A">
        <w:rPr>
          <w:rFonts w:eastAsia="Times New Roman"/>
          <w:lang w:eastAsia="bg-BG"/>
        </w:rPr>
        <w:t>7</w:t>
      </w:r>
      <w:r w:rsidRPr="0002110A">
        <w:rPr>
          <w:rFonts w:eastAsia="Times New Roman"/>
          <w:lang w:eastAsia="bg-BG"/>
        </w:rPr>
        <w:t>,</w:t>
      </w:r>
      <w:r w:rsidR="007B7191" w:rsidRPr="0002110A">
        <w:rPr>
          <w:rFonts w:eastAsia="Times New Roman"/>
          <w:lang w:eastAsia="bg-BG"/>
        </w:rPr>
        <w:t>9</w:t>
      </w:r>
      <w:r w:rsidRPr="0002110A">
        <w:rPr>
          <w:rFonts w:eastAsia="Times New Roman"/>
          <w:lang w:eastAsia="bg-BG"/>
        </w:rPr>
        <w:t xml:space="preserve"> %) и възлизат на </w:t>
      </w:r>
      <w:r w:rsidR="009E742B" w:rsidRPr="0002110A">
        <w:rPr>
          <w:rFonts w:eastAsia="Times New Roman"/>
          <w:lang w:eastAsia="bg-BG"/>
        </w:rPr>
        <w:t>2</w:t>
      </w:r>
      <w:r w:rsidR="007B7191" w:rsidRPr="0002110A">
        <w:rPr>
          <w:rFonts w:eastAsia="Times New Roman"/>
          <w:lang w:eastAsia="bg-BG"/>
        </w:rPr>
        <w:t>7</w:t>
      </w:r>
      <w:r w:rsidR="009E742B" w:rsidRPr="0002110A">
        <w:rPr>
          <w:rFonts w:eastAsia="Times New Roman"/>
          <w:lang w:eastAsia="bg-BG"/>
        </w:rPr>
        <w:t>3</w:t>
      </w:r>
      <w:r w:rsidRPr="0002110A">
        <w:rPr>
          <w:rFonts w:eastAsia="Times New Roman"/>
          <w:lang w:eastAsia="bg-BG"/>
        </w:rPr>
        <w:t xml:space="preserve"> хил.лв. към 31.12.201</w:t>
      </w:r>
      <w:r w:rsidR="009E742B" w:rsidRPr="0002110A">
        <w:rPr>
          <w:rFonts w:eastAsia="Times New Roman"/>
          <w:lang w:eastAsia="bg-BG"/>
        </w:rPr>
        <w:t>7</w:t>
      </w:r>
      <w:r w:rsidRPr="0002110A">
        <w:rPr>
          <w:rFonts w:eastAsia="Times New Roman"/>
          <w:lang w:eastAsia="bg-BG"/>
        </w:rPr>
        <w:t>г.</w:t>
      </w:r>
    </w:p>
    <w:p w:rsidR="006B5258" w:rsidRPr="00327A61" w:rsidRDefault="006B5258" w:rsidP="00811727">
      <w:pPr>
        <w:spacing w:after="120"/>
        <w:ind w:firstLine="851"/>
        <w:jc w:val="both"/>
        <w:rPr>
          <w:rFonts w:eastAsia="Times New Roman"/>
          <w:lang w:eastAsia="bg-BG"/>
        </w:rPr>
      </w:pPr>
      <w:r w:rsidRPr="00327A61">
        <w:rPr>
          <w:rFonts w:eastAsia="Times New Roman"/>
          <w:lang w:eastAsia="bg-BG"/>
        </w:rPr>
        <w:t xml:space="preserve">- Краткосрочните вземания </w:t>
      </w:r>
      <w:r w:rsidRPr="00D17BBE">
        <w:rPr>
          <w:rFonts w:eastAsia="Times New Roman"/>
          <w:lang w:eastAsia="bg-BG"/>
        </w:rPr>
        <w:t xml:space="preserve">заемат </w:t>
      </w:r>
      <w:r w:rsidR="00AD7888" w:rsidRPr="00D17BBE">
        <w:rPr>
          <w:rFonts w:eastAsia="Times New Roman"/>
          <w:lang w:eastAsia="bg-BG"/>
        </w:rPr>
        <w:t>14,7</w:t>
      </w:r>
      <w:r w:rsidRPr="00327A61">
        <w:rPr>
          <w:rFonts w:eastAsia="Times New Roman"/>
          <w:lang w:eastAsia="bg-BG"/>
        </w:rPr>
        <w:t xml:space="preserve"> % от Актива. Към края на 201</w:t>
      </w:r>
      <w:r w:rsidR="00811727" w:rsidRPr="00327A61">
        <w:rPr>
          <w:rFonts w:eastAsia="Times New Roman"/>
          <w:lang w:eastAsia="bg-BG"/>
        </w:rPr>
        <w:t>7</w:t>
      </w:r>
      <w:r w:rsidRPr="00327A61">
        <w:rPr>
          <w:rFonts w:eastAsia="Times New Roman"/>
          <w:lang w:eastAsia="bg-BG"/>
        </w:rPr>
        <w:t xml:space="preserve">г. те възлизат на 2 </w:t>
      </w:r>
      <w:r w:rsidR="00811727" w:rsidRPr="00327A61">
        <w:rPr>
          <w:rFonts w:eastAsia="Times New Roman"/>
          <w:lang w:eastAsia="bg-BG"/>
        </w:rPr>
        <w:t>521</w:t>
      </w:r>
      <w:r w:rsidRPr="00327A61">
        <w:rPr>
          <w:rFonts w:eastAsia="Times New Roman"/>
          <w:lang w:eastAsia="bg-BG"/>
        </w:rPr>
        <w:t xml:space="preserve"> хил.лв., като вземанията от клиенти са </w:t>
      </w:r>
      <w:r w:rsidR="00811727" w:rsidRPr="00327A61">
        <w:rPr>
          <w:rFonts w:eastAsia="Times New Roman"/>
          <w:lang w:eastAsia="bg-BG"/>
        </w:rPr>
        <w:t>18</w:t>
      </w:r>
      <w:r w:rsidRPr="00327A61">
        <w:rPr>
          <w:rFonts w:eastAsia="Times New Roman"/>
          <w:lang w:eastAsia="bg-BG"/>
        </w:rPr>
        <w:t xml:space="preserve"> % от тях и са на стойност </w:t>
      </w:r>
      <w:r w:rsidR="00811727" w:rsidRPr="00327A61">
        <w:rPr>
          <w:rFonts w:eastAsia="Times New Roman"/>
          <w:lang w:eastAsia="bg-BG"/>
        </w:rPr>
        <w:t>444</w:t>
      </w:r>
      <w:r w:rsidRPr="00327A61">
        <w:rPr>
          <w:rFonts w:eastAsia="Times New Roman"/>
          <w:lang w:eastAsia="bg-BG"/>
        </w:rPr>
        <w:t xml:space="preserve"> хил.лв. Обемът на последните е на</w:t>
      </w:r>
      <w:r w:rsidR="00811727" w:rsidRPr="00327A61">
        <w:rPr>
          <w:rFonts w:eastAsia="Times New Roman"/>
          <w:lang w:eastAsia="bg-BG"/>
        </w:rPr>
        <w:t>малял</w:t>
      </w:r>
      <w:r w:rsidRPr="00327A61">
        <w:rPr>
          <w:rFonts w:eastAsia="Times New Roman"/>
          <w:lang w:eastAsia="bg-BG"/>
        </w:rPr>
        <w:t xml:space="preserve"> с </w:t>
      </w:r>
      <w:r w:rsidR="00811727" w:rsidRPr="00327A61">
        <w:rPr>
          <w:rFonts w:eastAsia="Times New Roman"/>
          <w:lang w:eastAsia="bg-BG"/>
        </w:rPr>
        <w:t>30</w:t>
      </w:r>
      <w:r w:rsidRPr="00327A61">
        <w:rPr>
          <w:rFonts w:eastAsia="Times New Roman"/>
          <w:lang w:eastAsia="bg-BG"/>
        </w:rPr>
        <w:t xml:space="preserve"> % спрямо края на 201</w:t>
      </w:r>
      <w:r w:rsidR="00811727" w:rsidRPr="00327A61">
        <w:rPr>
          <w:rFonts w:eastAsia="Times New Roman"/>
          <w:lang w:eastAsia="bg-BG"/>
        </w:rPr>
        <w:t>6</w:t>
      </w:r>
      <w:r w:rsidRPr="00327A61">
        <w:rPr>
          <w:rFonts w:eastAsia="Times New Roman"/>
          <w:lang w:eastAsia="bg-BG"/>
        </w:rPr>
        <w:t xml:space="preserve"> г. Другите вземания на дружеството нараства</w:t>
      </w:r>
      <w:r w:rsidR="00811727" w:rsidRPr="00327A61">
        <w:rPr>
          <w:rFonts w:eastAsia="Times New Roman"/>
          <w:lang w:eastAsia="bg-BG"/>
        </w:rPr>
        <w:t>т</w:t>
      </w:r>
      <w:r w:rsidRPr="00327A61">
        <w:rPr>
          <w:rFonts w:eastAsia="Times New Roman"/>
          <w:lang w:eastAsia="bg-BG"/>
        </w:rPr>
        <w:t xml:space="preserve"> с </w:t>
      </w:r>
      <w:r w:rsidR="00811727" w:rsidRPr="00327A61">
        <w:rPr>
          <w:rFonts w:eastAsia="Times New Roman"/>
          <w:lang w:eastAsia="bg-BG"/>
        </w:rPr>
        <w:t>5</w:t>
      </w:r>
      <w:r w:rsidRPr="00327A61">
        <w:rPr>
          <w:rFonts w:eastAsia="Times New Roman"/>
          <w:lang w:eastAsia="bg-BG"/>
        </w:rPr>
        <w:t xml:space="preserve"> хил.лв</w:t>
      </w:r>
      <w:r w:rsidR="00811727" w:rsidRPr="00327A61">
        <w:rPr>
          <w:rFonts w:eastAsia="Times New Roman"/>
          <w:lang w:eastAsia="bg-BG"/>
        </w:rPr>
        <w:t>.</w:t>
      </w:r>
      <w:r w:rsidRPr="00327A61">
        <w:rPr>
          <w:rFonts w:eastAsia="Times New Roman"/>
          <w:lang w:eastAsia="bg-BG"/>
        </w:rPr>
        <w:t xml:space="preserve"> В края на годината са обезценени трудносъбираеми вземания в размер на </w:t>
      </w:r>
      <w:r w:rsidR="00811727" w:rsidRPr="00327A61">
        <w:rPr>
          <w:rFonts w:eastAsia="Times New Roman"/>
          <w:lang w:eastAsia="bg-BG"/>
        </w:rPr>
        <w:t>1</w:t>
      </w:r>
      <w:r w:rsidRPr="00327A61">
        <w:rPr>
          <w:rFonts w:eastAsia="Times New Roman"/>
          <w:lang w:eastAsia="bg-BG"/>
        </w:rPr>
        <w:t xml:space="preserve"> хил.лв.</w:t>
      </w:r>
    </w:p>
    <w:p w:rsidR="006B5258" w:rsidRPr="00327A61" w:rsidRDefault="006B5258" w:rsidP="00811727">
      <w:pPr>
        <w:spacing w:after="120"/>
        <w:ind w:firstLine="851"/>
        <w:jc w:val="both"/>
        <w:rPr>
          <w:rFonts w:eastAsia="Times New Roman"/>
          <w:lang w:eastAsia="bg-BG"/>
        </w:rPr>
      </w:pPr>
      <w:r w:rsidRPr="00327A61">
        <w:rPr>
          <w:rFonts w:eastAsia="Times New Roman"/>
          <w:lang w:eastAsia="bg-BG"/>
        </w:rPr>
        <w:t>- Към края на 201</w:t>
      </w:r>
      <w:r w:rsidR="00CB2F79" w:rsidRPr="00327A61">
        <w:rPr>
          <w:rFonts w:eastAsia="Times New Roman"/>
          <w:lang w:eastAsia="bg-BG"/>
        </w:rPr>
        <w:t>7</w:t>
      </w:r>
      <w:r w:rsidRPr="00327A61">
        <w:rPr>
          <w:rFonts w:eastAsia="Times New Roman"/>
          <w:lang w:eastAsia="bg-BG"/>
        </w:rPr>
        <w:t xml:space="preserve">г. паричните средства </w:t>
      </w:r>
      <w:r w:rsidR="00CB2F79" w:rsidRPr="00327A61">
        <w:rPr>
          <w:rFonts w:eastAsia="Times New Roman"/>
          <w:lang w:eastAsia="bg-BG"/>
        </w:rPr>
        <w:t>увеличават</w:t>
      </w:r>
      <w:r w:rsidRPr="00327A61">
        <w:rPr>
          <w:rFonts w:eastAsia="Times New Roman"/>
          <w:lang w:eastAsia="bg-BG"/>
        </w:rPr>
        <w:t xml:space="preserve"> дела си в общата стойност на актива (те </w:t>
      </w:r>
      <w:r w:rsidRPr="00D17BBE">
        <w:rPr>
          <w:rFonts w:eastAsia="Times New Roman"/>
          <w:lang w:eastAsia="bg-BG"/>
        </w:rPr>
        <w:t xml:space="preserve">представляват </w:t>
      </w:r>
      <w:r w:rsidR="00AD7888" w:rsidRPr="00D17BBE">
        <w:rPr>
          <w:rFonts w:eastAsia="Times New Roman"/>
          <w:lang w:eastAsia="bg-BG"/>
        </w:rPr>
        <w:t xml:space="preserve">49,5 </w:t>
      </w:r>
      <w:r w:rsidR="00CB2F79" w:rsidRPr="00D17BBE">
        <w:rPr>
          <w:rFonts w:eastAsia="Times New Roman"/>
          <w:lang w:eastAsia="bg-BG"/>
        </w:rPr>
        <w:t>%</w:t>
      </w:r>
      <w:r w:rsidR="00CB2F79" w:rsidRPr="00327A61">
        <w:rPr>
          <w:rFonts w:eastAsia="Times New Roman"/>
          <w:lang w:eastAsia="bg-BG"/>
        </w:rPr>
        <w:t xml:space="preserve"> </w:t>
      </w:r>
      <w:r w:rsidRPr="00327A61">
        <w:rPr>
          <w:rFonts w:eastAsia="Times New Roman"/>
          <w:lang w:eastAsia="bg-BG"/>
        </w:rPr>
        <w:t xml:space="preserve">от стойността на активите при </w:t>
      </w:r>
      <w:r w:rsidR="00CB2F79" w:rsidRPr="00327A61">
        <w:rPr>
          <w:rFonts w:eastAsia="Times New Roman"/>
          <w:lang w:eastAsia="bg-BG"/>
        </w:rPr>
        <w:t>49,6</w:t>
      </w:r>
      <w:r w:rsidRPr="00327A61">
        <w:rPr>
          <w:rFonts w:eastAsia="Times New Roman"/>
          <w:lang w:eastAsia="bg-BG"/>
        </w:rPr>
        <w:t xml:space="preserve"> % към 31.12.201</w:t>
      </w:r>
      <w:r w:rsidR="00CB2F79" w:rsidRPr="00327A61">
        <w:rPr>
          <w:rFonts w:eastAsia="Times New Roman"/>
          <w:lang w:eastAsia="bg-BG"/>
        </w:rPr>
        <w:t>6</w:t>
      </w:r>
      <w:r w:rsidRPr="00327A61">
        <w:rPr>
          <w:rFonts w:eastAsia="Times New Roman"/>
          <w:lang w:eastAsia="bg-BG"/>
        </w:rPr>
        <w:t>г.). Дружеството приключва 201</w:t>
      </w:r>
      <w:r w:rsidR="00CB2F79" w:rsidRPr="00327A61">
        <w:rPr>
          <w:rFonts w:eastAsia="Times New Roman"/>
          <w:lang w:eastAsia="bg-BG"/>
        </w:rPr>
        <w:t>7</w:t>
      </w:r>
      <w:r w:rsidRPr="00327A61">
        <w:rPr>
          <w:rFonts w:eastAsia="Times New Roman"/>
          <w:lang w:eastAsia="bg-BG"/>
        </w:rPr>
        <w:t xml:space="preserve"> г. с парични средства в размер на</w:t>
      </w:r>
      <w:r w:rsidR="00CB2F79" w:rsidRPr="00327A61">
        <w:rPr>
          <w:rFonts w:eastAsia="Times New Roman"/>
          <w:lang w:eastAsia="bg-BG"/>
        </w:rPr>
        <w:t xml:space="preserve"> 9 034</w:t>
      </w:r>
      <w:r w:rsidRPr="00327A61">
        <w:rPr>
          <w:rFonts w:eastAsia="Times New Roman"/>
          <w:lang w:eastAsia="bg-BG"/>
        </w:rPr>
        <w:t xml:space="preserve"> хил.лв. (</w:t>
      </w:r>
      <w:r w:rsidR="00CB2F79" w:rsidRPr="00327A61">
        <w:rPr>
          <w:rFonts w:eastAsia="Times New Roman"/>
          <w:lang w:eastAsia="bg-BG"/>
        </w:rPr>
        <w:t>+531</w:t>
      </w:r>
      <w:r w:rsidRPr="00327A61">
        <w:rPr>
          <w:rFonts w:eastAsia="Times New Roman"/>
          <w:lang w:eastAsia="bg-BG"/>
        </w:rPr>
        <w:t xml:space="preserve"> хил.лв. спрямо края на 201</w:t>
      </w:r>
      <w:r w:rsidR="00CB2F79" w:rsidRPr="00327A61">
        <w:rPr>
          <w:rFonts w:eastAsia="Times New Roman"/>
          <w:lang w:eastAsia="bg-BG"/>
        </w:rPr>
        <w:t>6</w:t>
      </w:r>
      <w:r w:rsidRPr="00327A61">
        <w:rPr>
          <w:rFonts w:eastAsia="Times New Roman"/>
          <w:lang w:eastAsia="bg-BG"/>
        </w:rPr>
        <w:t>г.).</w:t>
      </w:r>
    </w:p>
    <w:p w:rsidR="00D17BBE" w:rsidRDefault="00D17BBE" w:rsidP="009E6A29">
      <w:pPr>
        <w:pStyle w:val="Heading3"/>
        <w:ind w:left="720"/>
        <w:jc w:val="left"/>
        <w:rPr>
          <w:rFonts w:ascii="Times New Roman" w:hAnsi="Times New Roman"/>
        </w:rPr>
      </w:pPr>
      <w:bookmarkStart w:id="60" w:name="_Toc288478121"/>
      <w:bookmarkStart w:id="61" w:name="_Toc477959779"/>
    </w:p>
    <w:p w:rsidR="00D17BBE" w:rsidRPr="00D17BBE" w:rsidRDefault="00D17BBE" w:rsidP="00D17BBE"/>
    <w:p w:rsidR="009E6A29" w:rsidRDefault="001E1227" w:rsidP="009E6A29">
      <w:pPr>
        <w:pStyle w:val="Heading3"/>
        <w:ind w:left="720"/>
        <w:jc w:val="left"/>
        <w:rPr>
          <w:rFonts w:ascii="Times New Roman" w:hAnsi="Times New Roman"/>
        </w:rPr>
      </w:pPr>
      <w:r w:rsidRPr="00327A61">
        <w:rPr>
          <w:rFonts w:ascii="Times New Roman" w:hAnsi="Times New Roman"/>
        </w:rPr>
        <w:lastRenderedPageBreak/>
        <w:t xml:space="preserve">6.2. </w:t>
      </w:r>
      <w:r w:rsidR="00FF57E5" w:rsidRPr="00327A61">
        <w:rPr>
          <w:rFonts w:ascii="Times New Roman" w:hAnsi="Times New Roman"/>
        </w:rPr>
        <w:t>По-големи вземания от клиенти и доставчици</w:t>
      </w:r>
      <w:bookmarkEnd w:id="60"/>
      <w:bookmarkEnd w:id="61"/>
    </w:p>
    <w:p w:rsidR="00D17BBE" w:rsidRPr="00D17BBE" w:rsidRDefault="00D17BBE" w:rsidP="00D17BBE"/>
    <w:tbl>
      <w:tblPr>
        <w:tblpPr w:leftFromText="141" w:rightFromText="141" w:vertAnchor="text" w:horzAnchor="margin" w:tblpY="169"/>
        <w:tblW w:w="10020" w:type="dxa"/>
        <w:tblLayout w:type="fixed"/>
        <w:tblCellMar>
          <w:left w:w="70" w:type="dxa"/>
          <w:right w:w="70" w:type="dxa"/>
        </w:tblCellMar>
        <w:tblLook w:val="0000" w:firstRow="0" w:lastRow="0" w:firstColumn="0" w:lastColumn="0" w:noHBand="0" w:noVBand="0"/>
      </w:tblPr>
      <w:tblGrid>
        <w:gridCol w:w="398"/>
        <w:gridCol w:w="3969"/>
        <w:gridCol w:w="1333"/>
        <w:gridCol w:w="1130"/>
        <w:gridCol w:w="1080"/>
        <w:gridCol w:w="935"/>
        <w:gridCol w:w="1175"/>
      </w:tblGrid>
      <w:tr w:rsidR="00B73F29" w:rsidRPr="00327A61">
        <w:trPr>
          <w:trHeight w:val="277"/>
        </w:trPr>
        <w:tc>
          <w:tcPr>
            <w:tcW w:w="398" w:type="dxa"/>
            <w:vMerge w:val="restart"/>
            <w:tcBorders>
              <w:top w:val="single" w:sz="4" w:space="0" w:color="auto"/>
              <w:left w:val="single" w:sz="4" w:space="0" w:color="auto"/>
              <w:bottom w:val="single" w:sz="4" w:space="0" w:color="auto"/>
              <w:right w:val="single" w:sz="4" w:space="0" w:color="auto"/>
            </w:tcBorders>
            <w:shd w:val="clear" w:color="auto" w:fill="C0C0C0"/>
            <w:noWrap/>
            <w:vAlign w:val="center"/>
          </w:tcPr>
          <w:p w:rsidR="00B73F29" w:rsidRPr="00327A61" w:rsidRDefault="00B73F29" w:rsidP="00391DB4">
            <w:pPr>
              <w:jc w:val="center"/>
              <w:rPr>
                <w:sz w:val="22"/>
                <w:szCs w:val="22"/>
              </w:rPr>
            </w:pPr>
            <w:r w:rsidRPr="00327A61">
              <w:rPr>
                <w:sz w:val="22"/>
                <w:szCs w:val="22"/>
              </w:rPr>
              <w:t>№</w:t>
            </w:r>
          </w:p>
        </w:tc>
        <w:tc>
          <w:tcPr>
            <w:tcW w:w="3969" w:type="dxa"/>
            <w:vMerge w:val="restart"/>
            <w:tcBorders>
              <w:top w:val="single" w:sz="4" w:space="0" w:color="auto"/>
              <w:left w:val="single" w:sz="4" w:space="0" w:color="auto"/>
              <w:bottom w:val="single" w:sz="4" w:space="0" w:color="000000"/>
              <w:right w:val="single" w:sz="4" w:space="0" w:color="auto"/>
            </w:tcBorders>
            <w:shd w:val="clear" w:color="auto" w:fill="C0C0C0"/>
            <w:noWrap/>
            <w:vAlign w:val="center"/>
          </w:tcPr>
          <w:p w:rsidR="00B73F29" w:rsidRPr="00327A61" w:rsidRDefault="00B73F29" w:rsidP="00391DB4">
            <w:pPr>
              <w:jc w:val="center"/>
              <w:rPr>
                <w:sz w:val="22"/>
                <w:szCs w:val="22"/>
              </w:rPr>
            </w:pPr>
            <w:r w:rsidRPr="00327A61">
              <w:rPr>
                <w:sz w:val="22"/>
                <w:szCs w:val="22"/>
              </w:rPr>
              <w:t>Вземания по контрагенти</w:t>
            </w:r>
          </w:p>
        </w:tc>
        <w:tc>
          <w:tcPr>
            <w:tcW w:w="1333" w:type="dxa"/>
            <w:vMerge w:val="restart"/>
            <w:tcBorders>
              <w:top w:val="single" w:sz="4" w:space="0" w:color="auto"/>
              <w:left w:val="single" w:sz="4" w:space="0" w:color="auto"/>
              <w:bottom w:val="single" w:sz="4" w:space="0" w:color="000000"/>
              <w:right w:val="single" w:sz="4" w:space="0" w:color="auto"/>
            </w:tcBorders>
            <w:shd w:val="clear" w:color="auto" w:fill="C0C0C0"/>
            <w:vAlign w:val="center"/>
          </w:tcPr>
          <w:p w:rsidR="00B73F29" w:rsidRPr="00327A61" w:rsidRDefault="00B73F29" w:rsidP="00391DB4">
            <w:pPr>
              <w:jc w:val="center"/>
              <w:rPr>
                <w:sz w:val="22"/>
                <w:szCs w:val="22"/>
              </w:rPr>
            </w:pPr>
            <w:r w:rsidRPr="00327A61">
              <w:rPr>
                <w:sz w:val="22"/>
                <w:szCs w:val="22"/>
              </w:rPr>
              <w:t>Общ размер</w:t>
            </w:r>
          </w:p>
        </w:tc>
        <w:tc>
          <w:tcPr>
            <w:tcW w:w="3145" w:type="dxa"/>
            <w:gridSpan w:val="3"/>
            <w:tcBorders>
              <w:top w:val="single" w:sz="4" w:space="0" w:color="auto"/>
              <w:left w:val="nil"/>
              <w:bottom w:val="single" w:sz="4" w:space="0" w:color="auto"/>
              <w:right w:val="single" w:sz="4" w:space="0" w:color="000000"/>
            </w:tcBorders>
            <w:shd w:val="clear" w:color="auto" w:fill="C0C0C0"/>
          </w:tcPr>
          <w:p w:rsidR="00B73F29" w:rsidRPr="00327A61" w:rsidRDefault="00B73F29" w:rsidP="00391DB4">
            <w:pPr>
              <w:jc w:val="center"/>
              <w:rPr>
                <w:sz w:val="22"/>
                <w:szCs w:val="22"/>
              </w:rPr>
            </w:pPr>
            <w:r w:rsidRPr="00327A61">
              <w:rPr>
                <w:sz w:val="22"/>
                <w:szCs w:val="22"/>
              </w:rPr>
              <w:t>Възраст на вземанията</w:t>
            </w:r>
          </w:p>
        </w:tc>
        <w:tc>
          <w:tcPr>
            <w:tcW w:w="1175" w:type="dxa"/>
            <w:vMerge w:val="restart"/>
            <w:tcBorders>
              <w:top w:val="single" w:sz="4" w:space="0" w:color="auto"/>
              <w:left w:val="single" w:sz="4" w:space="0" w:color="auto"/>
              <w:bottom w:val="single" w:sz="4" w:space="0" w:color="000000"/>
              <w:right w:val="single" w:sz="4" w:space="0" w:color="auto"/>
            </w:tcBorders>
            <w:shd w:val="clear" w:color="auto" w:fill="C0C0C0"/>
            <w:vAlign w:val="center"/>
          </w:tcPr>
          <w:p w:rsidR="00B73F29" w:rsidRPr="00327A61" w:rsidRDefault="00B73F29" w:rsidP="00391DB4">
            <w:pPr>
              <w:jc w:val="center"/>
              <w:rPr>
                <w:sz w:val="22"/>
                <w:szCs w:val="22"/>
              </w:rPr>
            </w:pPr>
            <w:r w:rsidRPr="00327A61">
              <w:rPr>
                <w:sz w:val="22"/>
                <w:szCs w:val="22"/>
              </w:rPr>
              <w:t>Просроч. вземания</w:t>
            </w:r>
          </w:p>
        </w:tc>
      </w:tr>
      <w:tr w:rsidR="00B73F29" w:rsidRPr="00327A61">
        <w:trPr>
          <w:trHeight w:val="293"/>
        </w:trPr>
        <w:tc>
          <w:tcPr>
            <w:tcW w:w="398" w:type="dxa"/>
            <w:vMerge/>
            <w:tcBorders>
              <w:top w:val="single" w:sz="4" w:space="0" w:color="auto"/>
              <w:left w:val="single" w:sz="4" w:space="0" w:color="auto"/>
              <w:bottom w:val="single" w:sz="4" w:space="0" w:color="auto"/>
              <w:right w:val="single" w:sz="4" w:space="0" w:color="auto"/>
            </w:tcBorders>
            <w:shd w:val="clear" w:color="auto" w:fill="auto"/>
            <w:vAlign w:val="center"/>
          </w:tcPr>
          <w:p w:rsidR="00B73F29" w:rsidRPr="00327A61" w:rsidRDefault="00B73F29" w:rsidP="00391DB4">
            <w:pPr>
              <w:rPr>
                <w:sz w:val="22"/>
                <w:szCs w:val="22"/>
              </w:rPr>
            </w:pPr>
          </w:p>
        </w:tc>
        <w:tc>
          <w:tcPr>
            <w:tcW w:w="3969"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B73F29" w:rsidRPr="00327A61" w:rsidRDefault="00B73F29" w:rsidP="00391DB4">
            <w:pPr>
              <w:rPr>
                <w:sz w:val="22"/>
                <w:szCs w:val="22"/>
              </w:rPr>
            </w:pPr>
          </w:p>
        </w:tc>
        <w:tc>
          <w:tcPr>
            <w:tcW w:w="1333"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B73F29" w:rsidRPr="00327A61" w:rsidRDefault="00B73F29" w:rsidP="00391DB4">
            <w:pPr>
              <w:rPr>
                <w:sz w:val="22"/>
                <w:szCs w:val="22"/>
              </w:rPr>
            </w:pPr>
          </w:p>
        </w:tc>
        <w:tc>
          <w:tcPr>
            <w:tcW w:w="1130" w:type="dxa"/>
            <w:tcBorders>
              <w:top w:val="nil"/>
              <w:left w:val="nil"/>
              <w:bottom w:val="single" w:sz="4" w:space="0" w:color="auto"/>
              <w:right w:val="single" w:sz="4" w:space="0" w:color="auto"/>
            </w:tcBorders>
            <w:shd w:val="clear" w:color="auto" w:fill="C0C0C0"/>
          </w:tcPr>
          <w:p w:rsidR="00B73F29" w:rsidRPr="00327A61" w:rsidRDefault="00B73F29" w:rsidP="00391DB4">
            <w:pPr>
              <w:jc w:val="center"/>
              <w:rPr>
                <w:sz w:val="22"/>
                <w:szCs w:val="22"/>
              </w:rPr>
            </w:pPr>
            <w:r w:rsidRPr="00327A61">
              <w:rPr>
                <w:sz w:val="22"/>
                <w:szCs w:val="22"/>
              </w:rPr>
              <w:t>до 3 м.</w:t>
            </w:r>
          </w:p>
        </w:tc>
        <w:tc>
          <w:tcPr>
            <w:tcW w:w="1080" w:type="dxa"/>
            <w:tcBorders>
              <w:top w:val="nil"/>
              <w:left w:val="nil"/>
              <w:bottom w:val="single" w:sz="4" w:space="0" w:color="auto"/>
              <w:right w:val="nil"/>
            </w:tcBorders>
            <w:shd w:val="clear" w:color="auto" w:fill="C0C0C0"/>
          </w:tcPr>
          <w:p w:rsidR="00B73F29" w:rsidRPr="00327A61" w:rsidRDefault="00B73F29" w:rsidP="00391DB4">
            <w:pPr>
              <w:jc w:val="center"/>
              <w:rPr>
                <w:sz w:val="22"/>
                <w:szCs w:val="22"/>
              </w:rPr>
            </w:pPr>
            <w:r w:rsidRPr="00327A61">
              <w:rPr>
                <w:sz w:val="22"/>
                <w:szCs w:val="22"/>
              </w:rPr>
              <w:t>3 - 6 м.</w:t>
            </w:r>
          </w:p>
        </w:tc>
        <w:tc>
          <w:tcPr>
            <w:tcW w:w="935" w:type="dxa"/>
            <w:tcBorders>
              <w:top w:val="nil"/>
              <w:left w:val="single" w:sz="4" w:space="0" w:color="auto"/>
              <w:bottom w:val="single" w:sz="4" w:space="0" w:color="auto"/>
              <w:right w:val="nil"/>
            </w:tcBorders>
            <w:shd w:val="clear" w:color="auto" w:fill="C0C0C0"/>
          </w:tcPr>
          <w:p w:rsidR="00B73F29" w:rsidRPr="00327A61" w:rsidRDefault="00B73F29" w:rsidP="00391DB4">
            <w:pPr>
              <w:jc w:val="center"/>
              <w:rPr>
                <w:sz w:val="22"/>
                <w:szCs w:val="22"/>
              </w:rPr>
            </w:pPr>
            <w:r w:rsidRPr="00327A61">
              <w:rPr>
                <w:sz w:val="22"/>
                <w:szCs w:val="22"/>
              </w:rPr>
              <w:t>над 6 м.</w:t>
            </w:r>
          </w:p>
        </w:tc>
        <w:tc>
          <w:tcPr>
            <w:tcW w:w="1175"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B73F29" w:rsidRPr="00327A61" w:rsidRDefault="00B73F29" w:rsidP="00391DB4">
            <w:pPr>
              <w:rPr>
                <w:sz w:val="22"/>
                <w:szCs w:val="22"/>
              </w:rPr>
            </w:pPr>
          </w:p>
        </w:tc>
      </w:tr>
      <w:tr w:rsidR="001E1227" w:rsidRPr="00327A61" w:rsidTr="006033C4">
        <w:trPr>
          <w:trHeight w:val="277"/>
        </w:trPr>
        <w:tc>
          <w:tcPr>
            <w:tcW w:w="398" w:type="dxa"/>
            <w:tcBorders>
              <w:top w:val="single" w:sz="4" w:space="0" w:color="auto"/>
              <w:left w:val="single" w:sz="4" w:space="0" w:color="auto"/>
              <w:bottom w:val="single" w:sz="4" w:space="0" w:color="auto"/>
              <w:right w:val="single" w:sz="4" w:space="0" w:color="auto"/>
            </w:tcBorders>
            <w:shd w:val="clear" w:color="auto" w:fill="auto"/>
            <w:noWrap/>
            <w:vAlign w:val="bottom"/>
          </w:tcPr>
          <w:p w:rsidR="001E1227" w:rsidRPr="00327A61" w:rsidRDefault="001E1227" w:rsidP="001E1227">
            <w:pPr>
              <w:jc w:val="center"/>
              <w:rPr>
                <w:lang w:eastAsia="bg-BG"/>
              </w:rPr>
            </w:pPr>
            <w:r w:rsidRPr="00327A61">
              <w:t>1</w:t>
            </w:r>
          </w:p>
        </w:tc>
        <w:tc>
          <w:tcPr>
            <w:tcW w:w="3969" w:type="dxa"/>
            <w:tcBorders>
              <w:top w:val="single" w:sz="4" w:space="0" w:color="auto"/>
              <w:left w:val="nil"/>
              <w:bottom w:val="single" w:sz="4" w:space="0" w:color="auto"/>
              <w:right w:val="single" w:sz="4" w:space="0" w:color="auto"/>
            </w:tcBorders>
            <w:shd w:val="clear" w:color="auto" w:fill="auto"/>
            <w:noWrap/>
            <w:vAlign w:val="bottom"/>
          </w:tcPr>
          <w:p w:rsidR="001E1227" w:rsidRPr="00327A61" w:rsidRDefault="001E1227" w:rsidP="001E1227">
            <w:r w:rsidRPr="00327A61">
              <w:t>"Топлофикация - Русе" ЕАД</w:t>
            </w:r>
          </w:p>
        </w:tc>
        <w:tc>
          <w:tcPr>
            <w:tcW w:w="1333" w:type="dxa"/>
            <w:tcBorders>
              <w:top w:val="single" w:sz="4" w:space="0" w:color="auto"/>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84 641</w:t>
            </w:r>
          </w:p>
        </w:tc>
        <w:tc>
          <w:tcPr>
            <w:tcW w:w="1130"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84 641</w:t>
            </w:r>
          </w:p>
        </w:tc>
        <w:tc>
          <w:tcPr>
            <w:tcW w:w="108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0</w:t>
            </w:r>
          </w:p>
        </w:tc>
        <w:tc>
          <w:tcPr>
            <w:tcW w:w="935" w:type="dxa"/>
            <w:tcBorders>
              <w:top w:val="single" w:sz="4" w:space="0" w:color="auto"/>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0</w:t>
            </w:r>
          </w:p>
        </w:tc>
        <w:tc>
          <w:tcPr>
            <w:tcW w:w="1175" w:type="dxa"/>
            <w:tcBorders>
              <w:top w:val="single" w:sz="4" w:space="0" w:color="auto"/>
              <w:left w:val="nil"/>
              <w:bottom w:val="single" w:sz="4" w:space="0" w:color="auto"/>
              <w:right w:val="single" w:sz="4" w:space="0" w:color="auto"/>
            </w:tcBorders>
            <w:shd w:val="clear" w:color="auto" w:fill="auto"/>
          </w:tcPr>
          <w:p w:rsidR="001E1227" w:rsidRPr="00327A61" w:rsidRDefault="001E1227" w:rsidP="001E1227">
            <w:pPr>
              <w:jc w:val="right"/>
            </w:pPr>
            <w:r w:rsidRPr="00327A61">
              <w:t>0</w:t>
            </w:r>
          </w:p>
        </w:tc>
      </w:tr>
      <w:tr w:rsidR="001E1227" w:rsidRPr="00327A61" w:rsidTr="006033C4">
        <w:trPr>
          <w:trHeight w:val="277"/>
        </w:trPr>
        <w:tc>
          <w:tcPr>
            <w:tcW w:w="398" w:type="dxa"/>
            <w:tcBorders>
              <w:top w:val="nil"/>
              <w:left w:val="single" w:sz="4" w:space="0" w:color="auto"/>
              <w:bottom w:val="single" w:sz="4" w:space="0" w:color="auto"/>
              <w:right w:val="single" w:sz="4" w:space="0" w:color="auto"/>
            </w:tcBorders>
            <w:shd w:val="clear" w:color="auto" w:fill="auto"/>
            <w:noWrap/>
            <w:vAlign w:val="bottom"/>
          </w:tcPr>
          <w:p w:rsidR="001E1227" w:rsidRPr="00327A61" w:rsidRDefault="001E1227" w:rsidP="001E1227">
            <w:pPr>
              <w:jc w:val="center"/>
            </w:pPr>
            <w:r w:rsidRPr="00327A61">
              <w:t>2</w:t>
            </w:r>
          </w:p>
        </w:tc>
        <w:tc>
          <w:tcPr>
            <w:tcW w:w="3969"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r w:rsidRPr="00327A61">
              <w:t>"Рубишипс транспорт" ООД</w:t>
            </w:r>
          </w:p>
        </w:tc>
        <w:tc>
          <w:tcPr>
            <w:tcW w:w="1333"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69 394</w:t>
            </w:r>
          </w:p>
        </w:tc>
        <w:tc>
          <w:tcPr>
            <w:tcW w:w="1130"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69 394</w:t>
            </w:r>
          </w:p>
        </w:tc>
        <w:tc>
          <w:tcPr>
            <w:tcW w:w="108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0</w:t>
            </w:r>
          </w:p>
        </w:tc>
        <w:tc>
          <w:tcPr>
            <w:tcW w:w="935"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0</w:t>
            </w:r>
          </w:p>
        </w:tc>
        <w:tc>
          <w:tcPr>
            <w:tcW w:w="1175" w:type="dxa"/>
            <w:tcBorders>
              <w:top w:val="nil"/>
              <w:left w:val="nil"/>
              <w:bottom w:val="single" w:sz="4" w:space="0" w:color="auto"/>
              <w:right w:val="single" w:sz="4" w:space="0" w:color="auto"/>
            </w:tcBorders>
            <w:shd w:val="clear" w:color="auto" w:fill="auto"/>
            <w:noWrap/>
          </w:tcPr>
          <w:p w:rsidR="001E1227" w:rsidRPr="00327A61" w:rsidRDefault="001E1227" w:rsidP="001E1227">
            <w:pPr>
              <w:jc w:val="right"/>
            </w:pPr>
            <w:r w:rsidRPr="00327A61">
              <w:t>0</w:t>
            </w:r>
          </w:p>
        </w:tc>
      </w:tr>
      <w:tr w:rsidR="001E1227" w:rsidRPr="00327A61" w:rsidTr="006033C4">
        <w:trPr>
          <w:trHeight w:val="277"/>
        </w:trPr>
        <w:tc>
          <w:tcPr>
            <w:tcW w:w="398" w:type="dxa"/>
            <w:tcBorders>
              <w:top w:val="nil"/>
              <w:left w:val="single" w:sz="4" w:space="0" w:color="auto"/>
              <w:bottom w:val="single" w:sz="4" w:space="0" w:color="auto"/>
              <w:right w:val="single" w:sz="4" w:space="0" w:color="auto"/>
            </w:tcBorders>
            <w:shd w:val="clear" w:color="auto" w:fill="auto"/>
            <w:noWrap/>
            <w:vAlign w:val="bottom"/>
          </w:tcPr>
          <w:p w:rsidR="001E1227" w:rsidRPr="00327A61" w:rsidRDefault="001E1227" w:rsidP="001E1227">
            <w:pPr>
              <w:jc w:val="center"/>
            </w:pPr>
            <w:r w:rsidRPr="00327A61">
              <w:t>3</w:t>
            </w:r>
          </w:p>
        </w:tc>
        <w:tc>
          <w:tcPr>
            <w:tcW w:w="3969"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r w:rsidRPr="00327A61">
              <w:t>"Ритъм-4-ТБ" ООД</w:t>
            </w:r>
          </w:p>
        </w:tc>
        <w:tc>
          <w:tcPr>
            <w:tcW w:w="1333"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66 370</w:t>
            </w:r>
          </w:p>
        </w:tc>
        <w:tc>
          <w:tcPr>
            <w:tcW w:w="1130"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66 370</w:t>
            </w:r>
          </w:p>
        </w:tc>
        <w:tc>
          <w:tcPr>
            <w:tcW w:w="108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0</w:t>
            </w:r>
          </w:p>
        </w:tc>
        <w:tc>
          <w:tcPr>
            <w:tcW w:w="935"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0</w:t>
            </w:r>
          </w:p>
        </w:tc>
        <w:tc>
          <w:tcPr>
            <w:tcW w:w="1175" w:type="dxa"/>
            <w:tcBorders>
              <w:top w:val="nil"/>
              <w:left w:val="nil"/>
              <w:bottom w:val="single" w:sz="4" w:space="0" w:color="auto"/>
              <w:right w:val="single" w:sz="4" w:space="0" w:color="auto"/>
            </w:tcBorders>
            <w:shd w:val="clear" w:color="auto" w:fill="auto"/>
            <w:noWrap/>
          </w:tcPr>
          <w:p w:rsidR="001E1227" w:rsidRPr="00327A61" w:rsidRDefault="001E1227" w:rsidP="001E1227">
            <w:pPr>
              <w:jc w:val="right"/>
            </w:pPr>
            <w:r w:rsidRPr="00327A61">
              <w:t>0</w:t>
            </w:r>
          </w:p>
        </w:tc>
      </w:tr>
      <w:tr w:rsidR="001E1227" w:rsidRPr="00327A61" w:rsidTr="006033C4">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1E1227" w:rsidRPr="00327A61" w:rsidRDefault="001E1227" w:rsidP="001E1227">
            <w:pPr>
              <w:jc w:val="center"/>
            </w:pPr>
            <w:r w:rsidRPr="00327A61">
              <w:t>4</w:t>
            </w:r>
          </w:p>
        </w:tc>
        <w:tc>
          <w:tcPr>
            <w:tcW w:w="3969"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r w:rsidRPr="00327A61">
              <w:t>"Холлеман България" ООД</w:t>
            </w:r>
          </w:p>
        </w:tc>
        <w:tc>
          <w:tcPr>
            <w:tcW w:w="1333"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60 675</w:t>
            </w:r>
          </w:p>
        </w:tc>
        <w:tc>
          <w:tcPr>
            <w:tcW w:w="113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60 675</w:t>
            </w:r>
          </w:p>
        </w:tc>
        <w:tc>
          <w:tcPr>
            <w:tcW w:w="108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0</w:t>
            </w:r>
          </w:p>
        </w:tc>
        <w:tc>
          <w:tcPr>
            <w:tcW w:w="935"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0</w:t>
            </w:r>
          </w:p>
        </w:tc>
        <w:tc>
          <w:tcPr>
            <w:tcW w:w="1175" w:type="dxa"/>
            <w:tcBorders>
              <w:top w:val="nil"/>
              <w:left w:val="nil"/>
              <w:bottom w:val="single" w:sz="4" w:space="0" w:color="auto"/>
              <w:right w:val="single" w:sz="4" w:space="0" w:color="auto"/>
            </w:tcBorders>
            <w:shd w:val="clear" w:color="auto" w:fill="auto"/>
            <w:noWrap/>
          </w:tcPr>
          <w:p w:rsidR="001E1227" w:rsidRPr="00327A61" w:rsidRDefault="001E1227" w:rsidP="001E1227">
            <w:pPr>
              <w:jc w:val="right"/>
            </w:pPr>
            <w:r w:rsidRPr="00327A61">
              <w:t>0</w:t>
            </w:r>
          </w:p>
        </w:tc>
      </w:tr>
      <w:tr w:rsidR="001E1227" w:rsidRPr="00327A61" w:rsidTr="006033C4">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1E1227" w:rsidRPr="00327A61" w:rsidRDefault="001E1227" w:rsidP="001E1227">
            <w:pPr>
              <w:jc w:val="center"/>
            </w:pPr>
            <w:r w:rsidRPr="00327A61">
              <w:t>5</w:t>
            </w:r>
          </w:p>
        </w:tc>
        <w:tc>
          <w:tcPr>
            <w:tcW w:w="3969"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r w:rsidRPr="00327A61">
              <w:t>"Л.Стоянов-АВТОМАН" ЕТ</w:t>
            </w:r>
          </w:p>
        </w:tc>
        <w:tc>
          <w:tcPr>
            <w:tcW w:w="1333"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29 003</w:t>
            </w:r>
          </w:p>
        </w:tc>
        <w:tc>
          <w:tcPr>
            <w:tcW w:w="113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29 003</w:t>
            </w:r>
          </w:p>
        </w:tc>
        <w:tc>
          <w:tcPr>
            <w:tcW w:w="108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0</w:t>
            </w:r>
          </w:p>
        </w:tc>
        <w:tc>
          <w:tcPr>
            <w:tcW w:w="935"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0</w:t>
            </w:r>
          </w:p>
        </w:tc>
        <w:tc>
          <w:tcPr>
            <w:tcW w:w="1175" w:type="dxa"/>
            <w:tcBorders>
              <w:top w:val="nil"/>
              <w:left w:val="nil"/>
              <w:bottom w:val="single" w:sz="4" w:space="0" w:color="auto"/>
              <w:right w:val="single" w:sz="4" w:space="0" w:color="auto"/>
            </w:tcBorders>
            <w:shd w:val="clear" w:color="auto" w:fill="auto"/>
            <w:noWrap/>
          </w:tcPr>
          <w:p w:rsidR="001E1227" w:rsidRPr="00327A61" w:rsidRDefault="001E1227" w:rsidP="001E1227">
            <w:pPr>
              <w:jc w:val="right"/>
            </w:pPr>
            <w:r w:rsidRPr="00327A61">
              <w:t>0</w:t>
            </w:r>
          </w:p>
        </w:tc>
      </w:tr>
      <w:tr w:rsidR="001E1227" w:rsidRPr="00327A61" w:rsidTr="006033C4">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1E1227" w:rsidRPr="00327A61" w:rsidRDefault="001E1227" w:rsidP="001E1227">
            <w:pPr>
              <w:jc w:val="center"/>
            </w:pPr>
            <w:r w:rsidRPr="00327A61">
              <w:t>6</w:t>
            </w:r>
          </w:p>
        </w:tc>
        <w:tc>
          <w:tcPr>
            <w:tcW w:w="3969"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r w:rsidRPr="00327A61">
              <w:t>"Никтранс" ЕООД</w:t>
            </w:r>
          </w:p>
        </w:tc>
        <w:tc>
          <w:tcPr>
            <w:tcW w:w="1333"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18 354</w:t>
            </w:r>
          </w:p>
        </w:tc>
        <w:tc>
          <w:tcPr>
            <w:tcW w:w="113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18 354</w:t>
            </w:r>
          </w:p>
        </w:tc>
        <w:tc>
          <w:tcPr>
            <w:tcW w:w="108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0</w:t>
            </w:r>
          </w:p>
        </w:tc>
        <w:tc>
          <w:tcPr>
            <w:tcW w:w="935"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0</w:t>
            </w:r>
          </w:p>
        </w:tc>
        <w:tc>
          <w:tcPr>
            <w:tcW w:w="1175" w:type="dxa"/>
            <w:tcBorders>
              <w:top w:val="nil"/>
              <w:left w:val="nil"/>
              <w:bottom w:val="single" w:sz="4" w:space="0" w:color="auto"/>
              <w:right w:val="single" w:sz="4" w:space="0" w:color="auto"/>
            </w:tcBorders>
            <w:shd w:val="clear" w:color="auto" w:fill="auto"/>
            <w:noWrap/>
          </w:tcPr>
          <w:p w:rsidR="001E1227" w:rsidRPr="00327A61" w:rsidRDefault="001E1227" w:rsidP="001E1227">
            <w:pPr>
              <w:jc w:val="right"/>
            </w:pPr>
            <w:r w:rsidRPr="00327A61">
              <w:t>0</w:t>
            </w:r>
          </w:p>
        </w:tc>
      </w:tr>
      <w:tr w:rsidR="001E1227" w:rsidRPr="00327A61" w:rsidTr="006033C4">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1E1227" w:rsidRPr="00327A61" w:rsidRDefault="001E1227" w:rsidP="001E1227">
            <w:pPr>
              <w:jc w:val="center"/>
            </w:pPr>
            <w:r w:rsidRPr="00327A61">
              <w:t>7</w:t>
            </w:r>
          </w:p>
        </w:tc>
        <w:tc>
          <w:tcPr>
            <w:tcW w:w="3969"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r w:rsidRPr="00327A61">
              <w:t>"Стийлимпекс" ООД</w:t>
            </w:r>
          </w:p>
        </w:tc>
        <w:tc>
          <w:tcPr>
            <w:tcW w:w="1333"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15 741</w:t>
            </w:r>
          </w:p>
        </w:tc>
        <w:tc>
          <w:tcPr>
            <w:tcW w:w="113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15 741</w:t>
            </w:r>
          </w:p>
        </w:tc>
        <w:tc>
          <w:tcPr>
            <w:tcW w:w="108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0</w:t>
            </w:r>
          </w:p>
        </w:tc>
        <w:tc>
          <w:tcPr>
            <w:tcW w:w="935"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0</w:t>
            </w:r>
          </w:p>
        </w:tc>
        <w:tc>
          <w:tcPr>
            <w:tcW w:w="1175" w:type="dxa"/>
            <w:tcBorders>
              <w:top w:val="nil"/>
              <w:left w:val="nil"/>
              <w:bottom w:val="single" w:sz="4" w:space="0" w:color="auto"/>
              <w:right w:val="single" w:sz="4" w:space="0" w:color="auto"/>
            </w:tcBorders>
            <w:shd w:val="clear" w:color="auto" w:fill="auto"/>
            <w:noWrap/>
          </w:tcPr>
          <w:p w:rsidR="001E1227" w:rsidRPr="00327A61" w:rsidRDefault="001E1227" w:rsidP="001E1227">
            <w:pPr>
              <w:jc w:val="right"/>
            </w:pPr>
            <w:r w:rsidRPr="00327A61">
              <w:t>0</w:t>
            </w:r>
          </w:p>
        </w:tc>
      </w:tr>
      <w:tr w:rsidR="001E1227" w:rsidRPr="00327A61" w:rsidTr="006033C4">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1E1227" w:rsidRPr="00327A61" w:rsidRDefault="001E1227" w:rsidP="001E1227">
            <w:pPr>
              <w:jc w:val="center"/>
            </w:pPr>
            <w:r w:rsidRPr="00327A61">
              <w:t>8</w:t>
            </w:r>
          </w:p>
        </w:tc>
        <w:tc>
          <w:tcPr>
            <w:tcW w:w="3969"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r w:rsidRPr="00327A61">
              <w:t>"Каолин"ЕАД</w:t>
            </w:r>
          </w:p>
        </w:tc>
        <w:tc>
          <w:tcPr>
            <w:tcW w:w="1333"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14 089</w:t>
            </w:r>
          </w:p>
        </w:tc>
        <w:tc>
          <w:tcPr>
            <w:tcW w:w="113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14 089</w:t>
            </w:r>
          </w:p>
        </w:tc>
        <w:tc>
          <w:tcPr>
            <w:tcW w:w="108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 </w:t>
            </w:r>
          </w:p>
        </w:tc>
        <w:tc>
          <w:tcPr>
            <w:tcW w:w="935"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 </w:t>
            </w:r>
          </w:p>
        </w:tc>
        <w:tc>
          <w:tcPr>
            <w:tcW w:w="1175" w:type="dxa"/>
            <w:tcBorders>
              <w:top w:val="nil"/>
              <w:left w:val="nil"/>
              <w:bottom w:val="single" w:sz="4" w:space="0" w:color="auto"/>
              <w:right w:val="single" w:sz="4" w:space="0" w:color="auto"/>
            </w:tcBorders>
            <w:shd w:val="clear" w:color="auto" w:fill="auto"/>
            <w:noWrap/>
          </w:tcPr>
          <w:p w:rsidR="001E1227" w:rsidRPr="00327A61" w:rsidRDefault="001E1227" w:rsidP="001E1227">
            <w:pPr>
              <w:jc w:val="right"/>
            </w:pPr>
            <w:r w:rsidRPr="00327A61">
              <w:t> </w:t>
            </w:r>
          </w:p>
        </w:tc>
      </w:tr>
      <w:tr w:rsidR="001E1227" w:rsidRPr="00327A61" w:rsidTr="006033C4">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1E1227" w:rsidRPr="00327A61" w:rsidRDefault="001E1227" w:rsidP="001E1227">
            <w:pPr>
              <w:jc w:val="center"/>
            </w:pPr>
            <w:r w:rsidRPr="00327A61">
              <w:t>9</w:t>
            </w:r>
          </w:p>
        </w:tc>
        <w:tc>
          <w:tcPr>
            <w:tcW w:w="3969"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r w:rsidRPr="00327A61">
              <w:t>"Донау Стар БГ" ЕООД</w:t>
            </w:r>
          </w:p>
        </w:tc>
        <w:tc>
          <w:tcPr>
            <w:tcW w:w="1333"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12 546</w:t>
            </w:r>
          </w:p>
        </w:tc>
        <w:tc>
          <w:tcPr>
            <w:tcW w:w="113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12 546</w:t>
            </w:r>
          </w:p>
        </w:tc>
        <w:tc>
          <w:tcPr>
            <w:tcW w:w="108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0</w:t>
            </w:r>
          </w:p>
        </w:tc>
        <w:tc>
          <w:tcPr>
            <w:tcW w:w="935"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0</w:t>
            </w:r>
          </w:p>
        </w:tc>
        <w:tc>
          <w:tcPr>
            <w:tcW w:w="1175" w:type="dxa"/>
            <w:tcBorders>
              <w:top w:val="nil"/>
              <w:left w:val="nil"/>
              <w:bottom w:val="single" w:sz="4" w:space="0" w:color="auto"/>
              <w:right w:val="single" w:sz="4" w:space="0" w:color="auto"/>
            </w:tcBorders>
            <w:shd w:val="clear" w:color="auto" w:fill="auto"/>
            <w:noWrap/>
          </w:tcPr>
          <w:p w:rsidR="001E1227" w:rsidRPr="00327A61" w:rsidRDefault="001E1227" w:rsidP="001E1227">
            <w:pPr>
              <w:jc w:val="right"/>
            </w:pPr>
            <w:r w:rsidRPr="00327A61">
              <w:t>0</w:t>
            </w:r>
          </w:p>
        </w:tc>
      </w:tr>
      <w:tr w:rsidR="001E1227" w:rsidRPr="00327A61" w:rsidTr="006033C4">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1E1227" w:rsidRPr="00327A61" w:rsidRDefault="001E1227" w:rsidP="001E1227">
            <w:pPr>
              <w:jc w:val="center"/>
            </w:pPr>
          </w:p>
        </w:tc>
        <w:tc>
          <w:tcPr>
            <w:tcW w:w="3969"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tc>
        <w:tc>
          <w:tcPr>
            <w:tcW w:w="1333"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p>
        </w:tc>
        <w:tc>
          <w:tcPr>
            <w:tcW w:w="113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p>
        </w:tc>
        <w:tc>
          <w:tcPr>
            <w:tcW w:w="108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p>
        </w:tc>
        <w:tc>
          <w:tcPr>
            <w:tcW w:w="935"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p>
        </w:tc>
        <w:tc>
          <w:tcPr>
            <w:tcW w:w="1175" w:type="dxa"/>
            <w:tcBorders>
              <w:top w:val="nil"/>
              <w:left w:val="nil"/>
              <w:bottom w:val="single" w:sz="4" w:space="0" w:color="auto"/>
              <w:right w:val="single" w:sz="4" w:space="0" w:color="auto"/>
            </w:tcBorders>
            <w:shd w:val="clear" w:color="auto" w:fill="auto"/>
            <w:noWrap/>
          </w:tcPr>
          <w:p w:rsidR="001E1227" w:rsidRPr="00327A61" w:rsidRDefault="001E1227" w:rsidP="001E1227">
            <w:pPr>
              <w:jc w:val="right"/>
            </w:pPr>
          </w:p>
        </w:tc>
      </w:tr>
      <w:tr w:rsidR="001E1227" w:rsidRPr="00327A61" w:rsidTr="006033C4">
        <w:trPr>
          <w:trHeight w:val="277"/>
        </w:trPr>
        <w:tc>
          <w:tcPr>
            <w:tcW w:w="398" w:type="dxa"/>
            <w:tcBorders>
              <w:top w:val="nil"/>
              <w:left w:val="single" w:sz="4" w:space="0" w:color="auto"/>
              <w:bottom w:val="single" w:sz="4" w:space="0" w:color="auto"/>
              <w:right w:val="single" w:sz="4" w:space="0" w:color="auto"/>
            </w:tcBorders>
            <w:shd w:val="clear" w:color="auto" w:fill="auto"/>
            <w:noWrap/>
            <w:vAlign w:val="bottom"/>
          </w:tcPr>
          <w:p w:rsidR="001E1227" w:rsidRPr="00327A61" w:rsidRDefault="001E1227" w:rsidP="001E1227">
            <w:pPr>
              <w:jc w:val="center"/>
            </w:pPr>
            <w:r w:rsidRPr="00327A61">
              <w:t> </w:t>
            </w:r>
          </w:p>
        </w:tc>
        <w:tc>
          <w:tcPr>
            <w:tcW w:w="3969"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r w:rsidRPr="00327A61">
              <w:t xml:space="preserve">Други </w:t>
            </w:r>
          </w:p>
        </w:tc>
        <w:tc>
          <w:tcPr>
            <w:tcW w:w="1333"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rPr>
                <w:lang w:eastAsia="bg-BG"/>
              </w:rPr>
            </w:pPr>
            <w:r w:rsidRPr="00327A61">
              <w:t>73 035</w:t>
            </w:r>
          </w:p>
        </w:tc>
        <w:tc>
          <w:tcPr>
            <w:tcW w:w="113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46 021</w:t>
            </w:r>
          </w:p>
        </w:tc>
        <w:tc>
          <w:tcPr>
            <w:tcW w:w="1080" w:type="dxa"/>
            <w:tcBorders>
              <w:top w:val="nil"/>
              <w:left w:val="nil"/>
              <w:bottom w:val="single" w:sz="4" w:space="0" w:color="auto"/>
              <w:right w:val="single" w:sz="4" w:space="0" w:color="auto"/>
            </w:tcBorders>
            <w:shd w:val="clear" w:color="auto" w:fill="auto"/>
            <w:vAlign w:val="bottom"/>
          </w:tcPr>
          <w:p w:rsidR="001E1227" w:rsidRPr="00327A61" w:rsidRDefault="001E1227" w:rsidP="001E1227">
            <w:pPr>
              <w:jc w:val="right"/>
            </w:pPr>
            <w:r w:rsidRPr="00327A61">
              <w:t>14 955</w:t>
            </w:r>
          </w:p>
        </w:tc>
        <w:tc>
          <w:tcPr>
            <w:tcW w:w="935"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pPr>
            <w:r w:rsidRPr="00327A61">
              <w:t>12 060</w:t>
            </w:r>
          </w:p>
        </w:tc>
        <w:tc>
          <w:tcPr>
            <w:tcW w:w="1175" w:type="dxa"/>
            <w:tcBorders>
              <w:top w:val="nil"/>
              <w:left w:val="nil"/>
              <w:bottom w:val="single" w:sz="4" w:space="0" w:color="auto"/>
              <w:right w:val="single" w:sz="4" w:space="0" w:color="auto"/>
            </w:tcBorders>
            <w:shd w:val="clear" w:color="auto" w:fill="auto"/>
            <w:noWrap/>
          </w:tcPr>
          <w:p w:rsidR="001E1227" w:rsidRPr="00327A61" w:rsidRDefault="001E1227" w:rsidP="001E1227">
            <w:pPr>
              <w:jc w:val="right"/>
            </w:pPr>
            <w:r w:rsidRPr="00327A61">
              <w:t>0</w:t>
            </w:r>
          </w:p>
        </w:tc>
      </w:tr>
      <w:tr w:rsidR="001E1227" w:rsidRPr="00327A61" w:rsidTr="006033C4">
        <w:trPr>
          <w:trHeight w:val="277"/>
        </w:trPr>
        <w:tc>
          <w:tcPr>
            <w:tcW w:w="398" w:type="dxa"/>
            <w:tcBorders>
              <w:top w:val="nil"/>
              <w:left w:val="single" w:sz="4" w:space="0" w:color="auto"/>
              <w:bottom w:val="single" w:sz="4" w:space="0" w:color="auto"/>
              <w:right w:val="single" w:sz="4" w:space="0" w:color="auto"/>
            </w:tcBorders>
            <w:shd w:val="clear" w:color="auto" w:fill="auto"/>
            <w:noWrap/>
            <w:vAlign w:val="bottom"/>
          </w:tcPr>
          <w:p w:rsidR="001E1227" w:rsidRPr="00327A61" w:rsidRDefault="001E1227" w:rsidP="001E1227">
            <w:pPr>
              <w:jc w:val="center"/>
            </w:pPr>
            <w:r w:rsidRPr="00327A61">
              <w:t> </w:t>
            </w:r>
          </w:p>
        </w:tc>
        <w:tc>
          <w:tcPr>
            <w:tcW w:w="3969"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rPr>
                <w:b/>
                <w:bCs/>
              </w:rPr>
            </w:pPr>
            <w:r w:rsidRPr="00327A61">
              <w:rPr>
                <w:b/>
                <w:bCs/>
              </w:rPr>
              <w:t>Обща сума ПК</w:t>
            </w:r>
          </w:p>
        </w:tc>
        <w:tc>
          <w:tcPr>
            <w:tcW w:w="1333"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rPr>
                <w:b/>
                <w:bCs/>
              </w:rPr>
            </w:pPr>
            <w:r w:rsidRPr="00327A61">
              <w:rPr>
                <w:b/>
                <w:bCs/>
              </w:rPr>
              <w:t>443 848</w:t>
            </w:r>
          </w:p>
        </w:tc>
        <w:tc>
          <w:tcPr>
            <w:tcW w:w="1130"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rPr>
                <w:b/>
                <w:bCs/>
              </w:rPr>
            </w:pPr>
            <w:r w:rsidRPr="00327A61">
              <w:rPr>
                <w:b/>
                <w:bCs/>
              </w:rPr>
              <w:t>416 834</w:t>
            </w:r>
          </w:p>
        </w:tc>
        <w:tc>
          <w:tcPr>
            <w:tcW w:w="1080"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rPr>
                <w:b/>
                <w:bCs/>
              </w:rPr>
            </w:pPr>
            <w:r w:rsidRPr="00327A61">
              <w:rPr>
                <w:b/>
                <w:bCs/>
              </w:rPr>
              <w:t>14 955</w:t>
            </w:r>
          </w:p>
        </w:tc>
        <w:tc>
          <w:tcPr>
            <w:tcW w:w="935" w:type="dxa"/>
            <w:tcBorders>
              <w:top w:val="nil"/>
              <w:left w:val="nil"/>
              <w:bottom w:val="single" w:sz="4" w:space="0" w:color="auto"/>
              <w:right w:val="single" w:sz="4" w:space="0" w:color="auto"/>
            </w:tcBorders>
            <w:shd w:val="clear" w:color="auto" w:fill="auto"/>
            <w:noWrap/>
            <w:vAlign w:val="bottom"/>
          </w:tcPr>
          <w:p w:rsidR="001E1227" w:rsidRPr="00327A61" w:rsidRDefault="001E1227" w:rsidP="001E1227">
            <w:pPr>
              <w:jc w:val="right"/>
              <w:rPr>
                <w:b/>
                <w:bCs/>
              </w:rPr>
            </w:pPr>
            <w:r w:rsidRPr="00327A61">
              <w:rPr>
                <w:b/>
                <w:bCs/>
              </w:rPr>
              <w:t>12 060</w:t>
            </w:r>
          </w:p>
        </w:tc>
        <w:tc>
          <w:tcPr>
            <w:tcW w:w="1175" w:type="dxa"/>
            <w:tcBorders>
              <w:top w:val="nil"/>
              <w:left w:val="nil"/>
              <w:bottom w:val="single" w:sz="4" w:space="0" w:color="auto"/>
              <w:right w:val="single" w:sz="4" w:space="0" w:color="auto"/>
            </w:tcBorders>
            <w:shd w:val="clear" w:color="auto" w:fill="auto"/>
            <w:noWrap/>
          </w:tcPr>
          <w:p w:rsidR="001E1227" w:rsidRPr="00327A61" w:rsidRDefault="001E1227" w:rsidP="001E1227">
            <w:pPr>
              <w:jc w:val="right"/>
              <w:rPr>
                <w:b/>
                <w:bCs/>
              </w:rPr>
            </w:pPr>
            <w:r w:rsidRPr="00327A61">
              <w:rPr>
                <w:b/>
                <w:bCs/>
              </w:rPr>
              <w:t>0</w:t>
            </w:r>
          </w:p>
        </w:tc>
      </w:tr>
    </w:tbl>
    <w:p w:rsidR="00136E64" w:rsidRPr="00327A61" w:rsidRDefault="00136E64" w:rsidP="00136E64">
      <w:pPr>
        <w:spacing w:after="120"/>
        <w:ind w:firstLine="709"/>
        <w:jc w:val="both"/>
      </w:pPr>
    </w:p>
    <w:p w:rsidR="00136E64" w:rsidRPr="00327A61" w:rsidRDefault="00C165A9" w:rsidP="00136E64">
      <w:pPr>
        <w:spacing w:after="120"/>
        <w:ind w:firstLine="709"/>
        <w:jc w:val="both"/>
      </w:pPr>
      <w:r w:rsidRPr="00327A61">
        <w:t>„</w:t>
      </w:r>
      <w:r w:rsidR="00136E64" w:rsidRPr="00327A61">
        <w:t>Пристанищен комплекс–Русе</w:t>
      </w:r>
      <w:r w:rsidRPr="00327A61">
        <w:t>“</w:t>
      </w:r>
      <w:r w:rsidR="00136E64" w:rsidRPr="00327A61">
        <w:t xml:space="preserve"> ЕАД приключва 201</w:t>
      </w:r>
      <w:r w:rsidRPr="00327A61">
        <w:t>7</w:t>
      </w:r>
      <w:r w:rsidR="00136E64" w:rsidRPr="00327A61">
        <w:t xml:space="preserve"> г</w:t>
      </w:r>
      <w:r w:rsidR="001E1227" w:rsidRPr="00327A61">
        <w:t>.</w:t>
      </w:r>
      <w:r w:rsidR="00136E64" w:rsidRPr="00327A61">
        <w:t xml:space="preserve"> с </w:t>
      </w:r>
      <w:r w:rsidRPr="00327A61">
        <w:t>444</w:t>
      </w:r>
      <w:r w:rsidR="00136E64" w:rsidRPr="00327A61">
        <w:t xml:space="preserve"> хил.лв</w:t>
      </w:r>
      <w:r w:rsidR="001E1227" w:rsidRPr="00327A61">
        <w:t>.</w:t>
      </w:r>
      <w:r w:rsidR="00136E64" w:rsidRPr="00327A61">
        <w:t xml:space="preserve"> вземания от клиенти и доставчици. Към 31.12.201</w:t>
      </w:r>
      <w:r w:rsidRPr="00327A61">
        <w:t>7</w:t>
      </w:r>
      <w:r w:rsidR="00136E64" w:rsidRPr="00327A61">
        <w:t>г. клиентите, влизащи в групата на по-големите длъжници (дължащи суми над 10 хил.лв</w:t>
      </w:r>
      <w:r w:rsidR="001E1227" w:rsidRPr="00327A61">
        <w:t>.</w:t>
      </w:r>
      <w:r w:rsidR="00136E64" w:rsidRPr="00327A61">
        <w:t xml:space="preserve"> от общите вземания) са посочени в горната таблица. Общо, тези клиенти дължат </w:t>
      </w:r>
      <w:r w:rsidRPr="00327A61">
        <w:t>371</w:t>
      </w:r>
      <w:r w:rsidR="00136E64" w:rsidRPr="00327A61">
        <w:t xml:space="preserve"> хил. лв., което задължение представлява </w:t>
      </w:r>
      <w:r w:rsidRPr="00327A61">
        <w:t>84</w:t>
      </w:r>
      <w:r w:rsidR="00136E64" w:rsidRPr="00327A61">
        <w:t xml:space="preserve"> % от вземанията на дружеството. </w:t>
      </w:r>
    </w:p>
    <w:p w:rsidR="00136E64" w:rsidRPr="00327A61" w:rsidRDefault="00136E64" w:rsidP="00136E64">
      <w:pPr>
        <w:spacing w:after="120"/>
        <w:ind w:firstLine="709"/>
        <w:jc w:val="both"/>
      </w:pPr>
      <w:r w:rsidRPr="00327A61">
        <w:t>По отношение на възрастовата структура на вземанията</w:t>
      </w:r>
      <w:r w:rsidR="00561BB0" w:rsidRPr="00327A61">
        <w:t xml:space="preserve"> от клиенти и доставчици</w:t>
      </w:r>
      <w:r w:rsidRPr="00327A61">
        <w:t xml:space="preserve"> на </w:t>
      </w:r>
      <w:r w:rsidR="00C165A9" w:rsidRPr="00327A61">
        <w:t>„</w:t>
      </w:r>
      <w:r w:rsidRPr="00327A61">
        <w:t>Пристанищен комплекс – Русе</w:t>
      </w:r>
      <w:r w:rsidR="00C165A9" w:rsidRPr="00327A61">
        <w:t>“</w:t>
      </w:r>
      <w:r w:rsidRPr="00327A61">
        <w:t xml:space="preserve"> ЕАД, преобладаващо място заемат тези със срок до 3 месеца </w:t>
      </w:r>
      <w:r w:rsidR="00620FBA" w:rsidRPr="00327A61">
        <w:t>9</w:t>
      </w:r>
      <w:r w:rsidR="00C165A9" w:rsidRPr="00327A61">
        <w:t>3</w:t>
      </w:r>
      <w:r w:rsidR="008B74A9" w:rsidRPr="00327A61">
        <w:t>,9</w:t>
      </w:r>
      <w:r w:rsidRPr="00327A61">
        <w:t xml:space="preserve"> %. Между 3 и 6 месеца са </w:t>
      </w:r>
      <w:r w:rsidR="00C165A9" w:rsidRPr="00327A61">
        <w:t>3</w:t>
      </w:r>
      <w:r w:rsidR="008B74A9" w:rsidRPr="00327A61">
        <w:t>,</w:t>
      </w:r>
      <w:r w:rsidR="00C165A9" w:rsidRPr="00327A61">
        <w:t>4</w:t>
      </w:r>
      <w:r w:rsidRPr="00327A61">
        <w:t xml:space="preserve"> % от вземанията, а над 6 месеца са </w:t>
      </w:r>
      <w:r w:rsidR="00C165A9" w:rsidRPr="00327A61">
        <w:t>2,7</w:t>
      </w:r>
      <w:r w:rsidRPr="00327A61">
        <w:t xml:space="preserve"> % от всички вземания.</w:t>
      </w:r>
    </w:p>
    <w:p w:rsidR="00B12704" w:rsidRPr="00327A61" w:rsidRDefault="005F0C28" w:rsidP="00B12704">
      <w:pPr>
        <w:ind w:firstLine="851"/>
        <w:jc w:val="both"/>
      </w:pPr>
      <w:r w:rsidRPr="00327A61">
        <w:rPr>
          <w:iCs/>
        </w:rPr>
        <w:t>Към 31.12.2016г. вземанията от клиенти със задължение над 10 хил.лв. са били следните</w:t>
      </w:r>
      <w:r w:rsidR="00B12704" w:rsidRPr="00327A61">
        <w:t>:</w:t>
      </w:r>
    </w:p>
    <w:p w:rsidR="00A6298E" w:rsidRPr="00327A61" w:rsidRDefault="00A6298E" w:rsidP="00B12704">
      <w:pPr>
        <w:ind w:firstLine="851"/>
        <w:jc w:val="both"/>
      </w:pPr>
    </w:p>
    <w:tbl>
      <w:tblPr>
        <w:tblW w:w="7560" w:type="dxa"/>
        <w:tblInd w:w="1510" w:type="dxa"/>
        <w:tblCellMar>
          <w:left w:w="70" w:type="dxa"/>
          <w:right w:w="70" w:type="dxa"/>
        </w:tblCellMar>
        <w:tblLook w:val="0000" w:firstRow="0" w:lastRow="0" w:firstColumn="0" w:lastColumn="0" w:noHBand="0" w:noVBand="0"/>
      </w:tblPr>
      <w:tblGrid>
        <w:gridCol w:w="720"/>
        <w:gridCol w:w="4500"/>
        <w:gridCol w:w="2340"/>
      </w:tblGrid>
      <w:tr w:rsidR="00651232" w:rsidRPr="00327A61" w:rsidTr="007A3330">
        <w:trPr>
          <w:trHeight w:val="407"/>
        </w:trPr>
        <w:tc>
          <w:tcPr>
            <w:tcW w:w="720" w:type="dxa"/>
            <w:tcBorders>
              <w:top w:val="single" w:sz="4" w:space="0" w:color="auto"/>
              <w:left w:val="single" w:sz="4" w:space="0" w:color="auto"/>
              <w:bottom w:val="single" w:sz="4" w:space="0" w:color="auto"/>
              <w:right w:val="single" w:sz="4" w:space="0" w:color="auto"/>
            </w:tcBorders>
            <w:vAlign w:val="center"/>
          </w:tcPr>
          <w:p w:rsidR="00651232" w:rsidRPr="00327A61" w:rsidRDefault="00651232" w:rsidP="00391DB4">
            <w:pPr>
              <w:jc w:val="center"/>
              <w:rPr>
                <w:sz w:val="22"/>
                <w:szCs w:val="22"/>
              </w:rPr>
            </w:pPr>
            <w:r w:rsidRPr="00327A61">
              <w:rPr>
                <w:sz w:val="22"/>
                <w:szCs w:val="22"/>
              </w:rPr>
              <w:t>№</w:t>
            </w:r>
          </w:p>
        </w:tc>
        <w:tc>
          <w:tcPr>
            <w:tcW w:w="45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1232" w:rsidRPr="00327A61" w:rsidRDefault="00651232" w:rsidP="009163A8">
            <w:pPr>
              <w:jc w:val="center"/>
              <w:rPr>
                <w:b/>
                <w:bCs/>
                <w:sz w:val="22"/>
                <w:szCs w:val="22"/>
              </w:rPr>
            </w:pPr>
            <w:r w:rsidRPr="00327A61">
              <w:rPr>
                <w:b/>
                <w:bCs/>
                <w:sz w:val="22"/>
                <w:szCs w:val="22"/>
              </w:rPr>
              <w:t>К</w:t>
            </w:r>
            <w:r w:rsidR="009163A8" w:rsidRPr="00327A61">
              <w:rPr>
                <w:b/>
                <w:bCs/>
                <w:sz w:val="22"/>
                <w:szCs w:val="22"/>
              </w:rPr>
              <w:t>онтрагенти</w:t>
            </w:r>
          </w:p>
        </w:tc>
        <w:tc>
          <w:tcPr>
            <w:tcW w:w="2340" w:type="dxa"/>
            <w:tcBorders>
              <w:top w:val="single" w:sz="4" w:space="0" w:color="auto"/>
              <w:left w:val="nil"/>
              <w:bottom w:val="single" w:sz="4" w:space="0" w:color="auto"/>
              <w:right w:val="single" w:sz="4" w:space="0" w:color="auto"/>
            </w:tcBorders>
            <w:shd w:val="clear" w:color="auto" w:fill="auto"/>
            <w:vAlign w:val="center"/>
          </w:tcPr>
          <w:p w:rsidR="00651232" w:rsidRPr="00327A61" w:rsidRDefault="00651232" w:rsidP="00CD6AA0">
            <w:pPr>
              <w:jc w:val="center"/>
              <w:rPr>
                <w:b/>
                <w:bCs/>
                <w:sz w:val="22"/>
                <w:szCs w:val="22"/>
              </w:rPr>
            </w:pPr>
            <w:r w:rsidRPr="00327A61">
              <w:rPr>
                <w:b/>
                <w:bCs/>
                <w:sz w:val="22"/>
                <w:szCs w:val="22"/>
              </w:rPr>
              <w:t>салдо 31.12.20</w:t>
            </w:r>
            <w:r w:rsidR="00C475C4" w:rsidRPr="00327A61">
              <w:rPr>
                <w:b/>
                <w:bCs/>
                <w:sz w:val="22"/>
                <w:szCs w:val="22"/>
              </w:rPr>
              <w:t>1</w:t>
            </w:r>
            <w:r w:rsidR="005F0C28" w:rsidRPr="00327A61">
              <w:rPr>
                <w:b/>
                <w:bCs/>
                <w:sz w:val="22"/>
                <w:szCs w:val="22"/>
              </w:rPr>
              <w:t>6</w:t>
            </w:r>
          </w:p>
        </w:tc>
      </w:tr>
      <w:tr w:rsidR="005F0C28" w:rsidRPr="00327A61" w:rsidTr="006033C4">
        <w:trPr>
          <w:trHeight w:val="300"/>
        </w:trPr>
        <w:tc>
          <w:tcPr>
            <w:tcW w:w="720" w:type="dxa"/>
            <w:tcBorders>
              <w:top w:val="nil"/>
              <w:left w:val="single" w:sz="4" w:space="0" w:color="auto"/>
              <w:bottom w:val="single" w:sz="4" w:space="0" w:color="auto"/>
              <w:right w:val="single" w:sz="4" w:space="0" w:color="auto"/>
            </w:tcBorders>
            <w:shd w:val="clear" w:color="auto" w:fill="auto"/>
            <w:vAlign w:val="bottom"/>
          </w:tcPr>
          <w:p w:rsidR="005F0C28" w:rsidRPr="00327A61" w:rsidRDefault="005F0C28" w:rsidP="005F0C28">
            <w:pPr>
              <w:jc w:val="center"/>
              <w:rPr>
                <w:szCs w:val="22"/>
              </w:rPr>
            </w:pPr>
            <w:r w:rsidRPr="00327A61">
              <w:rPr>
                <w:szCs w:val="22"/>
              </w:rPr>
              <w:t>1</w:t>
            </w:r>
          </w:p>
        </w:tc>
        <w:tc>
          <w:tcPr>
            <w:tcW w:w="4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5F0C28" w:rsidRPr="00327A61" w:rsidRDefault="005F0C28" w:rsidP="005F0C28">
            <w:pPr>
              <w:rPr>
                <w:szCs w:val="22"/>
              </w:rPr>
            </w:pPr>
            <w:r w:rsidRPr="00327A61">
              <w:rPr>
                <w:szCs w:val="22"/>
              </w:rPr>
              <w:t>"Топлофикация - Русе" ЕАД</w:t>
            </w:r>
          </w:p>
        </w:tc>
        <w:tc>
          <w:tcPr>
            <w:tcW w:w="2340" w:type="dxa"/>
            <w:tcBorders>
              <w:top w:val="single" w:sz="4" w:space="0" w:color="auto"/>
              <w:left w:val="nil"/>
              <w:bottom w:val="single" w:sz="4" w:space="0" w:color="auto"/>
              <w:right w:val="single" w:sz="4" w:space="0" w:color="auto"/>
            </w:tcBorders>
            <w:shd w:val="clear" w:color="auto" w:fill="auto"/>
            <w:noWrap/>
            <w:vAlign w:val="bottom"/>
          </w:tcPr>
          <w:p w:rsidR="005F0C28" w:rsidRPr="00327A61" w:rsidRDefault="005F0C28" w:rsidP="005F0C28">
            <w:pPr>
              <w:jc w:val="right"/>
              <w:rPr>
                <w:szCs w:val="22"/>
              </w:rPr>
            </w:pPr>
            <w:r w:rsidRPr="00327A61">
              <w:rPr>
                <w:szCs w:val="22"/>
              </w:rPr>
              <w:t>175 216</w:t>
            </w:r>
          </w:p>
        </w:tc>
      </w:tr>
      <w:tr w:rsidR="005F0C28" w:rsidRPr="00327A61" w:rsidTr="006033C4">
        <w:trPr>
          <w:trHeight w:val="300"/>
        </w:trPr>
        <w:tc>
          <w:tcPr>
            <w:tcW w:w="720" w:type="dxa"/>
            <w:tcBorders>
              <w:top w:val="nil"/>
              <w:left w:val="single" w:sz="4" w:space="0" w:color="auto"/>
              <w:bottom w:val="single" w:sz="4" w:space="0" w:color="auto"/>
              <w:right w:val="single" w:sz="4" w:space="0" w:color="auto"/>
            </w:tcBorders>
            <w:shd w:val="clear" w:color="auto" w:fill="auto"/>
            <w:vAlign w:val="bottom"/>
          </w:tcPr>
          <w:p w:rsidR="005F0C28" w:rsidRPr="00327A61" w:rsidRDefault="005F0C28" w:rsidP="005F0C28">
            <w:pPr>
              <w:jc w:val="center"/>
              <w:rPr>
                <w:szCs w:val="22"/>
              </w:rPr>
            </w:pPr>
            <w:r w:rsidRPr="00327A61">
              <w:rPr>
                <w:szCs w:val="22"/>
              </w:rPr>
              <w:t>2</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5F0C28" w:rsidRPr="00327A61" w:rsidRDefault="005F0C28" w:rsidP="005F0C28">
            <w:pPr>
              <w:rPr>
                <w:szCs w:val="22"/>
              </w:rPr>
            </w:pPr>
            <w:r w:rsidRPr="00327A61">
              <w:rPr>
                <w:szCs w:val="22"/>
              </w:rPr>
              <w:t>"Рубишипс транспорт" ООД</w:t>
            </w:r>
          </w:p>
        </w:tc>
        <w:tc>
          <w:tcPr>
            <w:tcW w:w="2340" w:type="dxa"/>
            <w:tcBorders>
              <w:top w:val="nil"/>
              <w:left w:val="nil"/>
              <w:bottom w:val="single" w:sz="4" w:space="0" w:color="auto"/>
              <w:right w:val="single" w:sz="4" w:space="0" w:color="auto"/>
            </w:tcBorders>
            <w:shd w:val="clear" w:color="auto" w:fill="auto"/>
            <w:noWrap/>
            <w:vAlign w:val="bottom"/>
          </w:tcPr>
          <w:p w:rsidR="005F0C28" w:rsidRPr="00327A61" w:rsidRDefault="005F0C28" w:rsidP="005F0C28">
            <w:pPr>
              <w:jc w:val="right"/>
              <w:rPr>
                <w:szCs w:val="22"/>
              </w:rPr>
            </w:pPr>
            <w:r w:rsidRPr="00327A61">
              <w:rPr>
                <w:szCs w:val="22"/>
              </w:rPr>
              <w:t>132 566</w:t>
            </w:r>
          </w:p>
        </w:tc>
      </w:tr>
      <w:tr w:rsidR="005F0C28" w:rsidRPr="00327A61" w:rsidTr="006033C4">
        <w:trPr>
          <w:trHeight w:val="300"/>
        </w:trPr>
        <w:tc>
          <w:tcPr>
            <w:tcW w:w="720" w:type="dxa"/>
            <w:tcBorders>
              <w:top w:val="nil"/>
              <w:left w:val="single" w:sz="4" w:space="0" w:color="auto"/>
              <w:bottom w:val="single" w:sz="4" w:space="0" w:color="auto"/>
              <w:right w:val="single" w:sz="4" w:space="0" w:color="auto"/>
            </w:tcBorders>
            <w:shd w:val="clear" w:color="auto" w:fill="auto"/>
            <w:vAlign w:val="bottom"/>
          </w:tcPr>
          <w:p w:rsidR="005F0C28" w:rsidRPr="00327A61" w:rsidRDefault="005F0C28" w:rsidP="005F0C28">
            <w:pPr>
              <w:jc w:val="center"/>
              <w:rPr>
                <w:szCs w:val="22"/>
              </w:rPr>
            </w:pPr>
            <w:r w:rsidRPr="00327A61">
              <w:rPr>
                <w:szCs w:val="22"/>
              </w:rPr>
              <w:t>3</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5F0C28" w:rsidRPr="00327A61" w:rsidRDefault="005F0C28" w:rsidP="005F0C28">
            <w:pPr>
              <w:rPr>
                <w:szCs w:val="22"/>
              </w:rPr>
            </w:pPr>
            <w:r w:rsidRPr="00327A61">
              <w:rPr>
                <w:szCs w:val="22"/>
              </w:rPr>
              <w:t>"Холлеман България" ООД</w:t>
            </w:r>
          </w:p>
        </w:tc>
        <w:tc>
          <w:tcPr>
            <w:tcW w:w="2340" w:type="dxa"/>
            <w:tcBorders>
              <w:top w:val="nil"/>
              <w:left w:val="nil"/>
              <w:bottom w:val="single" w:sz="4" w:space="0" w:color="auto"/>
              <w:right w:val="single" w:sz="4" w:space="0" w:color="auto"/>
            </w:tcBorders>
            <w:shd w:val="clear" w:color="auto" w:fill="auto"/>
            <w:noWrap/>
            <w:vAlign w:val="bottom"/>
          </w:tcPr>
          <w:p w:rsidR="005F0C28" w:rsidRPr="00327A61" w:rsidRDefault="005F0C28" w:rsidP="005F0C28">
            <w:pPr>
              <w:jc w:val="right"/>
              <w:rPr>
                <w:szCs w:val="22"/>
              </w:rPr>
            </w:pPr>
            <w:r w:rsidRPr="00327A61">
              <w:rPr>
                <w:szCs w:val="22"/>
              </w:rPr>
              <w:t>68 863</w:t>
            </w:r>
          </w:p>
        </w:tc>
      </w:tr>
      <w:tr w:rsidR="005F0C28" w:rsidRPr="00327A61" w:rsidTr="006033C4">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5F0C28" w:rsidRPr="00327A61" w:rsidRDefault="005F0C28" w:rsidP="005F0C28">
            <w:pPr>
              <w:jc w:val="center"/>
              <w:rPr>
                <w:szCs w:val="22"/>
                <w:lang w:val="en-US"/>
              </w:rPr>
            </w:pPr>
            <w:r w:rsidRPr="00327A61">
              <w:rPr>
                <w:szCs w:val="22"/>
                <w:lang w:val="en-US"/>
              </w:rPr>
              <w:t>4</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5F0C28" w:rsidRPr="00327A61" w:rsidRDefault="005F0C28" w:rsidP="005F0C28">
            <w:pPr>
              <w:rPr>
                <w:szCs w:val="22"/>
              </w:rPr>
            </w:pPr>
            <w:r w:rsidRPr="00327A61">
              <w:rPr>
                <w:szCs w:val="22"/>
              </w:rPr>
              <w:t>"Астра биоплант" ЕООД</w:t>
            </w:r>
          </w:p>
        </w:tc>
        <w:tc>
          <w:tcPr>
            <w:tcW w:w="2340" w:type="dxa"/>
            <w:tcBorders>
              <w:top w:val="nil"/>
              <w:left w:val="nil"/>
              <w:bottom w:val="single" w:sz="4" w:space="0" w:color="auto"/>
              <w:right w:val="single" w:sz="4" w:space="0" w:color="auto"/>
            </w:tcBorders>
            <w:shd w:val="clear" w:color="auto" w:fill="auto"/>
            <w:noWrap/>
            <w:vAlign w:val="bottom"/>
          </w:tcPr>
          <w:p w:rsidR="005F0C28" w:rsidRPr="00327A61" w:rsidRDefault="005F0C28" w:rsidP="005F0C28">
            <w:pPr>
              <w:jc w:val="right"/>
              <w:rPr>
                <w:szCs w:val="22"/>
              </w:rPr>
            </w:pPr>
            <w:r w:rsidRPr="00327A61">
              <w:rPr>
                <w:szCs w:val="22"/>
              </w:rPr>
              <w:t>56 624</w:t>
            </w:r>
          </w:p>
        </w:tc>
      </w:tr>
      <w:tr w:rsidR="005F0C28" w:rsidRPr="00327A61" w:rsidTr="006033C4">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5F0C28" w:rsidRPr="00327A61" w:rsidRDefault="005F0C28" w:rsidP="005F0C28">
            <w:pPr>
              <w:jc w:val="center"/>
              <w:rPr>
                <w:szCs w:val="22"/>
                <w:lang w:val="en-US"/>
              </w:rPr>
            </w:pPr>
            <w:r w:rsidRPr="00327A61">
              <w:rPr>
                <w:szCs w:val="22"/>
                <w:lang w:val="en-US"/>
              </w:rPr>
              <w:t>5</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5F0C28" w:rsidRPr="00327A61" w:rsidRDefault="005F0C28" w:rsidP="005F0C28">
            <w:pPr>
              <w:rPr>
                <w:szCs w:val="22"/>
              </w:rPr>
            </w:pPr>
            <w:r w:rsidRPr="00327A61">
              <w:rPr>
                <w:szCs w:val="22"/>
              </w:rPr>
              <w:t>"Октопод - С" ЕООД</w:t>
            </w:r>
          </w:p>
        </w:tc>
        <w:tc>
          <w:tcPr>
            <w:tcW w:w="2340" w:type="dxa"/>
            <w:tcBorders>
              <w:top w:val="nil"/>
              <w:left w:val="nil"/>
              <w:bottom w:val="single" w:sz="4" w:space="0" w:color="auto"/>
              <w:right w:val="single" w:sz="4" w:space="0" w:color="auto"/>
            </w:tcBorders>
            <w:shd w:val="clear" w:color="auto" w:fill="auto"/>
            <w:noWrap/>
            <w:vAlign w:val="bottom"/>
          </w:tcPr>
          <w:p w:rsidR="005F0C28" w:rsidRPr="00327A61" w:rsidRDefault="005F0C28" w:rsidP="005F0C28">
            <w:pPr>
              <w:jc w:val="right"/>
              <w:rPr>
                <w:szCs w:val="22"/>
              </w:rPr>
            </w:pPr>
            <w:r w:rsidRPr="00327A61">
              <w:rPr>
                <w:szCs w:val="22"/>
              </w:rPr>
              <w:t>35 228</w:t>
            </w:r>
          </w:p>
        </w:tc>
      </w:tr>
      <w:tr w:rsidR="005F0C28" w:rsidRPr="00327A61" w:rsidTr="006033C4">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5F0C28" w:rsidRPr="00327A61" w:rsidRDefault="005F0C28" w:rsidP="005F0C28">
            <w:pPr>
              <w:jc w:val="center"/>
              <w:rPr>
                <w:szCs w:val="22"/>
                <w:lang w:val="en-US"/>
              </w:rPr>
            </w:pPr>
            <w:r w:rsidRPr="00327A61">
              <w:rPr>
                <w:szCs w:val="22"/>
                <w:lang w:val="en-US"/>
              </w:rPr>
              <w:t>6</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5F0C28" w:rsidRPr="00327A61" w:rsidRDefault="005F0C28" w:rsidP="005F0C28">
            <w:pPr>
              <w:rPr>
                <w:szCs w:val="22"/>
              </w:rPr>
            </w:pPr>
            <w:r w:rsidRPr="00327A61">
              <w:rPr>
                <w:szCs w:val="22"/>
              </w:rPr>
              <w:t>"Каолин" ЕАД</w:t>
            </w:r>
          </w:p>
        </w:tc>
        <w:tc>
          <w:tcPr>
            <w:tcW w:w="2340" w:type="dxa"/>
            <w:tcBorders>
              <w:top w:val="nil"/>
              <w:left w:val="nil"/>
              <w:bottom w:val="single" w:sz="4" w:space="0" w:color="auto"/>
              <w:right w:val="single" w:sz="4" w:space="0" w:color="auto"/>
            </w:tcBorders>
            <w:shd w:val="clear" w:color="auto" w:fill="auto"/>
            <w:noWrap/>
            <w:vAlign w:val="bottom"/>
          </w:tcPr>
          <w:p w:rsidR="005F0C28" w:rsidRPr="00327A61" w:rsidRDefault="005F0C28" w:rsidP="005F0C28">
            <w:pPr>
              <w:jc w:val="right"/>
              <w:rPr>
                <w:szCs w:val="22"/>
              </w:rPr>
            </w:pPr>
            <w:r w:rsidRPr="00327A61">
              <w:rPr>
                <w:szCs w:val="22"/>
              </w:rPr>
              <w:t>22 286</w:t>
            </w:r>
          </w:p>
        </w:tc>
      </w:tr>
      <w:tr w:rsidR="005F0C28" w:rsidRPr="00327A61" w:rsidTr="006033C4">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5F0C28" w:rsidRPr="00327A61" w:rsidRDefault="005F0C28" w:rsidP="005F0C28">
            <w:pPr>
              <w:jc w:val="center"/>
              <w:rPr>
                <w:szCs w:val="22"/>
                <w:lang w:val="en-US"/>
              </w:rPr>
            </w:pPr>
            <w:r w:rsidRPr="00327A61">
              <w:rPr>
                <w:szCs w:val="22"/>
                <w:lang w:val="en-US"/>
              </w:rPr>
              <w:t>7</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5F0C28" w:rsidRPr="00327A61" w:rsidRDefault="005F0C28" w:rsidP="005F0C28">
            <w:pPr>
              <w:rPr>
                <w:szCs w:val="22"/>
              </w:rPr>
            </w:pPr>
            <w:r w:rsidRPr="00327A61">
              <w:rPr>
                <w:szCs w:val="22"/>
              </w:rPr>
              <w:t>"Хермес Линд" ООД</w:t>
            </w:r>
          </w:p>
        </w:tc>
        <w:tc>
          <w:tcPr>
            <w:tcW w:w="2340" w:type="dxa"/>
            <w:tcBorders>
              <w:top w:val="nil"/>
              <w:left w:val="nil"/>
              <w:bottom w:val="single" w:sz="4" w:space="0" w:color="auto"/>
              <w:right w:val="single" w:sz="4" w:space="0" w:color="auto"/>
            </w:tcBorders>
            <w:shd w:val="clear" w:color="auto" w:fill="auto"/>
            <w:noWrap/>
            <w:vAlign w:val="bottom"/>
          </w:tcPr>
          <w:p w:rsidR="005F0C28" w:rsidRPr="00327A61" w:rsidRDefault="005F0C28" w:rsidP="005F0C28">
            <w:pPr>
              <w:jc w:val="right"/>
              <w:rPr>
                <w:szCs w:val="22"/>
              </w:rPr>
            </w:pPr>
            <w:r w:rsidRPr="00327A61">
              <w:rPr>
                <w:szCs w:val="22"/>
              </w:rPr>
              <w:t>14 655</w:t>
            </w:r>
          </w:p>
        </w:tc>
      </w:tr>
      <w:tr w:rsidR="005F0C28" w:rsidRPr="00327A61" w:rsidTr="006033C4">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5F0C28" w:rsidRPr="00327A61" w:rsidRDefault="005F0C28" w:rsidP="005F0C28">
            <w:pPr>
              <w:jc w:val="center"/>
              <w:rPr>
                <w:szCs w:val="22"/>
                <w:lang w:val="en-US"/>
              </w:rPr>
            </w:pPr>
            <w:r w:rsidRPr="00327A61">
              <w:rPr>
                <w:szCs w:val="22"/>
                <w:lang w:val="en-US"/>
              </w:rPr>
              <w:t>8</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5F0C28" w:rsidRPr="00327A61" w:rsidRDefault="005F0C28" w:rsidP="005F0C28">
            <w:pPr>
              <w:rPr>
                <w:szCs w:val="22"/>
              </w:rPr>
            </w:pPr>
            <w:r w:rsidRPr="00327A61">
              <w:rPr>
                <w:szCs w:val="22"/>
              </w:rPr>
              <w:t>"Полисан" АД</w:t>
            </w:r>
          </w:p>
        </w:tc>
        <w:tc>
          <w:tcPr>
            <w:tcW w:w="2340" w:type="dxa"/>
            <w:tcBorders>
              <w:top w:val="nil"/>
              <w:left w:val="nil"/>
              <w:bottom w:val="single" w:sz="4" w:space="0" w:color="auto"/>
              <w:right w:val="single" w:sz="4" w:space="0" w:color="auto"/>
            </w:tcBorders>
            <w:shd w:val="clear" w:color="auto" w:fill="auto"/>
            <w:noWrap/>
            <w:vAlign w:val="bottom"/>
          </w:tcPr>
          <w:p w:rsidR="005F0C28" w:rsidRPr="00327A61" w:rsidRDefault="005F0C28" w:rsidP="005F0C28">
            <w:pPr>
              <w:jc w:val="right"/>
              <w:rPr>
                <w:szCs w:val="22"/>
              </w:rPr>
            </w:pPr>
            <w:r w:rsidRPr="00327A61">
              <w:rPr>
                <w:szCs w:val="22"/>
              </w:rPr>
              <w:t>14 288</w:t>
            </w:r>
          </w:p>
        </w:tc>
      </w:tr>
      <w:tr w:rsidR="005F0C28" w:rsidRPr="00327A61" w:rsidTr="006033C4">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5F0C28" w:rsidRPr="00327A61" w:rsidRDefault="005F0C28" w:rsidP="005F0C28">
            <w:pPr>
              <w:jc w:val="center"/>
              <w:rPr>
                <w:szCs w:val="22"/>
                <w:lang w:val="ru-RU"/>
              </w:rPr>
            </w:pPr>
            <w:r w:rsidRPr="00327A61">
              <w:rPr>
                <w:szCs w:val="22"/>
                <w:lang w:val="ru-RU"/>
              </w:rPr>
              <w:t>9</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5F0C28" w:rsidRPr="00327A61" w:rsidRDefault="005F0C28" w:rsidP="005F0C28">
            <w:pPr>
              <w:rPr>
                <w:szCs w:val="22"/>
              </w:rPr>
            </w:pPr>
            <w:r w:rsidRPr="00327A61">
              <w:rPr>
                <w:szCs w:val="22"/>
              </w:rPr>
              <w:t>"Деспред" АД - клон Русе</w:t>
            </w:r>
          </w:p>
        </w:tc>
        <w:tc>
          <w:tcPr>
            <w:tcW w:w="2340" w:type="dxa"/>
            <w:tcBorders>
              <w:top w:val="nil"/>
              <w:left w:val="nil"/>
              <w:bottom w:val="single" w:sz="4" w:space="0" w:color="auto"/>
              <w:right w:val="single" w:sz="4" w:space="0" w:color="auto"/>
            </w:tcBorders>
            <w:shd w:val="clear" w:color="auto" w:fill="auto"/>
            <w:noWrap/>
            <w:vAlign w:val="bottom"/>
          </w:tcPr>
          <w:p w:rsidR="005F0C28" w:rsidRPr="00327A61" w:rsidRDefault="005F0C28" w:rsidP="005F0C28">
            <w:pPr>
              <w:jc w:val="right"/>
              <w:rPr>
                <w:szCs w:val="22"/>
              </w:rPr>
            </w:pPr>
            <w:r w:rsidRPr="00327A61">
              <w:rPr>
                <w:szCs w:val="22"/>
              </w:rPr>
              <w:t>13 960</w:t>
            </w:r>
          </w:p>
        </w:tc>
      </w:tr>
      <w:tr w:rsidR="005F0C28" w:rsidRPr="00327A61" w:rsidTr="006033C4">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5F0C28" w:rsidRPr="00327A61" w:rsidRDefault="005F0C28" w:rsidP="005F0C28">
            <w:pPr>
              <w:jc w:val="center"/>
              <w:rPr>
                <w:szCs w:val="22"/>
                <w:lang w:val="ru-RU"/>
              </w:rPr>
            </w:pPr>
            <w:r w:rsidRPr="00327A61">
              <w:rPr>
                <w:szCs w:val="22"/>
                <w:lang w:val="ru-RU"/>
              </w:rPr>
              <w:t>10</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5F0C28" w:rsidRPr="00327A61" w:rsidRDefault="005F0C28" w:rsidP="005F0C28">
            <w:pPr>
              <w:rPr>
                <w:szCs w:val="22"/>
              </w:rPr>
            </w:pPr>
            <w:r w:rsidRPr="00327A61">
              <w:rPr>
                <w:szCs w:val="22"/>
              </w:rPr>
              <w:t>"Стийлимпекс" ООД</w:t>
            </w:r>
          </w:p>
        </w:tc>
        <w:tc>
          <w:tcPr>
            <w:tcW w:w="2340" w:type="dxa"/>
            <w:tcBorders>
              <w:top w:val="nil"/>
              <w:left w:val="nil"/>
              <w:bottom w:val="single" w:sz="4" w:space="0" w:color="auto"/>
              <w:right w:val="single" w:sz="4" w:space="0" w:color="auto"/>
            </w:tcBorders>
            <w:shd w:val="clear" w:color="auto" w:fill="auto"/>
            <w:noWrap/>
            <w:vAlign w:val="bottom"/>
          </w:tcPr>
          <w:p w:rsidR="005F0C28" w:rsidRPr="00327A61" w:rsidRDefault="005F0C28" w:rsidP="005F0C28">
            <w:pPr>
              <w:jc w:val="right"/>
              <w:rPr>
                <w:szCs w:val="22"/>
              </w:rPr>
            </w:pPr>
            <w:r w:rsidRPr="00327A61">
              <w:rPr>
                <w:szCs w:val="22"/>
              </w:rPr>
              <w:t>13 530</w:t>
            </w:r>
          </w:p>
        </w:tc>
      </w:tr>
      <w:tr w:rsidR="005F0C28" w:rsidRPr="00327A61" w:rsidTr="006033C4">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5F0C28" w:rsidRPr="00327A61" w:rsidRDefault="005F0C28" w:rsidP="005F0C28">
            <w:pPr>
              <w:jc w:val="center"/>
              <w:rPr>
                <w:szCs w:val="22"/>
                <w:lang w:val="ru-RU"/>
              </w:rPr>
            </w:pPr>
            <w:r w:rsidRPr="00327A61">
              <w:rPr>
                <w:szCs w:val="22"/>
                <w:lang w:val="ru-RU"/>
              </w:rPr>
              <w:t>11</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5F0C28" w:rsidRPr="00327A61" w:rsidRDefault="005F0C28" w:rsidP="005F0C28">
            <w:pPr>
              <w:rPr>
                <w:szCs w:val="22"/>
              </w:rPr>
            </w:pPr>
            <w:r w:rsidRPr="00327A61">
              <w:rPr>
                <w:szCs w:val="22"/>
              </w:rPr>
              <w:t>"ПИМК" ООД</w:t>
            </w:r>
          </w:p>
        </w:tc>
        <w:tc>
          <w:tcPr>
            <w:tcW w:w="2340" w:type="dxa"/>
            <w:tcBorders>
              <w:top w:val="nil"/>
              <w:left w:val="nil"/>
              <w:bottom w:val="single" w:sz="4" w:space="0" w:color="auto"/>
              <w:right w:val="single" w:sz="4" w:space="0" w:color="auto"/>
            </w:tcBorders>
            <w:shd w:val="clear" w:color="auto" w:fill="auto"/>
            <w:noWrap/>
            <w:vAlign w:val="bottom"/>
          </w:tcPr>
          <w:p w:rsidR="005F0C28" w:rsidRPr="00327A61" w:rsidRDefault="005F0C28" w:rsidP="005F0C28">
            <w:pPr>
              <w:jc w:val="right"/>
              <w:rPr>
                <w:szCs w:val="22"/>
              </w:rPr>
            </w:pPr>
            <w:r w:rsidRPr="00327A61">
              <w:rPr>
                <w:szCs w:val="22"/>
              </w:rPr>
              <w:t>11 592</w:t>
            </w:r>
          </w:p>
        </w:tc>
      </w:tr>
      <w:tr w:rsidR="005F0C28" w:rsidRPr="00327A61" w:rsidTr="006033C4">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5F0C28" w:rsidRPr="00327A61" w:rsidRDefault="005F0C28" w:rsidP="005F0C28">
            <w:pPr>
              <w:jc w:val="center"/>
              <w:rPr>
                <w:szCs w:val="22"/>
                <w:lang w:val="ru-RU"/>
              </w:rPr>
            </w:pPr>
            <w:r w:rsidRPr="00327A61">
              <w:rPr>
                <w:szCs w:val="22"/>
                <w:lang w:val="ru-RU"/>
              </w:rPr>
              <w:t>12</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5F0C28" w:rsidRPr="00327A61" w:rsidRDefault="005F0C28" w:rsidP="005F0C28">
            <w:pPr>
              <w:rPr>
                <w:szCs w:val="22"/>
              </w:rPr>
            </w:pPr>
            <w:r w:rsidRPr="00327A61">
              <w:rPr>
                <w:szCs w:val="22"/>
              </w:rPr>
              <w:t>ЕТ "Любомир Стоянов - Автоман"</w:t>
            </w:r>
          </w:p>
        </w:tc>
        <w:tc>
          <w:tcPr>
            <w:tcW w:w="2340" w:type="dxa"/>
            <w:tcBorders>
              <w:top w:val="nil"/>
              <w:left w:val="nil"/>
              <w:bottom w:val="single" w:sz="4" w:space="0" w:color="auto"/>
              <w:right w:val="single" w:sz="4" w:space="0" w:color="auto"/>
            </w:tcBorders>
            <w:shd w:val="clear" w:color="auto" w:fill="auto"/>
            <w:noWrap/>
            <w:vAlign w:val="bottom"/>
          </w:tcPr>
          <w:p w:rsidR="005F0C28" w:rsidRPr="00327A61" w:rsidRDefault="005F0C28" w:rsidP="005F0C28">
            <w:pPr>
              <w:jc w:val="right"/>
              <w:rPr>
                <w:szCs w:val="22"/>
              </w:rPr>
            </w:pPr>
            <w:r w:rsidRPr="00327A61">
              <w:rPr>
                <w:szCs w:val="22"/>
              </w:rPr>
              <w:t>10 697</w:t>
            </w:r>
          </w:p>
        </w:tc>
      </w:tr>
      <w:tr w:rsidR="00391DB4" w:rsidRPr="00327A61">
        <w:trPr>
          <w:trHeight w:val="300"/>
        </w:trPr>
        <w:tc>
          <w:tcPr>
            <w:tcW w:w="720" w:type="dxa"/>
            <w:tcBorders>
              <w:top w:val="single" w:sz="4" w:space="0" w:color="auto"/>
              <w:left w:val="single" w:sz="4" w:space="0" w:color="auto"/>
              <w:bottom w:val="single" w:sz="4" w:space="0" w:color="auto"/>
              <w:right w:val="single" w:sz="4" w:space="0" w:color="auto"/>
            </w:tcBorders>
          </w:tcPr>
          <w:p w:rsidR="00391DB4" w:rsidRPr="00327A61" w:rsidRDefault="00391DB4" w:rsidP="00391DB4">
            <w:pPr>
              <w:jc w:val="center"/>
              <w:rPr>
                <w:szCs w:val="21"/>
                <w:lang w:val="en-US"/>
              </w:rPr>
            </w:pPr>
          </w:p>
        </w:tc>
        <w:tc>
          <w:tcPr>
            <w:tcW w:w="4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91DB4" w:rsidRPr="00327A61" w:rsidRDefault="00391DB4" w:rsidP="00391DB4">
            <w:pPr>
              <w:rPr>
                <w:szCs w:val="22"/>
              </w:rPr>
            </w:pPr>
            <w:r w:rsidRPr="00327A61">
              <w:rPr>
                <w:b/>
                <w:bCs/>
                <w:szCs w:val="22"/>
              </w:rPr>
              <w:t>Обща сума ПК</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91DB4" w:rsidRPr="00327A61" w:rsidRDefault="005F0C28" w:rsidP="00391DB4">
            <w:pPr>
              <w:jc w:val="right"/>
              <w:rPr>
                <w:szCs w:val="21"/>
              </w:rPr>
            </w:pPr>
            <w:r w:rsidRPr="00327A61">
              <w:rPr>
                <w:b/>
                <w:bCs/>
                <w:szCs w:val="22"/>
              </w:rPr>
              <w:t>630 609</w:t>
            </w:r>
          </w:p>
        </w:tc>
      </w:tr>
    </w:tbl>
    <w:p w:rsidR="007006B6" w:rsidRPr="00327A61" w:rsidRDefault="001E1227" w:rsidP="0083758C">
      <w:pPr>
        <w:pStyle w:val="Heading3"/>
        <w:spacing w:before="120" w:after="120"/>
        <w:ind w:left="720"/>
        <w:jc w:val="left"/>
        <w:rPr>
          <w:rFonts w:ascii="Times New Roman" w:hAnsi="Times New Roman"/>
        </w:rPr>
      </w:pPr>
      <w:bookmarkStart w:id="62" w:name="_Toc288478122"/>
      <w:bookmarkStart w:id="63" w:name="_Toc477959780"/>
      <w:r w:rsidRPr="00327A61">
        <w:rPr>
          <w:rFonts w:ascii="Times New Roman" w:hAnsi="Times New Roman"/>
        </w:rPr>
        <w:lastRenderedPageBreak/>
        <w:t xml:space="preserve">6.3. </w:t>
      </w:r>
      <w:r w:rsidR="00B73F29" w:rsidRPr="00327A61">
        <w:rPr>
          <w:rFonts w:ascii="Times New Roman" w:hAnsi="Times New Roman"/>
        </w:rPr>
        <w:t>Пасив</w:t>
      </w:r>
      <w:bookmarkEnd w:id="62"/>
      <w:bookmarkEnd w:id="63"/>
    </w:p>
    <w:p w:rsidR="00E40745" w:rsidRPr="00327A61" w:rsidRDefault="00E40745" w:rsidP="002D0952">
      <w:pPr>
        <w:pStyle w:val="BodyText"/>
        <w:ind w:firstLine="720"/>
      </w:pPr>
      <w:r w:rsidRPr="00327A61">
        <w:rPr>
          <w:b/>
        </w:rPr>
        <w:t>Основният капитал</w:t>
      </w:r>
      <w:r w:rsidRPr="00327A61">
        <w:rPr>
          <w:bCs/>
        </w:rPr>
        <w:t xml:space="preserve"> на дружеството </w:t>
      </w:r>
      <w:r w:rsidRPr="00327A61">
        <w:t>към 31.12.201</w:t>
      </w:r>
      <w:r w:rsidR="00381343" w:rsidRPr="00327A61">
        <w:t>7</w:t>
      </w:r>
      <w:r w:rsidRPr="00327A61">
        <w:t xml:space="preserve"> г. е в размер на 2 662 хил.лв. (без изменение спрямо 20</w:t>
      </w:r>
      <w:r w:rsidR="006A543D" w:rsidRPr="00327A61">
        <w:t>1</w:t>
      </w:r>
      <w:r w:rsidR="00381343" w:rsidRPr="00327A61">
        <w:t>6</w:t>
      </w:r>
      <w:r w:rsidR="00136E64" w:rsidRPr="00327A61">
        <w:t xml:space="preserve"> </w:t>
      </w:r>
      <w:r w:rsidRPr="00327A61">
        <w:t xml:space="preserve">г.). </w:t>
      </w:r>
    </w:p>
    <w:p w:rsidR="00927262" w:rsidRPr="00327A61" w:rsidRDefault="00743555" w:rsidP="00815E77">
      <w:pPr>
        <w:keepNext/>
        <w:widowControl w:val="0"/>
        <w:ind w:firstLine="720"/>
        <w:jc w:val="both"/>
      </w:pPr>
      <w:r w:rsidRPr="00327A61">
        <w:t>Капиталовата структура на “Пристанищен комплекс–Русе”</w:t>
      </w:r>
      <w:r w:rsidR="00711C9D" w:rsidRPr="00327A61">
        <w:t xml:space="preserve"> </w:t>
      </w:r>
      <w:r w:rsidRPr="00327A61">
        <w:t xml:space="preserve">ЕАД </w:t>
      </w:r>
      <w:r w:rsidR="001D0913" w:rsidRPr="00327A61">
        <w:t>към 31.12.</w:t>
      </w:r>
      <w:r w:rsidRPr="00327A61">
        <w:t>20</w:t>
      </w:r>
      <w:r w:rsidR="00024927" w:rsidRPr="00327A61">
        <w:t>1</w:t>
      </w:r>
      <w:r w:rsidR="00381343" w:rsidRPr="00327A61">
        <w:t>7</w:t>
      </w:r>
      <w:r w:rsidRPr="00327A61">
        <w:t>г</w:t>
      </w:r>
      <w:r w:rsidR="001E1227" w:rsidRPr="00327A61">
        <w:t>.</w:t>
      </w:r>
      <w:r w:rsidRPr="00327A61">
        <w:t xml:space="preserve"> е следната:</w:t>
      </w:r>
    </w:p>
    <w:bookmarkStart w:id="64" w:name="_MON_1360411786"/>
    <w:bookmarkStart w:id="65" w:name="_MON_1360411828"/>
    <w:bookmarkStart w:id="66" w:name="_MON_1360411857"/>
    <w:bookmarkStart w:id="67" w:name="_MON_1360411885"/>
    <w:bookmarkStart w:id="68" w:name="_MON_1360411894"/>
    <w:bookmarkStart w:id="69" w:name="_MON_1360411918"/>
    <w:bookmarkStart w:id="70" w:name="_MON_1360412114"/>
    <w:bookmarkStart w:id="71" w:name="_MON_1360412418"/>
    <w:bookmarkStart w:id="72" w:name="_MON_1361013356"/>
    <w:bookmarkStart w:id="73" w:name="_MON_1361270596"/>
    <w:bookmarkStart w:id="74" w:name="_MON_1361281303"/>
    <w:bookmarkStart w:id="75" w:name="_MON_1361781196"/>
    <w:bookmarkStart w:id="76" w:name="_MON_1361871107"/>
    <w:bookmarkStart w:id="77" w:name="_MON_1361871139"/>
    <w:bookmarkStart w:id="78" w:name="_MON_1361871160"/>
    <w:bookmarkStart w:id="79" w:name="_MON_1361871186"/>
    <w:bookmarkStart w:id="80" w:name="_MON_1390286928"/>
    <w:bookmarkStart w:id="81" w:name="_MON_1390287202"/>
    <w:bookmarkStart w:id="82" w:name="_MON_1390637599"/>
    <w:bookmarkStart w:id="83" w:name="_MON_1390638746"/>
    <w:bookmarkStart w:id="84" w:name="_MON_1390639122"/>
    <w:bookmarkStart w:id="85" w:name="_MON_1391256171"/>
    <w:bookmarkStart w:id="86" w:name="_MON_1391422731"/>
    <w:bookmarkStart w:id="87" w:name="_MON_1392189655"/>
    <w:bookmarkStart w:id="88" w:name="_MON_1421045163"/>
    <w:bookmarkStart w:id="89" w:name="_MON_1421235778"/>
    <w:bookmarkStart w:id="90" w:name="_MON_1421743675"/>
    <w:bookmarkStart w:id="91" w:name="_MON_1421743981"/>
    <w:bookmarkStart w:id="92" w:name="_MON_1421744528"/>
    <w:bookmarkStart w:id="93" w:name="_MON_1329825784"/>
    <w:bookmarkStart w:id="94" w:name="_MON_1358755226"/>
    <w:bookmarkStart w:id="95" w:name="_MON_1358760673"/>
    <w:bookmarkStart w:id="96" w:name="_MON_1358838780"/>
    <w:bookmarkStart w:id="97" w:name="_MON_1359977982"/>
    <w:bookmarkStart w:id="98" w:name="_MON_1359978118"/>
    <w:bookmarkStart w:id="99" w:name="_MON_1360410981"/>
    <w:bookmarkStart w:id="100" w:name="_MON_1360411272"/>
    <w:bookmarkStart w:id="101" w:name="_MON_1360411318"/>
    <w:bookmarkStart w:id="102" w:name="_MON_1360411662"/>
    <w:bookmarkStart w:id="103" w:name="_MON_1360411673"/>
    <w:bookmarkStart w:id="104" w:name="_MON_1360411698"/>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Start w:id="105" w:name="_MON_1360411759"/>
    <w:bookmarkEnd w:id="105"/>
    <w:p w:rsidR="00743555" w:rsidRPr="00327A61" w:rsidRDefault="00D17BBE" w:rsidP="00381343">
      <w:pPr>
        <w:keepNext/>
        <w:widowControl w:val="0"/>
        <w:jc w:val="center"/>
      </w:pPr>
      <w:r w:rsidRPr="00327A61">
        <w:rPr>
          <w:sz w:val="26"/>
          <w:szCs w:val="26"/>
        </w:rPr>
        <w:object w:dxaOrig="9435" w:dyaOrig="7076">
          <v:shape id="_x0000_i1026" type="#_x0000_t75" style="width:474.75pt;height:381.75pt" o:ole="">
            <v:imagedata r:id="rId22" o:title=""/>
          </v:shape>
          <o:OLEObject Type="Embed" ProgID="Excel.Sheet.8" ShapeID="_x0000_i1026" DrawAspect="Content" ObjectID="_1586352244" r:id="rId23"/>
        </w:object>
      </w:r>
    </w:p>
    <w:p w:rsidR="00743555" w:rsidRPr="00327A61" w:rsidRDefault="00743555" w:rsidP="00743555">
      <w:pPr>
        <w:rPr>
          <w:lang w:val="en-US"/>
        </w:rPr>
      </w:pPr>
    </w:p>
    <w:p w:rsidR="00811E0E" w:rsidRPr="00327A61" w:rsidRDefault="00811E0E" w:rsidP="00811E0E">
      <w:pPr>
        <w:spacing w:after="120"/>
        <w:ind w:firstLine="706"/>
        <w:jc w:val="both"/>
        <w:rPr>
          <w:rFonts w:eastAsia="Times New Roman"/>
          <w:lang w:eastAsia="bg-BG"/>
        </w:rPr>
      </w:pPr>
      <w:bookmarkStart w:id="106" w:name="_Hlk507056717"/>
      <w:bookmarkStart w:id="107" w:name="_Toc288478123"/>
      <w:r w:rsidRPr="0043227D">
        <w:rPr>
          <w:rFonts w:eastAsia="Times New Roman"/>
          <w:lang w:eastAsia="bg-BG"/>
        </w:rPr>
        <w:t>Краткосрочните задължения на дружеството са текущи и се погасяват в предвидените срокове. Към края на отчетния период те възлизат на 64 % от стойността на Пасива и  100 % от Краткосрочните пасиви в баланса на дружеството. В сравнение с края на 201</w:t>
      </w:r>
      <w:r w:rsidR="00590ED7" w:rsidRPr="0043227D">
        <w:rPr>
          <w:rFonts w:eastAsia="Times New Roman"/>
          <w:lang w:eastAsia="bg-BG"/>
        </w:rPr>
        <w:t>6</w:t>
      </w:r>
      <w:r w:rsidRPr="0043227D">
        <w:rPr>
          <w:rFonts w:eastAsia="Times New Roman"/>
          <w:lang w:eastAsia="bg-BG"/>
        </w:rPr>
        <w:t xml:space="preserve">г. краткосрочните задължения на дружеството </w:t>
      </w:r>
      <w:r w:rsidR="00590ED7" w:rsidRPr="0043227D">
        <w:rPr>
          <w:rFonts w:eastAsia="Times New Roman"/>
          <w:lang w:eastAsia="bg-BG"/>
        </w:rPr>
        <w:t>намаляват</w:t>
      </w:r>
      <w:r w:rsidRPr="0043227D">
        <w:rPr>
          <w:rFonts w:eastAsia="Times New Roman"/>
          <w:lang w:eastAsia="bg-BG"/>
        </w:rPr>
        <w:t xml:space="preserve"> с </w:t>
      </w:r>
      <w:r w:rsidR="00590ED7" w:rsidRPr="0043227D">
        <w:rPr>
          <w:rFonts w:eastAsia="Times New Roman"/>
          <w:lang w:eastAsia="bg-BG"/>
        </w:rPr>
        <w:t>-66</w:t>
      </w:r>
      <w:r w:rsidRPr="0043227D">
        <w:rPr>
          <w:rFonts w:eastAsia="Times New Roman"/>
          <w:lang w:eastAsia="bg-BG"/>
        </w:rPr>
        <w:t xml:space="preserve"> хил.лв. (</w:t>
      </w:r>
      <w:r w:rsidR="00590ED7" w:rsidRPr="0043227D">
        <w:rPr>
          <w:rFonts w:eastAsia="Times New Roman"/>
          <w:lang w:eastAsia="bg-BG"/>
        </w:rPr>
        <w:t>-9</w:t>
      </w:r>
      <w:r w:rsidRPr="0043227D">
        <w:rPr>
          <w:rFonts w:eastAsia="Times New Roman"/>
          <w:lang w:eastAsia="bg-BG"/>
        </w:rPr>
        <w:t xml:space="preserve"> %). </w:t>
      </w:r>
      <w:r w:rsidR="00590ED7" w:rsidRPr="0043227D">
        <w:rPr>
          <w:rFonts w:eastAsia="Times New Roman"/>
          <w:lang w:eastAsia="bg-BG"/>
        </w:rPr>
        <w:t>Като това се дължи най-вече на редуцираните з</w:t>
      </w:r>
      <w:r w:rsidRPr="0043227D">
        <w:rPr>
          <w:rFonts w:eastAsia="Times New Roman"/>
          <w:lang w:eastAsia="bg-BG"/>
        </w:rPr>
        <w:t>адълженията към доставчици към края на годината</w:t>
      </w:r>
      <w:r w:rsidR="00711C9D" w:rsidRPr="0043227D">
        <w:rPr>
          <w:rFonts w:eastAsia="Times New Roman"/>
          <w:lang w:eastAsia="bg-BG"/>
        </w:rPr>
        <w:t>, които</w:t>
      </w:r>
      <w:r w:rsidRPr="0043227D">
        <w:rPr>
          <w:rFonts w:eastAsia="Times New Roman"/>
          <w:lang w:eastAsia="bg-BG"/>
        </w:rPr>
        <w:t xml:space="preserve"> на</w:t>
      </w:r>
      <w:r w:rsidR="00590ED7" w:rsidRPr="0043227D">
        <w:rPr>
          <w:rFonts w:eastAsia="Times New Roman"/>
          <w:lang w:eastAsia="bg-BG"/>
        </w:rPr>
        <w:t>маляват</w:t>
      </w:r>
      <w:r w:rsidRPr="0043227D">
        <w:rPr>
          <w:rFonts w:eastAsia="Times New Roman"/>
          <w:lang w:eastAsia="bg-BG"/>
        </w:rPr>
        <w:t xml:space="preserve"> със </w:t>
      </w:r>
      <w:r w:rsidR="00711C9D" w:rsidRPr="0043227D">
        <w:rPr>
          <w:rFonts w:eastAsia="Times New Roman"/>
          <w:lang w:eastAsia="bg-BG"/>
        </w:rPr>
        <w:t>-</w:t>
      </w:r>
      <w:r w:rsidR="00590ED7" w:rsidRPr="0043227D">
        <w:rPr>
          <w:rFonts w:eastAsia="Times New Roman"/>
          <w:lang w:eastAsia="bg-BG"/>
        </w:rPr>
        <w:t xml:space="preserve">61 </w:t>
      </w:r>
      <w:r w:rsidRPr="0043227D">
        <w:rPr>
          <w:rFonts w:eastAsia="Times New Roman"/>
          <w:lang w:eastAsia="bg-BG"/>
        </w:rPr>
        <w:t>хил.лв. спрямо края на 201</w:t>
      </w:r>
      <w:r w:rsidR="00590ED7" w:rsidRPr="0043227D">
        <w:rPr>
          <w:rFonts w:eastAsia="Times New Roman"/>
          <w:lang w:eastAsia="bg-BG"/>
        </w:rPr>
        <w:t>6</w:t>
      </w:r>
      <w:r w:rsidRPr="0043227D">
        <w:rPr>
          <w:rFonts w:eastAsia="Times New Roman"/>
          <w:lang w:eastAsia="bg-BG"/>
        </w:rPr>
        <w:t>г</w:t>
      </w:r>
      <w:bookmarkEnd w:id="106"/>
      <w:r w:rsidR="00590ED7" w:rsidRPr="0043227D">
        <w:rPr>
          <w:rFonts w:eastAsia="Times New Roman"/>
          <w:lang w:eastAsia="bg-BG"/>
        </w:rPr>
        <w:t xml:space="preserve">. </w:t>
      </w:r>
      <w:bookmarkStart w:id="108" w:name="_Hlk507056749"/>
      <w:r w:rsidRPr="0043227D">
        <w:rPr>
          <w:rFonts w:eastAsia="Times New Roman"/>
          <w:lang w:eastAsia="bg-BG"/>
        </w:rPr>
        <w:t xml:space="preserve">Задълженията към персонала спадат с </w:t>
      </w:r>
      <w:r w:rsidR="00711C9D" w:rsidRPr="0043227D">
        <w:rPr>
          <w:rFonts w:eastAsia="Times New Roman"/>
          <w:lang w:eastAsia="bg-BG"/>
        </w:rPr>
        <w:t>-</w:t>
      </w:r>
      <w:r w:rsidR="007A3330" w:rsidRPr="0043227D">
        <w:rPr>
          <w:rFonts w:eastAsia="Times New Roman"/>
          <w:lang w:eastAsia="bg-BG"/>
        </w:rPr>
        <w:t>3</w:t>
      </w:r>
      <w:r w:rsidRPr="0043227D">
        <w:rPr>
          <w:rFonts w:eastAsia="Times New Roman"/>
          <w:lang w:eastAsia="bg-BG"/>
        </w:rPr>
        <w:t xml:space="preserve"> хил. лв. и са съобразени с нормативните изисквания. И през 201</w:t>
      </w:r>
      <w:r w:rsidR="00711C9D" w:rsidRPr="0043227D">
        <w:rPr>
          <w:rFonts w:eastAsia="Times New Roman"/>
          <w:lang w:eastAsia="bg-BG"/>
        </w:rPr>
        <w:t>7</w:t>
      </w:r>
      <w:r w:rsidRPr="0043227D">
        <w:rPr>
          <w:rFonts w:eastAsia="Times New Roman"/>
          <w:lang w:eastAsia="bg-BG"/>
        </w:rPr>
        <w:t>г. дружеството продължава да спазва задълженията към бюджета и държавното обществено осигуряване. Към края на годината те са с 8 хил.лв. повече спрямо 31.12.201</w:t>
      </w:r>
      <w:r w:rsidR="007A3330" w:rsidRPr="0043227D">
        <w:rPr>
          <w:rFonts w:eastAsia="Times New Roman"/>
          <w:lang w:eastAsia="bg-BG"/>
        </w:rPr>
        <w:t>6</w:t>
      </w:r>
      <w:r w:rsidRPr="0043227D">
        <w:rPr>
          <w:rFonts w:eastAsia="Times New Roman"/>
          <w:lang w:eastAsia="bg-BG"/>
        </w:rPr>
        <w:t>г. Дружеството внася в определените срокове дължимите данъци по ЗКПО, ЗДДС, данъците и таксите по ЗМДТ, данъците по ЗДДФЛ, вноските за социално и здравно осигуряване, изготвя и представя в необходимите срокове справки-декларации съгласно действащото законодателство. Другите краткосрочни задължения на дружеството в края на 201</w:t>
      </w:r>
      <w:r w:rsidR="007A3330" w:rsidRPr="0043227D">
        <w:rPr>
          <w:rFonts w:eastAsia="Times New Roman"/>
          <w:lang w:eastAsia="bg-BG"/>
        </w:rPr>
        <w:t>7</w:t>
      </w:r>
      <w:r w:rsidRPr="0043227D">
        <w:rPr>
          <w:rFonts w:eastAsia="Times New Roman"/>
          <w:lang w:eastAsia="bg-BG"/>
        </w:rPr>
        <w:t xml:space="preserve">г. </w:t>
      </w:r>
      <w:r w:rsidR="007A3330" w:rsidRPr="0043227D">
        <w:rPr>
          <w:rFonts w:eastAsia="Times New Roman"/>
          <w:lang w:eastAsia="bg-BG"/>
        </w:rPr>
        <w:t>също намаляват</w:t>
      </w:r>
      <w:r w:rsidRPr="0043227D">
        <w:rPr>
          <w:rFonts w:eastAsia="Times New Roman"/>
          <w:lang w:eastAsia="bg-BG"/>
        </w:rPr>
        <w:t xml:space="preserve"> с </w:t>
      </w:r>
      <w:r w:rsidR="007A3330" w:rsidRPr="0043227D">
        <w:rPr>
          <w:rFonts w:eastAsia="Times New Roman"/>
          <w:lang w:eastAsia="bg-BG"/>
        </w:rPr>
        <w:t>10</w:t>
      </w:r>
      <w:r w:rsidRPr="0043227D">
        <w:rPr>
          <w:rFonts w:eastAsia="Times New Roman"/>
          <w:lang w:eastAsia="bg-BG"/>
        </w:rPr>
        <w:t xml:space="preserve"> хил. лв. спрямо 31.12.201</w:t>
      </w:r>
      <w:r w:rsidR="007A3330" w:rsidRPr="0043227D">
        <w:rPr>
          <w:rFonts w:eastAsia="Times New Roman"/>
          <w:lang w:eastAsia="bg-BG"/>
        </w:rPr>
        <w:t>6</w:t>
      </w:r>
      <w:r w:rsidRPr="0043227D">
        <w:rPr>
          <w:rFonts w:eastAsia="Times New Roman"/>
          <w:lang w:eastAsia="bg-BG"/>
        </w:rPr>
        <w:t>г</w:t>
      </w:r>
      <w:bookmarkEnd w:id="108"/>
      <w:r w:rsidRPr="00327A61">
        <w:rPr>
          <w:rFonts w:eastAsia="Times New Roman"/>
          <w:lang w:eastAsia="bg-BG"/>
        </w:rPr>
        <w:t>.</w:t>
      </w:r>
    </w:p>
    <w:p w:rsidR="00B9618A" w:rsidRPr="00327A61" w:rsidRDefault="00711C9D" w:rsidP="000F6A6A">
      <w:pPr>
        <w:pStyle w:val="Heading3"/>
        <w:spacing w:before="240" w:after="120"/>
        <w:ind w:left="720"/>
        <w:jc w:val="left"/>
        <w:rPr>
          <w:rFonts w:ascii="Times New Roman" w:hAnsi="Times New Roman"/>
        </w:rPr>
      </w:pPr>
      <w:bookmarkStart w:id="109" w:name="_Toc477959781"/>
      <w:r w:rsidRPr="00327A61">
        <w:rPr>
          <w:rFonts w:ascii="Times New Roman" w:hAnsi="Times New Roman"/>
        </w:rPr>
        <w:lastRenderedPageBreak/>
        <w:t xml:space="preserve">6.4. </w:t>
      </w:r>
      <w:r w:rsidR="00B9618A" w:rsidRPr="00327A61">
        <w:rPr>
          <w:rFonts w:ascii="Times New Roman" w:hAnsi="Times New Roman"/>
        </w:rPr>
        <w:t>По-големи задължения към клиенти и доставчици</w:t>
      </w:r>
      <w:bookmarkEnd w:id="107"/>
      <w:bookmarkEnd w:id="109"/>
    </w:p>
    <w:p w:rsidR="00FB51BF" w:rsidRPr="00327A61" w:rsidRDefault="006F77AE" w:rsidP="001D1196">
      <w:pPr>
        <w:spacing w:after="240"/>
        <w:ind w:firstLine="709"/>
        <w:jc w:val="both"/>
        <w:rPr>
          <w:i/>
          <w:u w:val="single"/>
        </w:rPr>
      </w:pPr>
      <w:r w:rsidRPr="00327A61">
        <w:rPr>
          <w:i/>
          <w:u w:val="single"/>
        </w:rPr>
        <w:t xml:space="preserve"> </w:t>
      </w:r>
      <w:r w:rsidR="00256E68" w:rsidRPr="00327A61">
        <w:rPr>
          <w:i/>
          <w:u w:val="single"/>
        </w:rPr>
        <w:t>За</w:t>
      </w:r>
      <w:r w:rsidR="00645CEE" w:rsidRPr="00327A61">
        <w:rPr>
          <w:i/>
          <w:u w:val="single"/>
        </w:rPr>
        <w:t xml:space="preserve"> 20</w:t>
      </w:r>
      <w:r w:rsidR="005A1ECC" w:rsidRPr="00327A61">
        <w:rPr>
          <w:i/>
          <w:u w:val="single"/>
        </w:rPr>
        <w:t>1</w:t>
      </w:r>
      <w:r w:rsidR="00381343" w:rsidRPr="00327A61">
        <w:rPr>
          <w:i/>
          <w:u w:val="single"/>
        </w:rPr>
        <w:t>7</w:t>
      </w:r>
      <w:r w:rsidR="00645CEE" w:rsidRPr="00327A61">
        <w:rPr>
          <w:i/>
          <w:u w:val="single"/>
        </w:rPr>
        <w:t xml:space="preserve">г. </w:t>
      </w:r>
      <w:r w:rsidR="00D66326" w:rsidRPr="00327A61">
        <w:rPr>
          <w:i/>
          <w:u w:val="single"/>
        </w:rPr>
        <w:t xml:space="preserve">“Пристанищен комплекс – Русе” ЕАД </w:t>
      </w:r>
      <w:r w:rsidR="004B7CB5" w:rsidRPr="00327A61">
        <w:rPr>
          <w:b/>
          <w:i/>
          <w:u w:val="single"/>
        </w:rPr>
        <w:t>няма просрочени плащания</w:t>
      </w:r>
      <w:r w:rsidR="004B7CB5" w:rsidRPr="00327A61">
        <w:rPr>
          <w:i/>
          <w:u w:val="single"/>
        </w:rPr>
        <w:t xml:space="preserve"> към държавата, персонала или доставчиците си и погасява задълженията си в договорените или нормативно определени срокове.</w:t>
      </w:r>
    </w:p>
    <w:tbl>
      <w:tblPr>
        <w:tblW w:w="9757" w:type="dxa"/>
        <w:jc w:val="center"/>
        <w:tblCellMar>
          <w:left w:w="70" w:type="dxa"/>
          <w:right w:w="70" w:type="dxa"/>
        </w:tblCellMar>
        <w:tblLook w:val="0000" w:firstRow="0" w:lastRow="0" w:firstColumn="0" w:lastColumn="0" w:noHBand="0" w:noVBand="0"/>
      </w:tblPr>
      <w:tblGrid>
        <w:gridCol w:w="389"/>
        <w:gridCol w:w="3590"/>
        <w:gridCol w:w="1260"/>
        <w:gridCol w:w="1080"/>
        <w:gridCol w:w="1080"/>
        <w:gridCol w:w="971"/>
        <w:gridCol w:w="1387"/>
      </w:tblGrid>
      <w:tr w:rsidR="00E7571B" w:rsidRPr="00327A61">
        <w:trPr>
          <w:trHeight w:val="283"/>
          <w:jc w:val="center"/>
        </w:trPr>
        <w:tc>
          <w:tcPr>
            <w:tcW w:w="389" w:type="dxa"/>
            <w:vMerge w:val="restart"/>
            <w:tcBorders>
              <w:top w:val="single" w:sz="4" w:space="0" w:color="auto"/>
              <w:left w:val="single" w:sz="4" w:space="0" w:color="auto"/>
              <w:bottom w:val="single" w:sz="4" w:space="0" w:color="auto"/>
              <w:right w:val="single" w:sz="4" w:space="0" w:color="auto"/>
            </w:tcBorders>
            <w:shd w:val="clear" w:color="auto" w:fill="C0C0C0"/>
            <w:noWrap/>
            <w:vAlign w:val="center"/>
          </w:tcPr>
          <w:p w:rsidR="00E7571B" w:rsidRPr="00327A61" w:rsidRDefault="00E7571B" w:rsidP="00E7571B">
            <w:pPr>
              <w:jc w:val="center"/>
              <w:rPr>
                <w:rFonts w:ascii="Arial" w:hAnsi="Arial" w:cs="Arial"/>
                <w:sz w:val="20"/>
                <w:szCs w:val="20"/>
                <w:lang w:eastAsia="bg-BG"/>
              </w:rPr>
            </w:pPr>
            <w:r w:rsidRPr="00327A61">
              <w:rPr>
                <w:rFonts w:ascii="Arial" w:hAnsi="Arial" w:cs="Arial"/>
                <w:sz w:val="20"/>
                <w:szCs w:val="20"/>
                <w:lang w:eastAsia="bg-BG"/>
              </w:rPr>
              <w:t>№</w:t>
            </w:r>
          </w:p>
        </w:tc>
        <w:tc>
          <w:tcPr>
            <w:tcW w:w="3590" w:type="dxa"/>
            <w:vMerge w:val="restart"/>
            <w:tcBorders>
              <w:top w:val="single" w:sz="4" w:space="0" w:color="auto"/>
              <w:left w:val="single" w:sz="4" w:space="0" w:color="auto"/>
              <w:bottom w:val="single" w:sz="4" w:space="0" w:color="000000"/>
              <w:right w:val="single" w:sz="4" w:space="0" w:color="auto"/>
            </w:tcBorders>
            <w:shd w:val="clear" w:color="auto" w:fill="C0C0C0"/>
            <w:vAlign w:val="center"/>
          </w:tcPr>
          <w:p w:rsidR="00E7571B" w:rsidRPr="00327A61" w:rsidRDefault="00E7571B" w:rsidP="00E7571B">
            <w:pPr>
              <w:jc w:val="center"/>
              <w:rPr>
                <w:rFonts w:ascii="Arial" w:hAnsi="Arial" w:cs="Arial"/>
                <w:sz w:val="20"/>
                <w:szCs w:val="20"/>
                <w:lang w:eastAsia="bg-BG"/>
              </w:rPr>
            </w:pPr>
            <w:r w:rsidRPr="00327A61">
              <w:rPr>
                <w:rFonts w:ascii="Arial" w:hAnsi="Arial" w:cs="Arial"/>
                <w:sz w:val="20"/>
                <w:szCs w:val="20"/>
                <w:lang w:eastAsia="bg-BG"/>
              </w:rPr>
              <w:t>Задължения по контрагенти</w:t>
            </w:r>
          </w:p>
        </w:tc>
        <w:tc>
          <w:tcPr>
            <w:tcW w:w="1260" w:type="dxa"/>
            <w:vMerge w:val="restart"/>
            <w:tcBorders>
              <w:top w:val="single" w:sz="4" w:space="0" w:color="auto"/>
              <w:left w:val="single" w:sz="4" w:space="0" w:color="auto"/>
              <w:bottom w:val="single" w:sz="4" w:space="0" w:color="000000"/>
              <w:right w:val="single" w:sz="4" w:space="0" w:color="auto"/>
            </w:tcBorders>
            <w:shd w:val="clear" w:color="auto" w:fill="C0C0C0"/>
            <w:vAlign w:val="center"/>
          </w:tcPr>
          <w:p w:rsidR="00E7571B" w:rsidRPr="00327A61" w:rsidRDefault="00E7571B" w:rsidP="00E7571B">
            <w:pPr>
              <w:jc w:val="center"/>
              <w:rPr>
                <w:rFonts w:ascii="Arial" w:hAnsi="Arial" w:cs="Arial"/>
                <w:sz w:val="20"/>
                <w:szCs w:val="20"/>
                <w:lang w:eastAsia="bg-BG"/>
              </w:rPr>
            </w:pPr>
            <w:r w:rsidRPr="00327A61">
              <w:rPr>
                <w:rFonts w:ascii="Arial" w:hAnsi="Arial" w:cs="Arial"/>
                <w:sz w:val="20"/>
                <w:szCs w:val="20"/>
                <w:lang w:eastAsia="bg-BG"/>
              </w:rPr>
              <w:t>Общ размер</w:t>
            </w:r>
          </w:p>
        </w:tc>
        <w:tc>
          <w:tcPr>
            <w:tcW w:w="3131" w:type="dxa"/>
            <w:gridSpan w:val="3"/>
            <w:tcBorders>
              <w:top w:val="single" w:sz="4" w:space="0" w:color="auto"/>
              <w:left w:val="nil"/>
              <w:bottom w:val="single" w:sz="4" w:space="0" w:color="auto"/>
              <w:right w:val="single" w:sz="4" w:space="0" w:color="000000"/>
            </w:tcBorders>
            <w:shd w:val="clear" w:color="auto" w:fill="C0C0C0"/>
            <w:vAlign w:val="center"/>
          </w:tcPr>
          <w:p w:rsidR="00E7571B" w:rsidRPr="00327A61" w:rsidRDefault="00E7571B" w:rsidP="00E7571B">
            <w:pPr>
              <w:jc w:val="center"/>
              <w:rPr>
                <w:rFonts w:ascii="Arial" w:hAnsi="Arial" w:cs="Arial"/>
                <w:sz w:val="20"/>
                <w:szCs w:val="20"/>
                <w:lang w:eastAsia="bg-BG"/>
              </w:rPr>
            </w:pPr>
            <w:r w:rsidRPr="00327A61">
              <w:rPr>
                <w:rFonts w:ascii="Arial" w:hAnsi="Arial" w:cs="Arial"/>
                <w:sz w:val="20"/>
                <w:szCs w:val="20"/>
                <w:lang w:eastAsia="bg-BG"/>
              </w:rPr>
              <w:t>Възраст на задълженията</w:t>
            </w:r>
          </w:p>
        </w:tc>
        <w:tc>
          <w:tcPr>
            <w:tcW w:w="1387" w:type="dxa"/>
            <w:vMerge w:val="restart"/>
            <w:tcBorders>
              <w:top w:val="single" w:sz="4" w:space="0" w:color="auto"/>
              <w:left w:val="single" w:sz="4" w:space="0" w:color="auto"/>
              <w:bottom w:val="single" w:sz="4" w:space="0" w:color="000000"/>
              <w:right w:val="single" w:sz="4" w:space="0" w:color="auto"/>
            </w:tcBorders>
            <w:shd w:val="clear" w:color="auto" w:fill="C0C0C0"/>
            <w:vAlign w:val="center"/>
          </w:tcPr>
          <w:p w:rsidR="00E7571B" w:rsidRPr="00327A61" w:rsidRDefault="00E7571B" w:rsidP="00E7571B">
            <w:pPr>
              <w:jc w:val="center"/>
              <w:rPr>
                <w:rFonts w:ascii="Arial" w:hAnsi="Arial" w:cs="Arial"/>
                <w:sz w:val="20"/>
                <w:szCs w:val="20"/>
                <w:lang w:eastAsia="bg-BG"/>
              </w:rPr>
            </w:pPr>
            <w:r w:rsidRPr="00327A61">
              <w:rPr>
                <w:rFonts w:ascii="Arial" w:hAnsi="Arial" w:cs="Arial"/>
                <w:sz w:val="20"/>
                <w:szCs w:val="20"/>
                <w:lang w:eastAsia="bg-BG"/>
              </w:rPr>
              <w:t>Просрочени вземания</w:t>
            </w:r>
          </w:p>
        </w:tc>
      </w:tr>
      <w:tr w:rsidR="00E7571B" w:rsidRPr="00327A61" w:rsidTr="008E4E40">
        <w:trPr>
          <w:trHeight w:val="534"/>
          <w:jc w:val="center"/>
        </w:trPr>
        <w:tc>
          <w:tcPr>
            <w:tcW w:w="389"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571B" w:rsidRPr="00327A61" w:rsidRDefault="00E7571B" w:rsidP="00E7571B">
            <w:pPr>
              <w:rPr>
                <w:rFonts w:ascii="Arial" w:hAnsi="Arial" w:cs="Arial"/>
                <w:sz w:val="20"/>
                <w:szCs w:val="20"/>
                <w:lang w:eastAsia="bg-BG"/>
              </w:rPr>
            </w:pPr>
          </w:p>
        </w:tc>
        <w:tc>
          <w:tcPr>
            <w:tcW w:w="3590"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E7571B" w:rsidRPr="00327A61" w:rsidRDefault="00E7571B" w:rsidP="00E7571B">
            <w:pPr>
              <w:rPr>
                <w:rFonts w:ascii="Arial" w:hAnsi="Arial" w:cs="Arial"/>
                <w:sz w:val="20"/>
                <w:szCs w:val="20"/>
                <w:lang w:eastAsia="bg-BG"/>
              </w:rPr>
            </w:pPr>
          </w:p>
        </w:tc>
        <w:tc>
          <w:tcPr>
            <w:tcW w:w="1260"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E7571B" w:rsidRPr="00327A61" w:rsidRDefault="00E7571B" w:rsidP="00E7571B">
            <w:pPr>
              <w:rPr>
                <w:rFonts w:ascii="Arial" w:hAnsi="Arial" w:cs="Arial"/>
                <w:sz w:val="20"/>
                <w:szCs w:val="20"/>
                <w:lang w:eastAsia="bg-BG"/>
              </w:rPr>
            </w:pPr>
          </w:p>
        </w:tc>
        <w:tc>
          <w:tcPr>
            <w:tcW w:w="1080" w:type="dxa"/>
            <w:tcBorders>
              <w:top w:val="nil"/>
              <w:left w:val="nil"/>
              <w:bottom w:val="single" w:sz="4" w:space="0" w:color="auto"/>
              <w:right w:val="single" w:sz="4" w:space="0" w:color="auto"/>
            </w:tcBorders>
            <w:shd w:val="clear" w:color="auto" w:fill="C0C0C0"/>
            <w:vAlign w:val="center"/>
          </w:tcPr>
          <w:p w:rsidR="00E7571B" w:rsidRPr="00327A61" w:rsidRDefault="00E7571B" w:rsidP="00E7571B">
            <w:pPr>
              <w:jc w:val="center"/>
              <w:rPr>
                <w:rFonts w:ascii="Arial" w:hAnsi="Arial" w:cs="Arial"/>
                <w:sz w:val="20"/>
                <w:szCs w:val="20"/>
                <w:lang w:eastAsia="bg-BG"/>
              </w:rPr>
            </w:pPr>
            <w:r w:rsidRPr="00327A61">
              <w:rPr>
                <w:rFonts w:ascii="Arial" w:hAnsi="Arial" w:cs="Arial"/>
                <w:sz w:val="20"/>
                <w:szCs w:val="20"/>
                <w:lang w:eastAsia="bg-BG"/>
              </w:rPr>
              <w:t>до 3 мес.</w:t>
            </w:r>
          </w:p>
        </w:tc>
        <w:tc>
          <w:tcPr>
            <w:tcW w:w="1080" w:type="dxa"/>
            <w:tcBorders>
              <w:top w:val="nil"/>
              <w:left w:val="nil"/>
              <w:bottom w:val="single" w:sz="4" w:space="0" w:color="auto"/>
              <w:right w:val="single" w:sz="4" w:space="0" w:color="auto"/>
            </w:tcBorders>
            <w:shd w:val="clear" w:color="auto" w:fill="C0C0C0"/>
            <w:vAlign w:val="center"/>
          </w:tcPr>
          <w:p w:rsidR="00E7571B" w:rsidRPr="00327A61" w:rsidRDefault="00E7571B" w:rsidP="00E7571B">
            <w:pPr>
              <w:jc w:val="center"/>
              <w:rPr>
                <w:rFonts w:ascii="Arial" w:hAnsi="Arial" w:cs="Arial"/>
                <w:sz w:val="20"/>
                <w:szCs w:val="20"/>
                <w:lang w:eastAsia="bg-BG"/>
              </w:rPr>
            </w:pPr>
            <w:r w:rsidRPr="00327A61">
              <w:rPr>
                <w:rFonts w:ascii="Arial" w:hAnsi="Arial" w:cs="Arial"/>
                <w:sz w:val="20"/>
                <w:szCs w:val="20"/>
                <w:lang w:eastAsia="bg-BG"/>
              </w:rPr>
              <w:t>от 3 до 6 мес.</w:t>
            </w:r>
          </w:p>
        </w:tc>
        <w:tc>
          <w:tcPr>
            <w:tcW w:w="971" w:type="dxa"/>
            <w:tcBorders>
              <w:top w:val="nil"/>
              <w:left w:val="nil"/>
              <w:bottom w:val="single" w:sz="4" w:space="0" w:color="auto"/>
              <w:right w:val="single" w:sz="4" w:space="0" w:color="auto"/>
            </w:tcBorders>
            <w:shd w:val="clear" w:color="auto" w:fill="C0C0C0"/>
            <w:vAlign w:val="center"/>
          </w:tcPr>
          <w:p w:rsidR="00E7571B" w:rsidRPr="00327A61" w:rsidRDefault="00E7571B" w:rsidP="00E7571B">
            <w:pPr>
              <w:jc w:val="center"/>
              <w:rPr>
                <w:rFonts w:ascii="Arial" w:hAnsi="Arial" w:cs="Arial"/>
                <w:sz w:val="20"/>
                <w:szCs w:val="20"/>
                <w:lang w:eastAsia="bg-BG"/>
              </w:rPr>
            </w:pPr>
            <w:r w:rsidRPr="00327A61">
              <w:rPr>
                <w:rFonts w:ascii="Arial" w:hAnsi="Arial" w:cs="Arial"/>
                <w:sz w:val="20"/>
                <w:szCs w:val="20"/>
                <w:lang w:eastAsia="bg-BG"/>
              </w:rPr>
              <w:t>над 6 мес.</w:t>
            </w:r>
          </w:p>
        </w:tc>
        <w:tc>
          <w:tcPr>
            <w:tcW w:w="1387"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571B" w:rsidRPr="00327A61" w:rsidRDefault="00E7571B" w:rsidP="00E7571B">
            <w:pPr>
              <w:rPr>
                <w:rFonts w:ascii="Arial" w:hAnsi="Arial" w:cs="Arial"/>
                <w:sz w:val="20"/>
                <w:szCs w:val="20"/>
                <w:lang w:eastAsia="bg-BG"/>
              </w:rPr>
            </w:pPr>
          </w:p>
        </w:tc>
      </w:tr>
      <w:tr w:rsidR="00381343" w:rsidRPr="00327A61" w:rsidTr="00381343">
        <w:trPr>
          <w:trHeight w:val="267"/>
          <w:jc w:val="center"/>
        </w:trPr>
        <w:tc>
          <w:tcPr>
            <w:tcW w:w="3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381343" w:rsidRPr="00327A61" w:rsidRDefault="00381343" w:rsidP="00381343">
            <w:pPr>
              <w:jc w:val="center"/>
              <w:rPr>
                <w:szCs w:val="22"/>
                <w:lang w:eastAsia="bg-BG"/>
              </w:rPr>
            </w:pPr>
            <w:r w:rsidRPr="00327A61">
              <w:rPr>
                <w:szCs w:val="22"/>
              </w:rPr>
              <w:t>1</w:t>
            </w:r>
          </w:p>
        </w:tc>
        <w:tc>
          <w:tcPr>
            <w:tcW w:w="3590" w:type="dxa"/>
            <w:tcBorders>
              <w:top w:val="single" w:sz="4" w:space="0" w:color="auto"/>
              <w:left w:val="nil"/>
              <w:bottom w:val="single" w:sz="4" w:space="0" w:color="auto"/>
              <w:right w:val="single" w:sz="4" w:space="0" w:color="auto"/>
            </w:tcBorders>
            <w:shd w:val="clear" w:color="auto" w:fill="auto"/>
            <w:noWrap/>
            <w:vAlign w:val="center"/>
          </w:tcPr>
          <w:p w:rsidR="00381343" w:rsidRPr="00327A61" w:rsidRDefault="00381343" w:rsidP="00381343">
            <w:pPr>
              <w:rPr>
                <w:szCs w:val="22"/>
                <w:lang w:eastAsia="bg-BG"/>
              </w:rPr>
            </w:pPr>
            <w:r w:rsidRPr="00327A61">
              <w:rPr>
                <w:szCs w:val="22"/>
              </w:rPr>
              <w:t>"АСОП - ЩИТ" ЕООД</w:t>
            </w:r>
          </w:p>
        </w:tc>
        <w:tc>
          <w:tcPr>
            <w:tcW w:w="1260" w:type="dxa"/>
            <w:tcBorders>
              <w:top w:val="single" w:sz="4" w:space="0" w:color="auto"/>
              <w:left w:val="nil"/>
              <w:bottom w:val="single" w:sz="4" w:space="0" w:color="auto"/>
              <w:right w:val="single" w:sz="4" w:space="0" w:color="auto"/>
            </w:tcBorders>
            <w:shd w:val="clear" w:color="auto" w:fill="auto"/>
            <w:noWrap/>
            <w:vAlign w:val="center"/>
          </w:tcPr>
          <w:p w:rsidR="00381343" w:rsidRPr="00327A61" w:rsidRDefault="00381343" w:rsidP="00381343">
            <w:pPr>
              <w:jc w:val="right"/>
              <w:rPr>
                <w:szCs w:val="22"/>
              </w:rPr>
            </w:pPr>
            <w:r w:rsidRPr="00327A61">
              <w:rPr>
                <w:szCs w:val="22"/>
              </w:rPr>
              <w:t>37 979</w:t>
            </w:r>
          </w:p>
        </w:tc>
        <w:tc>
          <w:tcPr>
            <w:tcW w:w="1080" w:type="dxa"/>
            <w:tcBorders>
              <w:top w:val="single" w:sz="4" w:space="0" w:color="auto"/>
              <w:left w:val="nil"/>
              <w:bottom w:val="single" w:sz="4" w:space="0" w:color="auto"/>
              <w:right w:val="single" w:sz="4" w:space="0" w:color="auto"/>
            </w:tcBorders>
            <w:shd w:val="clear" w:color="auto" w:fill="auto"/>
            <w:noWrap/>
            <w:vAlign w:val="center"/>
          </w:tcPr>
          <w:p w:rsidR="00381343" w:rsidRPr="00327A61" w:rsidRDefault="00381343" w:rsidP="00381343">
            <w:pPr>
              <w:jc w:val="right"/>
              <w:rPr>
                <w:szCs w:val="22"/>
              </w:rPr>
            </w:pPr>
            <w:r w:rsidRPr="00327A61">
              <w:rPr>
                <w:szCs w:val="22"/>
              </w:rPr>
              <w:t>37 979</w:t>
            </w:r>
          </w:p>
        </w:tc>
        <w:tc>
          <w:tcPr>
            <w:tcW w:w="1080" w:type="dxa"/>
            <w:tcBorders>
              <w:top w:val="single" w:sz="4" w:space="0" w:color="auto"/>
              <w:left w:val="nil"/>
              <w:bottom w:val="single" w:sz="4" w:space="0" w:color="auto"/>
              <w:right w:val="single" w:sz="4" w:space="0" w:color="auto"/>
            </w:tcBorders>
            <w:shd w:val="clear" w:color="auto" w:fill="auto"/>
            <w:noWrap/>
            <w:vAlign w:val="center"/>
          </w:tcPr>
          <w:p w:rsidR="00381343" w:rsidRPr="00327A61" w:rsidRDefault="00381343" w:rsidP="00381343">
            <w:pPr>
              <w:jc w:val="right"/>
              <w:rPr>
                <w:szCs w:val="22"/>
              </w:rPr>
            </w:pPr>
            <w:r w:rsidRPr="00327A61">
              <w:rPr>
                <w:szCs w:val="22"/>
              </w:rPr>
              <w:t>0</w:t>
            </w:r>
          </w:p>
        </w:tc>
        <w:tc>
          <w:tcPr>
            <w:tcW w:w="971" w:type="dxa"/>
            <w:tcBorders>
              <w:top w:val="single" w:sz="4" w:space="0" w:color="auto"/>
              <w:left w:val="nil"/>
              <w:bottom w:val="single" w:sz="4" w:space="0" w:color="auto"/>
              <w:right w:val="nil"/>
            </w:tcBorders>
            <w:shd w:val="clear" w:color="auto" w:fill="auto"/>
            <w:noWrap/>
            <w:vAlign w:val="center"/>
          </w:tcPr>
          <w:p w:rsidR="00381343" w:rsidRPr="00327A61" w:rsidRDefault="00381343" w:rsidP="00381343">
            <w:pPr>
              <w:jc w:val="right"/>
              <w:rPr>
                <w:szCs w:val="22"/>
              </w:rPr>
            </w:pPr>
            <w:r w:rsidRPr="00327A61">
              <w:rPr>
                <w:szCs w:val="22"/>
              </w:rPr>
              <w:t>0</w:t>
            </w:r>
          </w:p>
        </w:tc>
        <w:tc>
          <w:tcPr>
            <w:tcW w:w="1387" w:type="dxa"/>
            <w:tcBorders>
              <w:top w:val="nil"/>
              <w:left w:val="single" w:sz="4" w:space="0" w:color="auto"/>
              <w:bottom w:val="single" w:sz="4" w:space="0" w:color="auto"/>
              <w:right w:val="single" w:sz="4" w:space="0" w:color="auto"/>
            </w:tcBorders>
            <w:shd w:val="clear" w:color="auto" w:fill="auto"/>
            <w:noWrap/>
            <w:vAlign w:val="center"/>
          </w:tcPr>
          <w:p w:rsidR="00381343" w:rsidRPr="00327A61" w:rsidRDefault="00381343" w:rsidP="00381343">
            <w:pPr>
              <w:jc w:val="right"/>
              <w:rPr>
                <w:szCs w:val="22"/>
              </w:rPr>
            </w:pPr>
            <w:r w:rsidRPr="00327A61">
              <w:rPr>
                <w:szCs w:val="22"/>
              </w:rPr>
              <w:t>0</w:t>
            </w:r>
          </w:p>
        </w:tc>
      </w:tr>
      <w:tr w:rsidR="00381343" w:rsidRPr="00327A61" w:rsidTr="00381343">
        <w:trPr>
          <w:trHeight w:val="267"/>
          <w:jc w:val="center"/>
        </w:trPr>
        <w:tc>
          <w:tcPr>
            <w:tcW w:w="389" w:type="dxa"/>
            <w:tcBorders>
              <w:top w:val="nil"/>
              <w:left w:val="single" w:sz="4" w:space="0" w:color="auto"/>
              <w:bottom w:val="single" w:sz="4" w:space="0" w:color="auto"/>
              <w:right w:val="single" w:sz="4" w:space="0" w:color="auto"/>
            </w:tcBorders>
            <w:shd w:val="clear" w:color="auto" w:fill="auto"/>
            <w:noWrap/>
            <w:vAlign w:val="bottom"/>
          </w:tcPr>
          <w:p w:rsidR="00381343" w:rsidRPr="00327A61" w:rsidRDefault="00381343" w:rsidP="00381343">
            <w:pPr>
              <w:jc w:val="center"/>
              <w:rPr>
                <w:szCs w:val="22"/>
              </w:rPr>
            </w:pPr>
            <w:r w:rsidRPr="00327A61">
              <w:rPr>
                <w:szCs w:val="22"/>
              </w:rPr>
              <w:t>2</w:t>
            </w:r>
          </w:p>
        </w:tc>
        <w:tc>
          <w:tcPr>
            <w:tcW w:w="3590" w:type="dxa"/>
            <w:tcBorders>
              <w:top w:val="nil"/>
              <w:left w:val="nil"/>
              <w:bottom w:val="single" w:sz="4" w:space="0" w:color="auto"/>
              <w:right w:val="single" w:sz="4" w:space="0" w:color="auto"/>
            </w:tcBorders>
            <w:shd w:val="clear" w:color="auto" w:fill="auto"/>
            <w:noWrap/>
            <w:vAlign w:val="center"/>
          </w:tcPr>
          <w:p w:rsidR="00381343" w:rsidRPr="00327A61" w:rsidRDefault="00381343" w:rsidP="00381343">
            <w:pPr>
              <w:rPr>
                <w:szCs w:val="22"/>
              </w:rPr>
            </w:pPr>
            <w:r w:rsidRPr="00327A61">
              <w:rPr>
                <w:szCs w:val="22"/>
              </w:rPr>
              <w:t>"ДМВ" ЕООД</w:t>
            </w:r>
          </w:p>
        </w:tc>
        <w:tc>
          <w:tcPr>
            <w:tcW w:w="1260" w:type="dxa"/>
            <w:tcBorders>
              <w:top w:val="nil"/>
              <w:left w:val="nil"/>
              <w:bottom w:val="single" w:sz="4" w:space="0" w:color="auto"/>
              <w:right w:val="single" w:sz="4" w:space="0" w:color="auto"/>
            </w:tcBorders>
            <w:shd w:val="clear" w:color="auto" w:fill="auto"/>
            <w:noWrap/>
            <w:vAlign w:val="center"/>
          </w:tcPr>
          <w:p w:rsidR="00381343" w:rsidRPr="00327A61" w:rsidRDefault="00381343" w:rsidP="00381343">
            <w:pPr>
              <w:jc w:val="right"/>
              <w:rPr>
                <w:szCs w:val="22"/>
              </w:rPr>
            </w:pPr>
            <w:r w:rsidRPr="00327A61">
              <w:rPr>
                <w:szCs w:val="22"/>
              </w:rPr>
              <w:t>18 276</w:t>
            </w:r>
          </w:p>
        </w:tc>
        <w:tc>
          <w:tcPr>
            <w:tcW w:w="1080" w:type="dxa"/>
            <w:tcBorders>
              <w:top w:val="nil"/>
              <w:left w:val="nil"/>
              <w:bottom w:val="single" w:sz="4" w:space="0" w:color="auto"/>
              <w:right w:val="single" w:sz="4" w:space="0" w:color="auto"/>
            </w:tcBorders>
            <w:shd w:val="clear" w:color="auto" w:fill="auto"/>
            <w:noWrap/>
            <w:vAlign w:val="center"/>
          </w:tcPr>
          <w:p w:rsidR="00381343" w:rsidRPr="00327A61" w:rsidRDefault="00381343" w:rsidP="00381343">
            <w:pPr>
              <w:jc w:val="right"/>
              <w:rPr>
                <w:szCs w:val="22"/>
              </w:rPr>
            </w:pPr>
            <w:r w:rsidRPr="00327A61">
              <w:rPr>
                <w:szCs w:val="22"/>
              </w:rPr>
              <w:t>18 276</w:t>
            </w:r>
          </w:p>
        </w:tc>
        <w:tc>
          <w:tcPr>
            <w:tcW w:w="1080" w:type="dxa"/>
            <w:tcBorders>
              <w:top w:val="nil"/>
              <w:left w:val="nil"/>
              <w:bottom w:val="single" w:sz="4" w:space="0" w:color="auto"/>
              <w:right w:val="single" w:sz="4" w:space="0" w:color="auto"/>
            </w:tcBorders>
            <w:shd w:val="clear" w:color="auto" w:fill="auto"/>
            <w:vAlign w:val="center"/>
          </w:tcPr>
          <w:p w:rsidR="00381343" w:rsidRPr="00327A61" w:rsidRDefault="00381343" w:rsidP="00381343">
            <w:pPr>
              <w:jc w:val="right"/>
              <w:rPr>
                <w:szCs w:val="22"/>
              </w:rPr>
            </w:pPr>
            <w:r w:rsidRPr="00327A61">
              <w:rPr>
                <w:szCs w:val="22"/>
              </w:rPr>
              <w:t>0</w:t>
            </w:r>
          </w:p>
        </w:tc>
        <w:tc>
          <w:tcPr>
            <w:tcW w:w="971" w:type="dxa"/>
            <w:tcBorders>
              <w:top w:val="nil"/>
              <w:left w:val="nil"/>
              <w:bottom w:val="single" w:sz="4" w:space="0" w:color="auto"/>
              <w:right w:val="nil"/>
            </w:tcBorders>
            <w:shd w:val="clear" w:color="auto" w:fill="auto"/>
            <w:noWrap/>
            <w:vAlign w:val="center"/>
          </w:tcPr>
          <w:p w:rsidR="00381343" w:rsidRPr="00327A61" w:rsidRDefault="00381343" w:rsidP="00381343">
            <w:pPr>
              <w:jc w:val="right"/>
              <w:rPr>
                <w:szCs w:val="22"/>
              </w:rPr>
            </w:pPr>
            <w:r w:rsidRPr="00327A61">
              <w:rPr>
                <w:szCs w:val="22"/>
              </w:rPr>
              <w:t>0</w:t>
            </w:r>
          </w:p>
        </w:tc>
        <w:tc>
          <w:tcPr>
            <w:tcW w:w="1387" w:type="dxa"/>
            <w:tcBorders>
              <w:top w:val="nil"/>
              <w:left w:val="single" w:sz="4" w:space="0" w:color="auto"/>
              <w:bottom w:val="single" w:sz="4" w:space="0" w:color="auto"/>
              <w:right w:val="single" w:sz="4" w:space="0" w:color="auto"/>
            </w:tcBorders>
            <w:shd w:val="clear" w:color="auto" w:fill="auto"/>
            <w:noWrap/>
            <w:vAlign w:val="center"/>
          </w:tcPr>
          <w:p w:rsidR="00381343" w:rsidRPr="00327A61" w:rsidRDefault="00381343" w:rsidP="00381343">
            <w:pPr>
              <w:jc w:val="right"/>
              <w:rPr>
                <w:szCs w:val="22"/>
              </w:rPr>
            </w:pPr>
            <w:r w:rsidRPr="00327A61">
              <w:rPr>
                <w:szCs w:val="22"/>
              </w:rPr>
              <w:t>0</w:t>
            </w:r>
          </w:p>
        </w:tc>
      </w:tr>
      <w:tr w:rsidR="00381343" w:rsidRPr="00327A61" w:rsidTr="00381343">
        <w:trPr>
          <w:trHeight w:val="126"/>
          <w:jc w:val="center"/>
        </w:trPr>
        <w:tc>
          <w:tcPr>
            <w:tcW w:w="389" w:type="dxa"/>
            <w:tcBorders>
              <w:top w:val="nil"/>
              <w:left w:val="single" w:sz="4" w:space="0" w:color="auto"/>
              <w:bottom w:val="single" w:sz="4" w:space="0" w:color="auto"/>
              <w:right w:val="single" w:sz="4" w:space="0" w:color="auto"/>
            </w:tcBorders>
            <w:shd w:val="clear" w:color="auto" w:fill="auto"/>
            <w:noWrap/>
            <w:vAlign w:val="center"/>
          </w:tcPr>
          <w:p w:rsidR="00381343" w:rsidRPr="00327A61" w:rsidRDefault="00381343" w:rsidP="00381343">
            <w:pPr>
              <w:jc w:val="center"/>
              <w:rPr>
                <w:szCs w:val="22"/>
              </w:rPr>
            </w:pPr>
            <w:r w:rsidRPr="00327A61">
              <w:rPr>
                <w:szCs w:val="22"/>
              </w:rPr>
              <w:t>3</w:t>
            </w:r>
          </w:p>
        </w:tc>
        <w:tc>
          <w:tcPr>
            <w:tcW w:w="3590" w:type="dxa"/>
            <w:tcBorders>
              <w:top w:val="nil"/>
              <w:left w:val="nil"/>
              <w:bottom w:val="single" w:sz="4" w:space="0" w:color="auto"/>
              <w:right w:val="single" w:sz="4" w:space="0" w:color="auto"/>
            </w:tcBorders>
            <w:shd w:val="clear" w:color="auto" w:fill="auto"/>
            <w:noWrap/>
            <w:vAlign w:val="center"/>
          </w:tcPr>
          <w:p w:rsidR="00381343" w:rsidRPr="00327A61" w:rsidRDefault="00381343" w:rsidP="00381343">
            <w:pPr>
              <w:rPr>
                <w:szCs w:val="22"/>
              </w:rPr>
            </w:pPr>
            <w:r w:rsidRPr="00327A61">
              <w:rPr>
                <w:szCs w:val="22"/>
              </w:rPr>
              <w:t>"ОФИС ЕКСПЕРТ" ООД</w:t>
            </w:r>
          </w:p>
        </w:tc>
        <w:tc>
          <w:tcPr>
            <w:tcW w:w="1260" w:type="dxa"/>
            <w:tcBorders>
              <w:top w:val="nil"/>
              <w:left w:val="nil"/>
              <w:bottom w:val="single" w:sz="4" w:space="0" w:color="auto"/>
              <w:right w:val="single" w:sz="4" w:space="0" w:color="auto"/>
            </w:tcBorders>
            <w:shd w:val="clear" w:color="auto" w:fill="auto"/>
            <w:noWrap/>
            <w:vAlign w:val="center"/>
          </w:tcPr>
          <w:p w:rsidR="00381343" w:rsidRPr="00327A61" w:rsidRDefault="00381343" w:rsidP="00381343">
            <w:pPr>
              <w:jc w:val="right"/>
              <w:rPr>
                <w:szCs w:val="22"/>
              </w:rPr>
            </w:pPr>
            <w:r w:rsidRPr="00327A61">
              <w:rPr>
                <w:szCs w:val="22"/>
              </w:rPr>
              <w:t>1 183</w:t>
            </w:r>
          </w:p>
        </w:tc>
        <w:tc>
          <w:tcPr>
            <w:tcW w:w="1080" w:type="dxa"/>
            <w:tcBorders>
              <w:top w:val="nil"/>
              <w:left w:val="nil"/>
              <w:bottom w:val="single" w:sz="4" w:space="0" w:color="auto"/>
              <w:right w:val="single" w:sz="4" w:space="0" w:color="auto"/>
            </w:tcBorders>
            <w:shd w:val="clear" w:color="auto" w:fill="auto"/>
            <w:noWrap/>
            <w:vAlign w:val="center"/>
          </w:tcPr>
          <w:p w:rsidR="00381343" w:rsidRPr="00327A61" w:rsidRDefault="00381343" w:rsidP="00381343">
            <w:pPr>
              <w:jc w:val="right"/>
              <w:rPr>
                <w:szCs w:val="22"/>
              </w:rPr>
            </w:pPr>
            <w:r w:rsidRPr="00327A61">
              <w:rPr>
                <w:szCs w:val="22"/>
              </w:rPr>
              <w:t>1 183</w:t>
            </w:r>
          </w:p>
        </w:tc>
        <w:tc>
          <w:tcPr>
            <w:tcW w:w="1080" w:type="dxa"/>
            <w:tcBorders>
              <w:top w:val="nil"/>
              <w:left w:val="nil"/>
              <w:bottom w:val="single" w:sz="4" w:space="0" w:color="auto"/>
              <w:right w:val="single" w:sz="4" w:space="0" w:color="auto"/>
            </w:tcBorders>
            <w:shd w:val="clear" w:color="auto" w:fill="auto"/>
            <w:vAlign w:val="center"/>
          </w:tcPr>
          <w:p w:rsidR="00381343" w:rsidRPr="00327A61" w:rsidRDefault="00381343" w:rsidP="00381343">
            <w:pPr>
              <w:jc w:val="right"/>
              <w:rPr>
                <w:szCs w:val="22"/>
              </w:rPr>
            </w:pPr>
            <w:r w:rsidRPr="00327A61">
              <w:rPr>
                <w:szCs w:val="22"/>
              </w:rPr>
              <w:t>0</w:t>
            </w:r>
          </w:p>
        </w:tc>
        <w:tc>
          <w:tcPr>
            <w:tcW w:w="971" w:type="dxa"/>
            <w:tcBorders>
              <w:top w:val="nil"/>
              <w:left w:val="nil"/>
              <w:bottom w:val="single" w:sz="4" w:space="0" w:color="auto"/>
              <w:right w:val="nil"/>
            </w:tcBorders>
            <w:shd w:val="clear" w:color="auto" w:fill="auto"/>
            <w:noWrap/>
            <w:vAlign w:val="center"/>
          </w:tcPr>
          <w:p w:rsidR="00381343" w:rsidRPr="00327A61" w:rsidRDefault="00381343" w:rsidP="00381343">
            <w:pPr>
              <w:jc w:val="right"/>
              <w:rPr>
                <w:szCs w:val="22"/>
              </w:rPr>
            </w:pPr>
            <w:r w:rsidRPr="00327A61">
              <w:rPr>
                <w:szCs w:val="22"/>
              </w:rPr>
              <w:t>0</w:t>
            </w:r>
          </w:p>
        </w:tc>
        <w:tc>
          <w:tcPr>
            <w:tcW w:w="1387" w:type="dxa"/>
            <w:tcBorders>
              <w:top w:val="nil"/>
              <w:left w:val="single" w:sz="4" w:space="0" w:color="auto"/>
              <w:bottom w:val="single" w:sz="4" w:space="0" w:color="auto"/>
              <w:right w:val="single" w:sz="4" w:space="0" w:color="auto"/>
            </w:tcBorders>
            <w:shd w:val="clear" w:color="auto" w:fill="auto"/>
            <w:noWrap/>
            <w:vAlign w:val="center"/>
          </w:tcPr>
          <w:p w:rsidR="00381343" w:rsidRPr="00327A61" w:rsidRDefault="00381343" w:rsidP="00381343">
            <w:pPr>
              <w:jc w:val="right"/>
              <w:rPr>
                <w:szCs w:val="22"/>
              </w:rPr>
            </w:pPr>
            <w:r w:rsidRPr="00327A61">
              <w:rPr>
                <w:szCs w:val="22"/>
              </w:rPr>
              <w:t>0</w:t>
            </w:r>
          </w:p>
        </w:tc>
      </w:tr>
      <w:tr w:rsidR="00381343" w:rsidRPr="00327A61" w:rsidTr="00381343">
        <w:trPr>
          <w:trHeight w:val="267"/>
          <w:jc w:val="center"/>
        </w:trPr>
        <w:tc>
          <w:tcPr>
            <w:tcW w:w="3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381343" w:rsidRPr="00327A61" w:rsidRDefault="00381343" w:rsidP="00381343">
            <w:pPr>
              <w:rPr>
                <w:szCs w:val="22"/>
              </w:rPr>
            </w:pPr>
            <w:r w:rsidRPr="00327A61">
              <w:rPr>
                <w:szCs w:val="22"/>
              </w:rPr>
              <w:t> </w:t>
            </w:r>
          </w:p>
        </w:tc>
        <w:tc>
          <w:tcPr>
            <w:tcW w:w="3590" w:type="dxa"/>
            <w:tcBorders>
              <w:top w:val="nil"/>
              <w:left w:val="nil"/>
              <w:bottom w:val="single" w:sz="4" w:space="0" w:color="auto"/>
              <w:right w:val="single" w:sz="4" w:space="0" w:color="auto"/>
            </w:tcBorders>
            <w:shd w:val="clear" w:color="auto" w:fill="auto"/>
            <w:noWrap/>
            <w:vAlign w:val="bottom"/>
          </w:tcPr>
          <w:p w:rsidR="00381343" w:rsidRPr="00327A61" w:rsidRDefault="00381343" w:rsidP="00381343">
            <w:pPr>
              <w:rPr>
                <w:szCs w:val="22"/>
              </w:rPr>
            </w:pPr>
            <w:r w:rsidRPr="00327A61">
              <w:rPr>
                <w:szCs w:val="22"/>
              </w:rPr>
              <w:t xml:space="preserve">Други </w:t>
            </w:r>
          </w:p>
        </w:tc>
        <w:tc>
          <w:tcPr>
            <w:tcW w:w="1260" w:type="dxa"/>
            <w:tcBorders>
              <w:top w:val="nil"/>
              <w:left w:val="nil"/>
              <w:bottom w:val="single" w:sz="4" w:space="0" w:color="auto"/>
              <w:right w:val="single" w:sz="4" w:space="0" w:color="auto"/>
            </w:tcBorders>
            <w:shd w:val="clear" w:color="auto" w:fill="auto"/>
            <w:noWrap/>
            <w:vAlign w:val="center"/>
          </w:tcPr>
          <w:p w:rsidR="00381343" w:rsidRPr="00327A61" w:rsidRDefault="00381343" w:rsidP="00381343">
            <w:pPr>
              <w:jc w:val="right"/>
              <w:rPr>
                <w:szCs w:val="22"/>
                <w:lang w:eastAsia="bg-BG"/>
              </w:rPr>
            </w:pPr>
            <w:r w:rsidRPr="00327A61">
              <w:rPr>
                <w:szCs w:val="22"/>
              </w:rPr>
              <w:t>129 847</w:t>
            </w:r>
          </w:p>
        </w:tc>
        <w:tc>
          <w:tcPr>
            <w:tcW w:w="1080" w:type="dxa"/>
            <w:tcBorders>
              <w:top w:val="nil"/>
              <w:left w:val="nil"/>
              <w:bottom w:val="single" w:sz="4" w:space="0" w:color="auto"/>
              <w:right w:val="single" w:sz="4" w:space="0" w:color="auto"/>
            </w:tcBorders>
            <w:shd w:val="clear" w:color="auto" w:fill="auto"/>
            <w:noWrap/>
            <w:vAlign w:val="center"/>
          </w:tcPr>
          <w:p w:rsidR="00381343" w:rsidRPr="00327A61" w:rsidRDefault="00381343" w:rsidP="00381343">
            <w:pPr>
              <w:jc w:val="right"/>
              <w:rPr>
                <w:szCs w:val="22"/>
              </w:rPr>
            </w:pPr>
            <w:r w:rsidRPr="00327A61">
              <w:rPr>
                <w:szCs w:val="22"/>
              </w:rPr>
              <w:t>129 847</w:t>
            </w:r>
          </w:p>
        </w:tc>
        <w:tc>
          <w:tcPr>
            <w:tcW w:w="1080" w:type="dxa"/>
            <w:tcBorders>
              <w:top w:val="nil"/>
              <w:left w:val="nil"/>
              <w:bottom w:val="single" w:sz="4" w:space="0" w:color="auto"/>
              <w:right w:val="single" w:sz="4" w:space="0" w:color="auto"/>
            </w:tcBorders>
            <w:shd w:val="clear" w:color="auto" w:fill="auto"/>
            <w:vAlign w:val="center"/>
          </w:tcPr>
          <w:p w:rsidR="00381343" w:rsidRPr="00327A61" w:rsidRDefault="00381343" w:rsidP="00381343">
            <w:pPr>
              <w:jc w:val="right"/>
              <w:rPr>
                <w:szCs w:val="22"/>
              </w:rPr>
            </w:pPr>
            <w:r w:rsidRPr="00327A61">
              <w:rPr>
                <w:szCs w:val="22"/>
              </w:rPr>
              <w:t>0</w:t>
            </w:r>
          </w:p>
        </w:tc>
        <w:tc>
          <w:tcPr>
            <w:tcW w:w="971" w:type="dxa"/>
            <w:tcBorders>
              <w:top w:val="nil"/>
              <w:left w:val="nil"/>
              <w:bottom w:val="single" w:sz="4" w:space="0" w:color="auto"/>
              <w:right w:val="single" w:sz="4" w:space="0" w:color="auto"/>
            </w:tcBorders>
            <w:shd w:val="clear" w:color="auto" w:fill="auto"/>
            <w:noWrap/>
            <w:vAlign w:val="center"/>
          </w:tcPr>
          <w:p w:rsidR="00381343" w:rsidRPr="00327A61" w:rsidRDefault="00381343" w:rsidP="00381343">
            <w:pPr>
              <w:jc w:val="right"/>
              <w:rPr>
                <w:szCs w:val="22"/>
              </w:rPr>
            </w:pPr>
            <w:r w:rsidRPr="00327A61">
              <w:rPr>
                <w:szCs w:val="22"/>
              </w:rPr>
              <w:t>0</w:t>
            </w:r>
          </w:p>
        </w:tc>
        <w:tc>
          <w:tcPr>
            <w:tcW w:w="1387" w:type="dxa"/>
            <w:tcBorders>
              <w:top w:val="nil"/>
              <w:left w:val="nil"/>
              <w:bottom w:val="single" w:sz="4" w:space="0" w:color="auto"/>
              <w:right w:val="single" w:sz="4" w:space="0" w:color="auto"/>
            </w:tcBorders>
            <w:shd w:val="clear" w:color="auto" w:fill="auto"/>
            <w:noWrap/>
            <w:vAlign w:val="center"/>
          </w:tcPr>
          <w:p w:rsidR="00381343" w:rsidRPr="00327A61" w:rsidRDefault="00381343" w:rsidP="00381343">
            <w:pPr>
              <w:jc w:val="right"/>
              <w:rPr>
                <w:szCs w:val="22"/>
              </w:rPr>
            </w:pPr>
            <w:r w:rsidRPr="00327A61">
              <w:rPr>
                <w:szCs w:val="22"/>
              </w:rPr>
              <w:t>0</w:t>
            </w:r>
          </w:p>
        </w:tc>
      </w:tr>
      <w:tr w:rsidR="00381343" w:rsidRPr="00327A61" w:rsidTr="00381343">
        <w:trPr>
          <w:trHeight w:val="267"/>
          <w:jc w:val="center"/>
        </w:trPr>
        <w:tc>
          <w:tcPr>
            <w:tcW w:w="3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381343" w:rsidRPr="00327A61" w:rsidRDefault="00381343" w:rsidP="00381343">
            <w:pPr>
              <w:rPr>
                <w:szCs w:val="22"/>
              </w:rPr>
            </w:pPr>
          </w:p>
        </w:tc>
        <w:tc>
          <w:tcPr>
            <w:tcW w:w="3590" w:type="dxa"/>
            <w:tcBorders>
              <w:top w:val="nil"/>
              <w:left w:val="nil"/>
              <w:bottom w:val="single" w:sz="4" w:space="0" w:color="auto"/>
              <w:right w:val="single" w:sz="4" w:space="0" w:color="auto"/>
            </w:tcBorders>
            <w:shd w:val="clear" w:color="auto" w:fill="auto"/>
            <w:noWrap/>
            <w:vAlign w:val="bottom"/>
          </w:tcPr>
          <w:p w:rsidR="00381343" w:rsidRPr="00327A61" w:rsidRDefault="00381343" w:rsidP="00381343">
            <w:pPr>
              <w:jc w:val="right"/>
              <w:rPr>
                <w:b/>
                <w:bCs/>
                <w:szCs w:val="22"/>
              </w:rPr>
            </w:pPr>
            <w:r w:rsidRPr="00327A61">
              <w:rPr>
                <w:b/>
                <w:bCs/>
                <w:szCs w:val="22"/>
              </w:rPr>
              <w:t>Обща сума ПК</w:t>
            </w:r>
          </w:p>
        </w:tc>
        <w:tc>
          <w:tcPr>
            <w:tcW w:w="1260" w:type="dxa"/>
            <w:tcBorders>
              <w:top w:val="nil"/>
              <w:left w:val="nil"/>
              <w:bottom w:val="single" w:sz="4" w:space="0" w:color="auto"/>
              <w:right w:val="single" w:sz="4" w:space="0" w:color="auto"/>
            </w:tcBorders>
            <w:shd w:val="clear" w:color="auto" w:fill="auto"/>
            <w:noWrap/>
            <w:vAlign w:val="center"/>
          </w:tcPr>
          <w:p w:rsidR="00381343" w:rsidRPr="00327A61" w:rsidRDefault="00381343" w:rsidP="00381343">
            <w:pPr>
              <w:jc w:val="right"/>
              <w:rPr>
                <w:b/>
                <w:bCs/>
                <w:szCs w:val="22"/>
              </w:rPr>
            </w:pPr>
            <w:r w:rsidRPr="00327A61">
              <w:rPr>
                <w:b/>
                <w:bCs/>
                <w:szCs w:val="22"/>
              </w:rPr>
              <w:t>187 285</w:t>
            </w:r>
          </w:p>
        </w:tc>
        <w:tc>
          <w:tcPr>
            <w:tcW w:w="1080" w:type="dxa"/>
            <w:tcBorders>
              <w:top w:val="nil"/>
              <w:left w:val="nil"/>
              <w:bottom w:val="single" w:sz="4" w:space="0" w:color="auto"/>
              <w:right w:val="single" w:sz="4" w:space="0" w:color="auto"/>
            </w:tcBorders>
            <w:shd w:val="clear" w:color="auto" w:fill="auto"/>
            <w:noWrap/>
            <w:vAlign w:val="center"/>
          </w:tcPr>
          <w:p w:rsidR="00381343" w:rsidRPr="00327A61" w:rsidRDefault="00381343" w:rsidP="00381343">
            <w:pPr>
              <w:jc w:val="right"/>
              <w:rPr>
                <w:b/>
                <w:bCs/>
                <w:szCs w:val="22"/>
              </w:rPr>
            </w:pPr>
            <w:r w:rsidRPr="00327A61">
              <w:rPr>
                <w:b/>
                <w:bCs/>
                <w:szCs w:val="22"/>
              </w:rPr>
              <w:t>187 285</w:t>
            </w:r>
          </w:p>
        </w:tc>
        <w:tc>
          <w:tcPr>
            <w:tcW w:w="1080" w:type="dxa"/>
            <w:tcBorders>
              <w:top w:val="nil"/>
              <w:left w:val="nil"/>
              <w:bottom w:val="single" w:sz="4" w:space="0" w:color="auto"/>
              <w:right w:val="single" w:sz="4" w:space="0" w:color="auto"/>
            </w:tcBorders>
            <w:shd w:val="clear" w:color="auto" w:fill="auto"/>
            <w:vAlign w:val="center"/>
          </w:tcPr>
          <w:p w:rsidR="00381343" w:rsidRPr="00327A61" w:rsidRDefault="00381343" w:rsidP="00381343">
            <w:pPr>
              <w:jc w:val="right"/>
              <w:rPr>
                <w:b/>
                <w:bCs/>
                <w:szCs w:val="22"/>
              </w:rPr>
            </w:pPr>
            <w:r w:rsidRPr="00327A61">
              <w:rPr>
                <w:b/>
                <w:bCs/>
                <w:szCs w:val="22"/>
              </w:rPr>
              <w:t>0</w:t>
            </w:r>
          </w:p>
        </w:tc>
        <w:tc>
          <w:tcPr>
            <w:tcW w:w="971" w:type="dxa"/>
            <w:tcBorders>
              <w:top w:val="nil"/>
              <w:left w:val="nil"/>
              <w:bottom w:val="single" w:sz="4" w:space="0" w:color="auto"/>
              <w:right w:val="single" w:sz="4" w:space="0" w:color="auto"/>
            </w:tcBorders>
            <w:shd w:val="clear" w:color="auto" w:fill="auto"/>
            <w:noWrap/>
            <w:vAlign w:val="center"/>
          </w:tcPr>
          <w:p w:rsidR="00381343" w:rsidRPr="00327A61" w:rsidRDefault="00381343" w:rsidP="00381343">
            <w:pPr>
              <w:jc w:val="right"/>
              <w:rPr>
                <w:b/>
                <w:bCs/>
                <w:szCs w:val="22"/>
              </w:rPr>
            </w:pPr>
            <w:r w:rsidRPr="00327A61">
              <w:rPr>
                <w:b/>
                <w:bCs/>
                <w:szCs w:val="22"/>
              </w:rPr>
              <w:t>0</w:t>
            </w:r>
          </w:p>
        </w:tc>
        <w:tc>
          <w:tcPr>
            <w:tcW w:w="1387" w:type="dxa"/>
            <w:tcBorders>
              <w:top w:val="nil"/>
              <w:left w:val="nil"/>
              <w:bottom w:val="single" w:sz="4" w:space="0" w:color="auto"/>
              <w:right w:val="single" w:sz="4" w:space="0" w:color="auto"/>
            </w:tcBorders>
            <w:shd w:val="clear" w:color="auto" w:fill="auto"/>
            <w:noWrap/>
            <w:vAlign w:val="center"/>
          </w:tcPr>
          <w:p w:rsidR="00381343" w:rsidRPr="00327A61" w:rsidRDefault="00381343" w:rsidP="00381343">
            <w:pPr>
              <w:jc w:val="right"/>
              <w:rPr>
                <w:b/>
                <w:bCs/>
                <w:szCs w:val="22"/>
              </w:rPr>
            </w:pPr>
            <w:r w:rsidRPr="00327A61">
              <w:rPr>
                <w:b/>
                <w:bCs/>
                <w:szCs w:val="22"/>
              </w:rPr>
              <w:t>0</w:t>
            </w:r>
          </w:p>
        </w:tc>
      </w:tr>
    </w:tbl>
    <w:p w:rsidR="00D17BBE" w:rsidRDefault="00D17BBE" w:rsidP="00DD435E">
      <w:pPr>
        <w:spacing w:before="240" w:after="120"/>
        <w:ind w:firstLine="709"/>
        <w:jc w:val="both"/>
        <w:rPr>
          <w:szCs w:val="26"/>
        </w:rPr>
      </w:pPr>
    </w:p>
    <w:p w:rsidR="00E7571B" w:rsidRPr="00327A61" w:rsidRDefault="002702A5" w:rsidP="00DD435E">
      <w:pPr>
        <w:spacing w:before="240" w:after="120"/>
        <w:ind w:firstLine="709"/>
        <w:jc w:val="both"/>
      </w:pPr>
      <w:r w:rsidRPr="00327A61">
        <w:rPr>
          <w:szCs w:val="26"/>
        </w:rPr>
        <w:t>Краткосрочните задължения към доставчици и клиенти, отчетени към 31.12.2017г. възлизат на 18</w:t>
      </w:r>
      <w:r w:rsidR="00711C9D" w:rsidRPr="00327A61">
        <w:rPr>
          <w:szCs w:val="26"/>
        </w:rPr>
        <w:t>8</w:t>
      </w:r>
      <w:r w:rsidRPr="00327A61">
        <w:rPr>
          <w:szCs w:val="26"/>
        </w:rPr>
        <w:t xml:space="preserve"> хил.лв. Фирмите, на които дружеството дължи суми над хиляда лева, са посочени в горната таблица, като техния относителен размер е 31% от общите задължения към контрагенти. </w:t>
      </w:r>
      <w:bookmarkStart w:id="110" w:name="_Hlk507056853"/>
      <w:r w:rsidRPr="00327A61">
        <w:rPr>
          <w:szCs w:val="26"/>
        </w:rPr>
        <w:t>В сумата на общото задължение се калкулират и 48 хил. лв., дължими към ДП“Пристанищна инфраструктура“ съгласно договор, сключен с МТИТС и ежегодна програма по ремонт и рехабилатация към него. Сумата представлява разходи по ремонти на ДМА, които не са били извършени или завършени през 2017г. и се прехвърлят за следващата</w:t>
      </w:r>
      <w:bookmarkEnd w:id="110"/>
      <w:r w:rsidRPr="00327A61">
        <w:rPr>
          <w:szCs w:val="26"/>
        </w:rPr>
        <w:t>.</w:t>
      </w:r>
    </w:p>
    <w:p w:rsidR="00E7571B" w:rsidRDefault="00E7571B" w:rsidP="00E7571B">
      <w:pPr>
        <w:ind w:firstLine="851"/>
        <w:jc w:val="both"/>
      </w:pPr>
      <w:r w:rsidRPr="00327A61">
        <w:t xml:space="preserve">Задълженията на “Пристанищен комплекс-Русе” ЕАД </w:t>
      </w:r>
      <w:r w:rsidR="00DE4974" w:rsidRPr="00327A61">
        <w:t>към</w:t>
      </w:r>
      <w:r w:rsidRPr="00327A61">
        <w:t xml:space="preserve"> </w:t>
      </w:r>
      <w:r w:rsidR="006F77AE" w:rsidRPr="00327A61">
        <w:t xml:space="preserve">края на </w:t>
      </w:r>
      <w:r w:rsidRPr="00327A61">
        <w:t>месец декември 20</w:t>
      </w:r>
      <w:r w:rsidR="006F77AE" w:rsidRPr="00327A61">
        <w:t>1</w:t>
      </w:r>
      <w:r w:rsidR="004F3357" w:rsidRPr="00327A61">
        <w:t>6</w:t>
      </w:r>
      <w:r w:rsidR="008678A8" w:rsidRPr="00327A61">
        <w:t xml:space="preserve"> </w:t>
      </w:r>
      <w:r w:rsidRPr="00327A61">
        <w:t xml:space="preserve">г. </w:t>
      </w:r>
      <w:r w:rsidR="005A1ECC" w:rsidRPr="00327A61">
        <w:t>към</w:t>
      </w:r>
      <w:r w:rsidRPr="00327A61">
        <w:t xml:space="preserve"> доставчици</w:t>
      </w:r>
      <w:r w:rsidR="008678A8" w:rsidRPr="00327A61">
        <w:t xml:space="preserve"> и клиенти</w:t>
      </w:r>
      <w:r w:rsidRPr="00327A61">
        <w:t xml:space="preserve"> с вземания над 1</w:t>
      </w:r>
      <w:r w:rsidR="008678A8" w:rsidRPr="00327A61">
        <w:t xml:space="preserve"> </w:t>
      </w:r>
      <w:r w:rsidRPr="00327A61">
        <w:t>000 лв. са били следните:</w:t>
      </w:r>
    </w:p>
    <w:p w:rsidR="00D17BBE" w:rsidRPr="00327A61" w:rsidRDefault="00D17BBE" w:rsidP="00E7571B">
      <w:pPr>
        <w:ind w:firstLine="851"/>
        <w:jc w:val="both"/>
      </w:pPr>
    </w:p>
    <w:p w:rsidR="00E7571B" w:rsidRPr="00327A61" w:rsidRDefault="00E7571B" w:rsidP="00E7571B">
      <w:pPr>
        <w:spacing w:after="120"/>
        <w:ind w:firstLine="709"/>
        <w:jc w:val="both"/>
      </w:pPr>
    </w:p>
    <w:tbl>
      <w:tblPr>
        <w:tblW w:w="6663" w:type="dxa"/>
        <w:tblInd w:w="1771" w:type="dxa"/>
        <w:tblCellMar>
          <w:left w:w="70" w:type="dxa"/>
          <w:right w:w="70" w:type="dxa"/>
        </w:tblCellMar>
        <w:tblLook w:val="0000" w:firstRow="0" w:lastRow="0" w:firstColumn="0" w:lastColumn="0" w:noHBand="0" w:noVBand="0"/>
      </w:tblPr>
      <w:tblGrid>
        <w:gridCol w:w="459"/>
        <w:gridCol w:w="4077"/>
        <w:gridCol w:w="2127"/>
      </w:tblGrid>
      <w:tr w:rsidR="006F77AE" w:rsidRPr="00327A61" w:rsidTr="0066269C">
        <w:trPr>
          <w:trHeight w:val="427"/>
        </w:trPr>
        <w:tc>
          <w:tcPr>
            <w:tcW w:w="459" w:type="dxa"/>
            <w:tcBorders>
              <w:top w:val="single" w:sz="4" w:space="0" w:color="auto"/>
              <w:left w:val="single" w:sz="4" w:space="0" w:color="auto"/>
              <w:bottom w:val="single" w:sz="4" w:space="0" w:color="auto"/>
              <w:right w:val="single" w:sz="4" w:space="0" w:color="auto"/>
            </w:tcBorders>
            <w:vAlign w:val="center"/>
          </w:tcPr>
          <w:p w:rsidR="006F77AE" w:rsidRPr="00327A61" w:rsidRDefault="006F77AE" w:rsidP="006F77AE">
            <w:pPr>
              <w:jc w:val="center"/>
            </w:pPr>
            <w:r w:rsidRPr="00327A61">
              <w:t>№</w:t>
            </w:r>
          </w:p>
        </w:tc>
        <w:tc>
          <w:tcPr>
            <w:tcW w:w="407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F77AE" w:rsidRPr="00327A61" w:rsidRDefault="006F77AE" w:rsidP="009163A8">
            <w:pPr>
              <w:jc w:val="center"/>
              <w:rPr>
                <w:b/>
                <w:bCs/>
              </w:rPr>
            </w:pPr>
            <w:r w:rsidRPr="00327A61">
              <w:rPr>
                <w:b/>
                <w:bCs/>
              </w:rPr>
              <w:t>К</w:t>
            </w:r>
            <w:r w:rsidR="009163A8" w:rsidRPr="00327A61">
              <w:rPr>
                <w:b/>
                <w:bCs/>
              </w:rPr>
              <w:t>онтрагенти</w:t>
            </w:r>
          </w:p>
        </w:tc>
        <w:tc>
          <w:tcPr>
            <w:tcW w:w="2127" w:type="dxa"/>
            <w:tcBorders>
              <w:top w:val="single" w:sz="4" w:space="0" w:color="auto"/>
              <w:left w:val="nil"/>
              <w:bottom w:val="single" w:sz="4" w:space="0" w:color="auto"/>
              <w:right w:val="single" w:sz="4" w:space="0" w:color="auto"/>
            </w:tcBorders>
            <w:shd w:val="clear" w:color="auto" w:fill="auto"/>
            <w:vAlign w:val="center"/>
          </w:tcPr>
          <w:p w:rsidR="006F77AE" w:rsidRPr="00327A61" w:rsidRDefault="006F77AE" w:rsidP="00CD6AA0">
            <w:pPr>
              <w:jc w:val="center"/>
              <w:rPr>
                <w:b/>
                <w:bCs/>
              </w:rPr>
            </w:pPr>
            <w:r w:rsidRPr="00327A61">
              <w:rPr>
                <w:b/>
                <w:bCs/>
              </w:rPr>
              <w:t>салдо 31.12.201</w:t>
            </w:r>
            <w:r w:rsidR="0052033D" w:rsidRPr="00327A61">
              <w:rPr>
                <w:b/>
                <w:bCs/>
              </w:rPr>
              <w:t>6</w:t>
            </w:r>
          </w:p>
        </w:tc>
      </w:tr>
      <w:tr w:rsidR="00381343" w:rsidRPr="00327A61" w:rsidTr="0066269C">
        <w:trPr>
          <w:trHeight w:val="300"/>
        </w:trPr>
        <w:tc>
          <w:tcPr>
            <w:tcW w:w="459" w:type="dxa"/>
            <w:tcBorders>
              <w:top w:val="nil"/>
              <w:left w:val="single" w:sz="4" w:space="0" w:color="auto"/>
              <w:bottom w:val="single" w:sz="4" w:space="0" w:color="auto"/>
              <w:right w:val="single" w:sz="4" w:space="0" w:color="auto"/>
            </w:tcBorders>
            <w:vAlign w:val="bottom"/>
          </w:tcPr>
          <w:p w:rsidR="00381343" w:rsidRPr="00327A61" w:rsidRDefault="00381343" w:rsidP="00381343">
            <w:pPr>
              <w:jc w:val="center"/>
            </w:pPr>
            <w:r w:rsidRPr="00327A61">
              <w:t>1</w:t>
            </w:r>
          </w:p>
        </w:tc>
        <w:tc>
          <w:tcPr>
            <w:tcW w:w="4077" w:type="dxa"/>
            <w:tcBorders>
              <w:top w:val="single" w:sz="4" w:space="0" w:color="auto"/>
              <w:left w:val="nil"/>
              <w:bottom w:val="single" w:sz="4" w:space="0" w:color="auto"/>
              <w:right w:val="single" w:sz="4" w:space="0" w:color="auto"/>
            </w:tcBorders>
            <w:shd w:val="clear" w:color="auto" w:fill="auto"/>
            <w:noWrap/>
            <w:vAlign w:val="bottom"/>
          </w:tcPr>
          <w:p w:rsidR="00381343" w:rsidRPr="00327A61" w:rsidRDefault="00381343" w:rsidP="00381343">
            <w:r w:rsidRPr="00327A61">
              <w:t>АСОП "Щит" ЕООД</w:t>
            </w:r>
          </w:p>
        </w:tc>
        <w:tc>
          <w:tcPr>
            <w:tcW w:w="2127" w:type="dxa"/>
            <w:tcBorders>
              <w:top w:val="single" w:sz="4" w:space="0" w:color="auto"/>
              <w:left w:val="nil"/>
              <w:bottom w:val="single" w:sz="4" w:space="0" w:color="auto"/>
              <w:right w:val="single" w:sz="4" w:space="0" w:color="auto"/>
            </w:tcBorders>
            <w:shd w:val="clear" w:color="auto" w:fill="auto"/>
            <w:noWrap/>
            <w:vAlign w:val="bottom"/>
          </w:tcPr>
          <w:p w:rsidR="00381343" w:rsidRPr="00327A61" w:rsidRDefault="00381343" w:rsidP="00381343">
            <w:pPr>
              <w:jc w:val="right"/>
            </w:pPr>
            <w:r w:rsidRPr="00327A61">
              <w:t>34 675</w:t>
            </w:r>
          </w:p>
        </w:tc>
      </w:tr>
      <w:tr w:rsidR="00381343" w:rsidRPr="00327A61" w:rsidTr="0066269C">
        <w:trPr>
          <w:trHeight w:val="300"/>
        </w:trPr>
        <w:tc>
          <w:tcPr>
            <w:tcW w:w="459" w:type="dxa"/>
            <w:tcBorders>
              <w:top w:val="nil"/>
              <w:left w:val="single" w:sz="4" w:space="0" w:color="auto"/>
              <w:bottom w:val="single" w:sz="4" w:space="0" w:color="auto"/>
              <w:right w:val="single" w:sz="4" w:space="0" w:color="auto"/>
            </w:tcBorders>
            <w:vAlign w:val="bottom"/>
          </w:tcPr>
          <w:p w:rsidR="00381343" w:rsidRPr="00327A61" w:rsidRDefault="00381343" w:rsidP="00381343">
            <w:pPr>
              <w:jc w:val="center"/>
            </w:pPr>
            <w:r w:rsidRPr="00327A61">
              <w:t>2</w:t>
            </w:r>
          </w:p>
        </w:tc>
        <w:tc>
          <w:tcPr>
            <w:tcW w:w="4077" w:type="dxa"/>
            <w:tcBorders>
              <w:top w:val="nil"/>
              <w:left w:val="nil"/>
              <w:bottom w:val="single" w:sz="4" w:space="0" w:color="auto"/>
              <w:right w:val="single" w:sz="4" w:space="0" w:color="auto"/>
            </w:tcBorders>
            <w:shd w:val="clear" w:color="auto" w:fill="auto"/>
            <w:noWrap/>
            <w:vAlign w:val="bottom"/>
          </w:tcPr>
          <w:p w:rsidR="00381343" w:rsidRPr="00327A61" w:rsidRDefault="00381343" w:rsidP="00381343">
            <w:r w:rsidRPr="00327A61">
              <w:t>CNFR Navrom SA Галац</w:t>
            </w:r>
          </w:p>
        </w:tc>
        <w:tc>
          <w:tcPr>
            <w:tcW w:w="2127" w:type="dxa"/>
            <w:tcBorders>
              <w:top w:val="nil"/>
              <w:left w:val="nil"/>
              <w:bottom w:val="single" w:sz="4" w:space="0" w:color="auto"/>
              <w:right w:val="single" w:sz="4" w:space="0" w:color="auto"/>
            </w:tcBorders>
            <w:shd w:val="clear" w:color="auto" w:fill="auto"/>
            <w:noWrap/>
            <w:vAlign w:val="bottom"/>
          </w:tcPr>
          <w:p w:rsidR="00381343" w:rsidRPr="00327A61" w:rsidRDefault="00381343" w:rsidP="00381343">
            <w:pPr>
              <w:jc w:val="right"/>
            </w:pPr>
            <w:r w:rsidRPr="00327A61">
              <w:t>11 852</w:t>
            </w:r>
          </w:p>
        </w:tc>
      </w:tr>
      <w:tr w:rsidR="00381343" w:rsidRPr="00327A61" w:rsidTr="0066269C">
        <w:trPr>
          <w:trHeight w:val="300"/>
        </w:trPr>
        <w:tc>
          <w:tcPr>
            <w:tcW w:w="459" w:type="dxa"/>
            <w:tcBorders>
              <w:top w:val="nil"/>
              <w:left w:val="single" w:sz="4" w:space="0" w:color="auto"/>
              <w:bottom w:val="single" w:sz="4" w:space="0" w:color="auto"/>
              <w:right w:val="single" w:sz="4" w:space="0" w:color="auto"/>
            </w:tcBorders>
            <w:vAlign w:val="bottom"/>
          </w:tcPr>
          <w:p w:rsidR="00381343" w:rsidRPr="00327A61" w:rsidRDefault="00381343" w:rsidP="00381343">
            <w:pPr>
              <w:jc w:val="center"/>
            </w:pPr>
            <w:r w:rsidRPr="00327A61">
              <w:t>3</w:t>
            </w:r>
          </w:p>
        </w:tc>
        <w:tc>
          <w:tcPr>
            <w:tcW w:w="4077" w:type="dxa"/>
            <w:tcBorders>
              <w:top w:val="nil"/>
              <w:left w:val="nil"/>
              <w:bottom w:val="single" w:sz="4" w:space="0" w:color="auto"/>
              <w:right w:val="single" w:sz="4" w:space="0" w:color="auto"/>
            </w:tcBorders>
            <w:shd w:val="clear" w:color="auto" w:fill="auto"/>
            <w:noWrap/>
            <w:vAlign w:val="bottom"/>
          </w:tcPr>
          <w:p w:rsidR="00381343" w:rsidRPr="00327A61" w:rsidRDefault="00381343" w:rsidP="00381343">
            <w:r w:rsidRPr="00327A61">
              <w:t>"Топлофикация Русе" ЕАД</w:t>
            </w:r>
          </w:p>
        </w:tc>
        <w:tc>
          <w:tcPr>
            <w:tcW w:w="2127" w:type="dxa"/>
            <w:tcBorders>
              <w:top w:val="nil"/>
              <w:left w:val="nil"/>
              <w:bottom w:val="single" w:sz="4" w:space="0" w:color="auto"/>
              <w:right w:val="single" w:sz="4" w:space="0" w:color="auto"/>
            </w:tcBorders>
            <w:shd w:val="clear" w:color="auto" w:fill="auto"/>
            <w:noWrap/>
            <w:vAlign w:val="bottom"/>
          </w:tcPr>
          <w:p w:rsidR="00381343" w:rsidRPr="00327A61" w:rsidRDefault="00381343" w:rsidP="00381343">
            <w:pPr>
              <w:jc w:val="right"/>
            </w:pPr>
            <w:r w:rsidRPr="00327A61">
              <w:t>10 306</w:t>
            </w:r>
          </w:p>
        </w:tc>
      </w:tr>
      <w:tr w:rsidR="00381343" w:rsidRPr="00327A61" w:rsidTr="0066269C">
        <w:trPr>
          <w:trHeight w:val="300"/>
        </w:trPr>
        <w:tc>
          <w:tcPr>
            <w:tcW w:w="459" w:type="dxa"/>
            <w:tcBorders>
              <w:top w:val="nil"/>
              <w:left w:val="single" w:sz="4" w:space="0" w:color="auto"/>
              <w:bottom w:val="single" w:sz="4" w:space="0" w:color="auto"/>
              <w:right w:val="single" w:sz="4" w:space="0" w:color="auto"/>
            </w:tcBorders>
            <w:vAlign w:val="bottom"/>
          </w:tcPr>
          <w:p w:rsidR="00381343" w:rsidRPr="00327A61" w:rsidRDefault="00381343" w:rsidP="00381343">
            <w:pPr>
              <w:jc w:val="center"/>
              <w:rPr>
                <w:lang w:val="en-US"/>
              </w:rPr>
            </w:pPr>
            <w:r w:rsidRPr="00327A61">
              <w:rPr>
                <w:lang w:val="en-US"/>
              </w:rPr>
              <w:t>4</w:t>
            </w:r>
          </w:p>
        </w:tc>
        <w:tc>
          <w:tcPr>
            <w:tcW w:w="4077" w:type="dxa"/>
            <w:tcBorders>
              <w:top w:val="nil"/>
              <w:left w:val="nil"/>
              <w:bottom w:val="single" w:sz="4" w:space="0" w:color="auto"/>
              <w:right w:val="single" w:sz="4" w:space="0" w:color="auto"/>
            </w:tcBorders>
            <w:shd w:val="clear" w:color="auto" w:fill="auto"/>
            <w:noWrap/>
            <w:vAlign w:val="bottom"/>
          </w:tcPr>
          <w:p w:rsidR="00381343" w:rsidRPr="00327A61" w:rsidRDefault="00381343" w:rsidP="00381343">
            <w:r w:rsidRPr="00327A61">
              <w:t>"ДМВ" ЕООД</w:t>
            </w:r>
          </w:p>
        </w:tc>
        <w:tc>
          <w:tcPr>
            <w:tcW w:w="2127" w:type="dxa"/>
            <w:tcBorders>
              <w:top w:val="nil"/>
              <w:left w:val="nil"/>
              <w:bottom w:val="single" w:sz="4" w:space="0" w:color="auto"/>
              <w:right w:val="single" w:sz="4" w:space="0" w:color="auto"/>
            </w:tcBorders>
            <w:shd w:val="clear" w:color="auto" w:fill="auto"/>
            <w:noWrap/>
            <w:vAlign w:val="bottom"/>
          </w:tcPr>
          <w:p w:rsidR="00381343" w:rsidRPr="00327A61" w:rsidRDefault="00381343" w:rsidP="00381343">
            <w:pPr>
              <w:jc w:val="right"/>
            </w:pPr>
            <w:r w:rsidRPr="00327A61">
              <w:t>9 374</w:t>
            </w:r>
          </w:p>
        </w:tc>
      </w:tr>
      <w:tr w:rsidR="00381343" w:rsidRPr="00327A61" w:rsidTr="0066269C">
        <w:trPr>
          <w:trHeight w:val="300"/>
        </w:trPr>
        <w:tc>
          <w:tcPr>
            <w:tcW w:w="459" w:type="dxa"/>
            <w:tcBorders>
              <w:top w:val="nil"/>
              <w:left w:val="single" w:sz="4" w:space="0" w:color="auto"/>
              <w:bottom w:val="single" w:sz="4" w:space="0" w:color="auto"/>
              <w:right w:val="single" w:sz="4" w:space="0" w:color="auto"/>
            </w:tcBorders>
            <w:vAlign w:val="bottom"/>
          </w:tcPr>
          <w:p w:rsidR="00381343" w:rsidRPr="00327A61" w:rsidRDefault="00381343" w:rsidP="00381343">
            <w:pPr>
              <w:jc w:val="center"/>
            </w:pPr>
            <w:r w:rsidRPr="00327A61">
              <w:t>5</w:t>
            </w:r>
          </w:p>
        </w:tc>
        <w:tc>
          <w:tcPr>
            <w:tcW w:w="4077" w:type="dxa"/>
            <w:tcBorders>
              <w:top w:val="nil"/>
              <w:left w:val="nil"/>
              <w:bottom w:val="single" w:sz="4" w:space="0" w:color="auto"/>
              <w:right w:val="single" w:sz="4" w:space="0" w:color="auto"/>
            </w:tcBorders>
            <w:shd w:val="clear" w:color="auto" w:fill="auto"/>
            <w:noWrap/>
            <w:vAlign w:val="bottom"/>
          </w:tcPr>
          <w:p w:rsidR="00381343" w:rsidRPr="00327A61" w:rsidRDefault="00381343" w:rsidP="00381343">
            <w:r w:rsidRPr="00327A61">
              <w:t>СИДП ДП ТП ДГС Върбица</w:t>
            </w:r>
          </w:p>
        </w:tc>
        <w:tc>
          <w:tcPr>
            <w:tcW w:w="2127" w:type="dxa"/>
            <w:tcBorders>
              <w:top w:val="nil"/>
              <w:left w:val="nil"/>
              <w:bottom w:val="single" w:sz="4" w:space="0" w:color="auto"/>
              <w:right w:val="single" w:sz="4" w:space="0" w:color="auto"/>
            </w:tcBorders>
            <w:shd w:val="clear" w:color="auto" w:fill="auto"/>
            <w:noWrap/>
            <w:vAlign w:val="bottom"/>
          </w:tcPr>
          <w:p w:rsidR="00381343" w:rsidRPr="00327A61" w:rsidRDefault="00381343" w:rsidP="00381343">
            <w:pPr>
              <w:jc w:val="right"/>
            </w:pPr>
            <w:r w:rsidRPr="00327A61">
              <w:t>1 301</w:t>
            </w:r>
          </w:p>
        </w:tc>
      </w:tr>
      <w:tr w:rsidR="0052033D" w:rsidRPr="00327A61" w:rsidTr="00711C9D">
        <w:trPr>
          <w:trHeight w:val="300"/>
        </w:trPr>
        <w:tc>
          <w:tcPr>
            <w:tcW w:w="459" w:type="dxa"/>
            <w:tcBorders>
              <w:top w:val="nil"/>
              <w:left w:val="single" w:sz="4" w:space="0" w:color="auto"/>
              <w:bottom w:val="single" w:sz="4" w:space="0" w:color="auto"/>
              <w:right w:val="single" w:sz="4" w:space="0" w:color="auto"/>
            </w:tcBorders>
            <w:vAlign w:val="bottom"/>
          </w:tcPr>
          <w:p w:rsidR="0052033D" w:rsidRPr="00327A61" w:rsidRDefault="0052033D" w:rsidP="00381343">
            <w:pPr>
              <w:jc w:val="center"/>
            </w:pPr>
            <w:r w:rsidRPr="00327A61">
              <w:t>6</w:t>
            </w:r>
          </w:p>
        </w:tc>
        <w:tc>
          <w:tcPr>
            <w:tcW w:w="4077" w:type="dxa"/>
            <w:tcBorders>
              <w:top w:val="nil"/>
              <w:left w:val="nil"/>
              <w:bottom w:val="single" w:sz="4" w:space="0" w:color="auto"/>
              <w:right w:val="single" w:sz="4" w:space="0" w:color="auto"/>
            </w:tcBorders>
            <w:shd w:val="clear" w:color="auto" w:fill="auto"/>
            <w:noWrap/>
            <w:vAlign w:val="bottom"/>
          </w:tcPr>
          <w:p w:rsidR="0052033D" w:rsidRPr="00327A61" w:rsidRDefault="0052033D" w:rsidP="00381343">
            <w:r w:rsidRPr="00327A61">
              <w:t>Други</w:t>
            </w:r>
          </w:p>
        </w:tc>
        <w:tc>
          <w:tcPr>
            <w:tcW w:w="2127" w:type="dxa"/>
            <w:tcBorders>
              <w:top w:val="nil"/>
              <w:left w:val="nil"/>
              <w:bottom w:val="single" w:sz="4" w:space="0" w:color="auto"/>
              <w:right w:val="single" w:sz="4" w:space="0" w:color="auto"/>
            </w:tcBorders>
            <w:shd w:val="clear" w:color="auto" w:fill="auto"/>
            <w:noWrap/>
            <w:vAlign w:val="bottom"/>
          </w:tcPr>
          <w:p w:rsidR="0052033D" w:rsidRPr="00327A61" w:rsidRDefault="0052033D" w:rsidP="00381343">
            <w:pPr>
              <w:jc w:val="right"/>
            </w:pPr>
            <w:r w:rsidRPr="00327A61">
              <w:t>110 742</w:t>
            </w:r>
          </w:p>
        </w:tc>
      </w:tr>
      <w:tr w:rsidR="00300C33" w:rsidRPr="00327A61" w:rsidTr="00711C9D">
        <w:trPr>
          <w:trHeight w:val="399"/>
        </w:trPr>
        <w:tc>
          <w:tcPr>
            <w:tcW w:w="459" w:type="dxa"/>
            <w:tcBorders>
              <w:top w:val="single" w:sz="4" w:space="0" w:color="auto"/>
              <w:left w:val="single" w:sz="4" w:space="0" w:color="auto"/>
              <w:bottom w:val="single" w:sz="4" w:space="0" w:color="auto"/>
              <w:right w:val="single" w:sz="4" w:space="0" w:color="auto"/>
            </w:tcBorders>
            <w:vAlign w:val="bottom"/>
          </w:tcPr>
          <w:p w:rsidR="00300C33" w:rsidRPr="00327A61" w:rsidRDefault="00300C33" w:rsidP="006F77AE">
            <w:pPr>
              <w:jc w:val="center"/>
              <w:rPr>
                <w:lang w:val="en-US"/>
              </w:rPr>
            </w:pPr>
          </w:p>
        </w:tc>
        <w:tc>
          <w:tcPr>
            <w:tcW w:w="4077" w:type="dxa"/>
            <w:tcBorders>
              <w:top w:val="single" w:sz="4" w:space="0" w:color="auto"/>
              <w:left w:val="single" w:sz="4" w:space="0" w:color="auto"/>
              <w:bottom w:val="single" w:sz="4" w:space="0" w:color="auto"/>
              <w:right w:val="single" w:sz="4" w:space="0" w:color="auto"/>
            </w:tcBorders>
            <w:shd w:val="clear" w:color="auto" w:fill="auto"/>
            <w:noWrap/>
            <w:vAlign w:val="bottom"/>
          </w:tcPr>
          <w:p w:rsidR="00300C33" w:rsidRPr="00327A61" w:rsidRDefault="00300C33" w:rsidP="0087354A">
            <w:pPr>
              <w:rPr>
                <w:b/>
                <w:bCs/>
              </w:rPr>
            </w:pPr>
            <w:r w:rsidRPr="00327A61">
              <w:rPr>
                <w:b/>
                <w:bCs/>
              </w:rPr>
              <w:t>Обща сума ПК</w:t>
            </w:r>
          </w:p>
        </w:tc>
        <w:tc>
          <w:tcPr>
            <w:tcW w:w="2127" w:type="dxa"/>
            <w:tcBorders>
              <w:top w:val="single" w:sz="4" w:space="0" w:color="auto"/>
              <w:left w:val="nil"/>
              <w:bottom w:val="single" w:sz="4" w:space="0" w:color="auto"/>
              <w:right w:val="single" w:sz="4" w:space="0" w:color="auto"/>
            </w:tcBorders>
            <w:shd w:val="clear" w:color="auto" w:fill="auto"/>
            <w:noWrap/>
            <w:vAlign w:val="bottom"/>
          </w:tcPr>
          <w:p w:rsidR="00300C33" w:rsidRPr="00327A61" w:rsidRDefault="00381343" w:rsidP="0087354A">
            <w:pPr>
              <w:jc w:val="right"/>
              <w:rPr>
                <w:b/>
                <w:bCs/>
              </w:rPr>
            </w:pPr>
            <w:r w:rsidRPr="00327A61">
              <w:rPr>
                <w:b/>
                <w:bCs/>
              </w:rPr>
              <w:t>178 250</w:t>
            </w:r>
          </w:p>
        </w:tc>
      </w:tr>
    </w:tbl>
    <w:p w:rsidR="009C3628" w:rsidRPr="00327A61" w:rsidRDefault="009C3628" w:rsidP="0035774F">
      <w:pPr>
        <w:pStyle w:val="BodyText"/>
      </w:pPr>
    </w:p>
    <w:p w:rsidR="00711C9D" w:rsidRPr="00327A61" w:rsidRDefault="00711C9D" w:rsidP="0035774F">
      <w:pPr>
        <w:pStyle w:val="BodyText"/>
      </w:pPr>
    </w:p>
    <w:p w:rsidR="006A52D1" w:rsidRPr="00327A61" w:rsidRDefault="006A52D1" w:rsidP="00DD76F5">
      <w:pPr>
        <w:pStyle w:val="Heading1"/>
        <w:numPr>
          <w:ilvl w:val="0"/>
          <w:numId w:val="2"/>
        </w:numPr>
        <w:tabs>
          <w:tab w:val="clear" w:pos="720"/>
          <w:tab w:val="num" w:pos="1080"/>
          <w:tab w:val="num" w:pos="3196"/>
        </w:tabs>
        <w:spacing w:after="120"/>
        <w:ind w:left="714" w:hanging="357"/>
        <w:jc w:val="center"/>
        <w:rPr>
          <w:rFonts w:ascii="Times New Roman" w:hAnsi="Times New Roman"/>
          <w:sz w:val="24"/>
        </w:rPr>
      </w:pPr>
      <w:bookmarkStart w:id="111" w:name="_Toc288478124"/>
      <w:bookmarkStart w:id="112" w:name="_Toc477959782"/>
      <w:r w:rsidRPr="00327A61">
        <w:rPr>
          <w:rFonts w:ascii="Times New Roman" w:hAnsi="Times New Roman"/>
          <w:sz w:val="24"/>
        </w:rPr>
        <w:t>ПАЗАРНИ ПЕРСПЕКТИВИ ЗА 201</w:t>
      </w:r>
      <w:r w:rsidRPr="00327A61">
        <w:rPr>
          <w:rFonts w:ascii="Times New Roman" w:hAnsi="Times New Roman"/>
          <w:sz w:val="24"/>
          <w:lang w:val="en-US"/>
        </w:rPr>
        <w:t>8</w:t>
      </w:r>
      <w:r w:rsidRPr="00327A61">
        <w:rPr>
          <w:rFonts w:ascii="Times New Roman" w:hAnsi="Times New Roman"/>
          <w:sz w:val="24"/>
        </w:rPr>
        <w:t xml:space="preserve"> г.</w:t>
      </w:r>
      <w:bookmarkEnd w:id="111"/>
      <w:bookmarkEnd w:id="112"/>
    </w:p>
    <w:p w:rsidR="006A52D1" w:rsidRDefault="00711C9D" w:rsidP="006A52D1">
      <w:pPr>
        <w:spacing w:after="120"/>
        <w:ind w:firstLine="720"/>
        <w:jc w:val="both"/>
        <w:rPr>
          <w:rFonts w:eastAsia="Times New Roman"/>
          <w:lang w:eastAsia="bg-BG"/>
        </w:rPr>
      </w:pPr>
      <w:r w:rsidRPr="00327A61">
        <w:rPr>
          <w:rFonts w:eastAsia="Times New Roman"/>
          <w:lang w:eastAsia="bg-BG"/>
        </w:rPr>
        <w:t>През</w:t>
      </w:r>
      <w:r w:rsidR="006A52D1" w:rsidRPr="00327A61">
        <w:rPr>
          <w:rFonts w:eastAsia="Times New Roman"/>
          <w:lang w:eastAsia="bg-BG"/>
        </w:rPr>
        <w:t xml:space="preserve"> 201</w:t>
      </w:r>
      <w:r w:rsidR="006A52D1" w:rsidRPr="00327A61">
        <w:rPr>
          <w:rFonts w:eastAsia="Times New Roman"/>
          <w:lang w:val="en-US" w:eastAsia="bg-BG"/>
        </w:rPr>
        <w:t>8</w:t>
      </w:r>
      <w:r w:rsidR="006A52D1" w:rsidRPr="00327A61">
        <w:rPr>
          <w:rFonts w:eastAsia="Times New Roman"/>
          <w:lang w:eastAsia="bg-BG"/>
        </w:rPr>
        <w:t xml:space="preserve">г. за поредна година прогнозите са </w:t>
      </w:r>
      <w:r w:rsidRPr="00327A61">
        <w:rPr>
          <w:rFonts w:eastAsia="Times New Roman"/>
          <w:lang w:eastAsia="bg-BG"/>
        </w:rPr>
        <w:t xml:space="preserve">за </w:t>
      </w:r>
      <w:r w:rsidR="006A52D1" w:rsidRPr="00327A61">
        <w:rPr>
          <w:rFonts w:eastAsia="Times New Roman"/>
          <w:lang w:eastAsia="bg-BG"/>
        </w:rPr>
        <w:t xml:space="preserve">липса на изразителен икономически растеж на глобалния пазар на стоки и услуги. Като един от водните портали на страната, „Пристанищен комплекс – Русе“ ЕАД ще развива дейност в една ниша на постоянно увеличаващ се конкурентен натиск при липса на отчетлив ръст в доставките на товари за обработка и складиране. </w:t>
      </w:r>
    </w:p>
    <w:p w:rsidR="00D17BBE" w:rsidRDefault="00D17BBE" w:rsidP="006A52D1">
      <w:pPr>
        <w:spacing w:after="120"/>
        <w:ind w:firstLine="720"/>
        <w:jc w:val="both"/>
        <w:rPr>
          <w:rFonts w:eastAsia="Times New Roman"/>
          <w:lang w:eastAsia="bg-BG"/>
        </w:rPr>
      </w:pPr>
    </w:p>
    <w:p w:rsidR="00D17BBE" w:rsidRDefault="00D17BBE" w:rsidP="006A52D1">
      <w:pPr>
        <w:spacing w:after="120"/>
        <w:ind w:firstLine="720"/>
        <w:jc w:val="both"/>
        <w:rPr>
          <w:rFonts w:eastAsia="Times New Roman"/>
          <w:lang w:eastAsia="bg-BG"/>
        </w:rPr>
      </w:pPr>
    </w:p>
    <w:p w:rsidR="00D17BBE" w:rsidRPr="00327A61" w:rsidRDefault="00D17BBE" w:rsidP="006A52D1">
      <w:pPr>
        <w:spacing w:after="120"/>
        <w:ind w:firstLine="720"/>
        <w:jc w:val="both"/>
        <w:rPr>
          <w:rFonts w:eastAsia="Times New Roman"/>
          <w:lang w:eastAsia="bg-BG"/>
        </w:rPr>
      </w:pPr>
    </w:p>
    <w:p w:rsidR="006A52D1" w:rsidRPr="00327A61" w:rsidRDefault="006A52D1" w:rsidP="006A52D1">
      <w:pPr>
        <w:pStyle w:val="BodyTextIndent"/>
        <w:spacing w:after="120"/>
        <w:ind w:firstLine="709"/>
        <w:rPr>
          <w:b/>
          <w:i/>
          <w:color w:val="000000"/>
          <w:u w:val="single"/>
        </w:rPr>
      </w:pPr>
      <w:r w:rsidRPr="00327A61">
        <w:rPr>
          <w:b/>
          <w:i/>
          <w:color w:val="000000"/>
          <w:u w:val="single"/>
        </w:rPr>
        <w:lastRenderedPageBreak/>
        <w:t>Вероятно бъдещо развитие на предприятието</w:t>
      </w:r>
    </w:p>
    <w:p w:rsidR="006A52D1" w:rsidRPr="00327A61" w:rsidRDefault="006A52D1" w:rsidP="006A52D1">
      <w:pPr>
        <w:shd w:val="clear" w:color="auto" w:fill="FFFFFF"/>
        <w:tabs>
          <w:tab w:val="left" w:pos="624"/>
        </w:tabs>
        <w:spacing w:after="120"/>
        <w:ind w:left="14" w:firstLine="709"/>
        <w:jc w:val="both"/>
        <w:rPr>
          <w:color w:val="000000"/>
        </w:rPr>
      </w:pPr>
      <w:r w:rsidRPr="00327A61">
        <w:rPr>
          <w:color w:val="000000"/>
        </w:rPr>
        <w:t>През последните години се наблюдава засилена динамика на процесите в сектора на предлагане на пристанищни услуги в българския участък на река Дунав. Обемите в различни групи товари, предоставяни за обработка и складиране, силно варират на годишна база. Същевременно през 201</w:t>
      </w:r>
      <w:r w:rsidRPr="00327A61">
        <w:rPr>
          <w:color w:val="000000"/>
          <w:lang w:val="en-US"/>
        </w:rPr>
        <w:t>7</w:t>
      </w:r>
      <w:r w:rsidRPr="00327A61">
        <w:rPr>
          <w:color w:val="000000"/>
        </w:rPr>
        <w:t>г. за поредна година пазарната ниша на този вид услуги в региона на Русе не отбеляза съществен ръст. На база гореописаните тенденции би могло да се каже, че в последните няколко години основния товарен терминал на комплекса Русе-изток работи с един своеобразен оптимум от своя капацитет и потенциал. За 201</w:t>
      </w:r>
      <w:r w:rsidRPr="00327A61">
        <w:rPr>
          <w:color w:val="000000"/>
          <w:lang w:val="en-US"/>
        </w:rPr>
        <w:t>8</w:t>
      </w:r>
      <w:r w:rsidRPr="00327A61">
        <w:rPr>
          <w:color w:val="000000"/>
        </w:rPr>
        <w:t>г. дружеството ще заложи на утвърдените добри практики от дейността си, целящи задържане на съществуващия портфейл от клиенти, респ. товари, както и привличането на нови, ако пазарната конюнктура позволява подобна маркетингова експанзия. В дейността си дружеството най-вероятно ще се изправи пред следните предизвикателства:</w:t>
      </w:r>
    </w:p>
    <w:p w:rsidR="006A52D1" w:rsidRPr="00327A61" w:rsidRDefault="006A52D1" w:rsidP="00671A5A">
      <w:pPr>
        <w:numPr>
          <w:ilvl w:val="0"/>
          <w:numId w:val="12"/>
        </w:numPr>
        <w:shd w:val="clear" w:color="auto" w:fill="FFFFFF"/>
        <w:tabs>
          <w:tab w:val="left" w:pos="1418"/>
        </w:tabs>
        <w:spacing w:after="120"/>
        <w:ind w:left="0" w:firstLine="993"/>
        <w:jc w:val="both"/>
        <w:rPr>
          <w:color w:val="000000"/>
        </w:rPr>
      </w:pPr>
      <w:r w:rsidRPr="00327A61">
        <w:rPr>
          <w:color w:val="000000"/>
        </w:rPr>
        <w:t xml:space="preserve">Дружеството изпитва изключително голям </w:t>
      </w:r>
      <w:r w:rsidRPr="00327A61">
        <w:rPr>
          <w:b/>
          <w:color w:val="000000"/>
        </w:rPr>
        <w:t>конкурентен натиск</w:t>
      </w:r>
      <w:r w:rsidRPr="00327A61">
        <w:rPr>
          <w:color w:val="000000"/>
        </w:rPr>
        <w:t xml:space="preserve"> в последните години. Към момента на територията на регион Русе функционират четири пазарни субекта, предлагащи пристанищни услуги – два с национално и два с регионално значение. Три от изброените са пряка конкуренция на основния товарен терминал на комплекса, терминал Русе-изток. По-малкия капацитет на конкурентните портове им позволява те да работят с далеч по-ниски експлоатационни разходи, тоест да предлагат по-ниски цени за извършваните услуги. От друга страна занижените в последните години обеми на товаропотока прави възможно тези редуцирани доставки да бъдат поемани и от по-малки от Русе-изток терминали. По отношение конкретно на складовите услуги, такива в регион Русе предлагат и други пазарни субекти. Наблюдава се и тенденция част от клиентите да инвестират в собствени складови бази, разположени в близост до основните пътни артерии на града. </w:t>
      </w:r>
    </w:p>
    <w:p w:rsidR="006A52D1" w:rsidRPr="00327A61" w:rsidRDefault="006A52D1" w:rsidP="00671A5A">
      <w:pPr>
        <w:numPr>
          <w:ilvl w:val="0"/>
          <w:numId w:val="12"/>
        </w:numPr>
        <w:shd w:val="clear" w:color="auto" w:fill="FFFFFF"/>
        <w:tabs>
          <w:tab w:val="left" w:pos="1418"/>
        </w:tabs>
        <w:spacing w:after="120"/>
        <w:ind w:left="0" w:firstLine="993"/>
        <w:jc w:val="both"/>
        <w:rPr>
          <w:color w:val="000000"/>
        </w:rPr>
      </w:pPr>
      <w:r w:rsidRPr="00327A61">
        <w:rPr>
          <w:b/>
          <w:color w:val="000000"/>
        </w:rPr>
        <w:t>Липсата на изразителен икономически растеж</w:t>
      </w:r>
      <w:r w:rsidRPr="00327A61">
        <w:rPr>
          <w:color w:val="000000"/>
        </w:rPr>
        <w:t xml:space="preserve"> за поредна година ще ограничава опциите за разширяване дейността на „Пристанищен комплекс – Русе“ ЕАД. Въпреки, че дружеството разполага с опитен персонал, товарен терминал с голям капацитет и предлага качествени услуги, външни за дейността фактори възпрепятстват една изразителна пазарна експанзия. Клиентите на дружеството осъществят по-скоро краткосрочни логистични схеми, които бележат пикове и спадове. Липсват дългосрочно гарантирани товаропотоци, което от своя страна променя логистиката по отношение обем и направление на доставките сравнително често.</w:t>
      </w:r>
    </w:p>
    <w:p w:rsidR="006A52D1" w:rsidRPr="00327A61" w:rsidRDefault="006A52D1" w:rsidP="00671A5A">
      <w:pPr>
        <w:numPr>
          <w:ilvl w:val="0"/>
          <w:numId w:val="12"/>
        </w:numPr>
        <w:shd w:val="clear" w:color="auto" w:fill="FFFFFF"/>
        <w:tabs>
          <w:tab w:val="left" w:pos="1418"/>
        </w:tabs>
        <w:spacing w:after="120"/>
        <w:ind w:left="0" w:firstLine="993"/>
        <w:jc w:val="both"/>
      </w:pPr>
      <w:r w:rsidRPr="00327A61">
        <w:t xml:space="preserve">В предвид на съществуващата сега правна рамка </w:t>
      </w:r>
      <w:r w:rsidR="00671A5A" w:rsidRPr="00327A61">
        <w:t>р</w:t>
      </w:r>
      <w:r w:rsidRPr="00327A61">
        <w:t xml:space="preserve">ъководството на </w:t>
      </w:r>
      <w:r w:rsidR="00671A5A" w:rsidRPr="00327A61">
        <w:t>д</w:t>
      </w:r>
      <w:r w:rsidRPr="00327A61">
        <w:t xml:space="preserve">ружеството взе решение </w:t>
      </w:r>
      <w:r w:rsidRPr="00327A61">
        <w:rPr>
          <w:b/>
        </w:rPr>
        <w:t>да бъде изграден логистичен склад</w:t>
      </w:r>
      <w:r w:rsidRPr="00327A61">
        <w:t>. Предимството е, че на територията на област Русе има недостатъчно развита база от логистични складове. Наличието на складови площи прави пристанището атрактивно на своите клиенти. Складовете трябва да са пригодни за опазването и защитата на товарите от повреда и загуби, както и за тяхната подготовка за по-нататъшната им обработка и транспортиране по определени технологии. Съвременните складове разполагат със свои специализирани подемно-транспортни машини и съоръжения, които осигуряват пълна механизация и автоматизация на складовите процеси. Ще бъдат извършени инвестиции в изграждането на нови складови площи, полагането на нова пътна настилка, също и в закупуването на ново, високотехнологично оборудване, което ще допринесе за повишаването на конкурентните предимства чрез увеличаване на производителността при обработката на товарите на кея и в тила (складовете), намаляването на времето за обработка на товарите, престоят на корабите, автомобилите/камионите и ж.п. вагоните в пристанището и съответно намаляване на логистичните разходи на товародателите.</w:t>
      </w:r>
    </w:p>
    <w:p w:rsidR="006A52D1" w:rsidRPr="00327A61" w:rsidRDefault="006A52D1" w:rsidP="006A52D1">
      <w:pPr>
        <w:shd w:val="clear" w:color="auto" w:fill="FFFFFF"/>
        <w:tabs>
          <w:tab w:val="left" w:pos="624"/>
        </w:tabs>
        <w:spacing w:after="120"/>
        <w:ind w:firstLine="889"/>
        <w:jc w:val="both"/>
        <w:rPr>
          <w:rFonts w:ascii="Tahoma" w:hAnsi="Tahoma" w:cs="Tahoma"/>
          <w:color w:val="777777"/>
          <w:sz w:val="20"/>
          <w:szCs w:val="20"/>
          <w:shd w:val="clear" w:color="auto" w:fill="F3F3F3"/>
        </w:rPr>
      </w:pPr>
      <w:r w:rsidRPr="00327A61">
        <w:t xml:space="preserve">Във връзка с интегрирането и модернизирането на българската транспортна система като част от европейските структури и отчитайки кръстопътното положение на България и нейния транзитен потенциал, възниква необходимостта от развитие на транспортната </w:t>
      </w:r>
      <w:r w:rsidRPr="00327A61">
        <w:lastRenderedPageBreak/>
        <w:t>инфраструктура</w:t>
      </w:r>
      <w:r w:rsidR="00671A5A" w:rsidRPr="00327A61">
        <w:t>,</w:t>
      </w:r>
      <w:r w:rsidRPr="00327A61">
        <w:t xml:space="preserve"> чрез разработването на подходящи логистични методи за осигуряване на ефикасен, ефективен и устойчив на външни влияния транспорт.</w:t>
      </w:r>
      <w:r w:rsidRPr="00327A61">
        <w:rPr>
          <w:rFonts w:ascii="Tahoma" w:hAnsi="Tahoma" w:cs="Tahoma"/>
          <w:color w:val="777777"/>
          <w:sz w:val="20"/>
          <w:szCs w:val="20"/>
          <w:shd w:val="clear" w:color="auto" w:fill="F3F3F3"/>
        </w:rPr>
        <w:t xml:space="preserve"> </w:t>
      </w:r>
    </w:p>
    <w:p w:rsidR="006A52D1" w:rsidRPr="00327A61" w:rsidRDefault="006A52D1" w:rsidP="006A52D1">
      <w:pPr>
        <w:shd w:val="clear" w:color="auto" w:fill="FFFFFF"/>
        <w:tabs>
          <w:tab w:val="left" w:pos="624"/>
        </w:tabs>
        <w:spacing w:after="120"/>
        <w:ind w:firstLine="889"/>
        <w:jc w:val="both"/>
        <w:rPr>
          <w:color w:val="000000"/>
        </w:rPr>
      </w:pPr>
      <w:r w:rsidRPr="00327A61">
        <w:rPr>
          <w:color w:val="000000"/>
        </w:rPr>
        <w:t>Горепосочените фактори влияят изключително силно върху пазарната ниша на предлагане на пристанищни услуги в региона, особено при хипотезата, че тя не бележи изразителен ръст. Това насочва конкурентния натиск към преразпределение на съществуващите пазарни дялове.</w:t>
      </w:r>
    </w:p>
    <w:p w:rsidR="00671A5A" w:rsidRPr="00327A61" w:rsidRDefault="00671A5A" w:rsidP="006A52D1">
      <w:pPr>
        <w:shd w:val="clear" w:color="auto" w:fill="FFFFFF"/>
        <w:tabs>
          <w:tab w:val="left" w:pos="624"/>
        </w:tabs>
        <w:spacing w:after="120"/>
        <w:ind w:firstLine="889"/>
        <w:jc w:val="both"/>
        <w:rPr>
          <w:color w:val="000000"/>
        </w:rPr>
      </w:pPr>
    </w:p>
    <w:p w:rsidR="006A52D1" w:rsidRPr="00F500E5" w:rsidRDefault="006A52D1" w:rsidP="006A52D1">
      <w:pPr>
        <w:spacing w:after="120"/>
        <w:ind w:left="4320"/>
        <w:jc w:val="both"/>
      </w:pPr>
      <w:r w:rsidRPr="00327A61">
        <w:t>ИЗП. ДИРЕКТОР:</w:t>
      </w:r>
    </w:p>
    <w:p w:rsidR="003037C8" w:rsidRPr="00F500E5" w:rsidRDefault="006A52D1" w:rsidP="00671A5A">
      <w:pPr>
        <w:spacing w:after="120"/>
        <w:jc w:val="both"/>
      </w:pPr>
      <w:r w:rsidRPr="00F500E5">
        <w:tab/>
      </w:r>
      <w:r w:rsidRPr="00F500E5">
        <w:tab/>
      </w:r>
      <w:r w:rsidRPr="00F500E5">
        <w:tab/>
      </w:r>
      <w:r w:rsidRPr="00F500E5">
        <w:tab/>
      </w:r>
      <w:r w:rsidRPr="00F500E5">
        <w:tab/>
      </w:r>
      <w:r w:rsidRPr="00F500E5">
        <w:tab/>
        <w:t xml:space="preserve"> </w:t>
      </w:r>
      <w:r w:rsidRPr="00F500E5">
        <w:tab/>
      </w:r>
      <w:r w:rsidRPr="00F500E5">
        <w:tab/>
        <w:t xml:space="preserve">          /инж. Петър Драгошинов/</w:t>
      </w:r>
    </w:p>
    <w:sectPr w:rsidR="003037C8" w:rsidRPr="00F500E5" w:rsidSect="009E647C">
      <w:headerReference w:type="default" r:id="rId24"/>
      <w:footerReference w:type="even" r:id="rId25"/>
      <w:footerReference w:type="default" r:id="rId26"/>
      <w:headerReference w:type="first" r:id="rId27"/>
      <w:pgSz w:w="11906" w:h="16838" w:code="9"/>
      <w:pgMar w:top="1418" w:right="1106" w:bottom="1079" w:left="1077"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908A9" w:rsidRDefault="006908A9">
      <w:r>
        <w:separator/>
      </w:r>
    </w:p>
  </w:endnote>
  <w:endnote w:type="continuationSeparator" w:id="0">
    <w:p w:rsidR="006908A9" w:rsidRDefault="006908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EFF" w:usb1="C0007843"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HebarU">
    <w:altName w:val="Courier New"/>
    <w:charset w:val="00"/>
    <w:family w:val="auto"/>
    <w:pitch w:val="variable"/>
    <w:sig w:usb0="00000287" w:usb1="00000000" w:usb2="00000000" w:usb3="00000000" w:csb0="0000009F" w:csb1="00000000"/>
  </w:font>
  <w:font w:name="Futura Bk">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Monotype Corsiva">
    <w:panose1 w:val="03010101010201010101"/>
    <w:charset w:val="CC"/>
    <w:family w:val="script"/>
    <w:pitch w:val="variable"/>
    <w:sig w:usb0="00000287" w:usb1="00000000" w:usb2="00000000" w:usb3="00000000" w:csb0="0000009F"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17D1" w:rsidRDefault="003317D1" w:rsidP="00E22AC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rsidR="003317D1" w:rsidRDefault="003317D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17D1" w:rsidRPr="00BA1410" w:rsidRDefault="003317D1" w:rsidP="00E22AC9">
    <w:pPr>
      <w:pStyle w:val="Footer"/>
      <w:framePr w:wrap="around" w:vAnchor="text" w:hAnchor="margin" w:xAlign="right" w:y="1"/>
      <w:rPr>
        <w:rStyle w:val="PageNumber"/>
        <w:sz w:val="20"/>
      </w:rPr>
    </w:pPr>
    <w:r w:rsidRPr="00BA1410">
      <w:rPr>
        <w:rStyle w:val="PageNumber"/>
        <w:sz w:val="20"/>
      </w:rPr>
      <w:fldChar w:fldCharType="begin"/>
    </w:r>
    <w:r w:rsidRPr="00BA1410">
      <w:rPr>
        <w:rStyle w:val="PageNumber"/>
        <w:sz w:val="20"/>
      </w:rPr>
      <w:instrText xml:space="preserve">PAGE  </w:instrText>
    </w:r>
    <w:r w:rsidRPr="00BA1410">
      <w:rPr>
        <w:rStyle w:val="PageNumber"/>
        <w:sz w:val="20"/>
      </w:rPr>
      <w:fldChar w:fldCharType="separate"/>
    </w:r>
    <w:r w:rsidR="00920705">
      <w:rPr>
        <w:rStyle w:val="PageNumber"/>
        <w:noProof/>
        <w:sz w:val="20"/>
      </w:rPr>
      <w:t>1</w:t>
    </w:r>
    <w:r w:rsidRPr="00BA1410">
      <w:rPr>
        <w:rStyle w:val="PageNumber"/>
        <w:sz w:val="20"/>
      </w:rPr>
      <w:fldChar w:fldCharType="end"/>
    </w:r>
  </w:p>
  <w:p w:rsidR="003317D1" w:rsidRDefault="003317D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908A9" w:rsidRDefault="006908A9">
      <w:r>
        <w:separator/>
      </w:r>
    </w:p>
  </w:footnote>
  <w:footnote w:type="continuationSeparator" w:id="0">
    <w:p w:rsidR="006908A9" w:rsidRDefault="006908A9">
      <w:r>
        <w:continuationSeparator/>
      </w:r>
    </w:p>
  </w:footnote>
  <w:footnote w:id="1">
    <w:p w:rsidR="003317D1" w:rsidRPr="00F41629" w:rsidRDefault="003317D1">
      <w:pPr>
        <w:pStyle w:val="FootnoteText"/>
        <w:rPr>
          <w:lang w:val="ru-RU"/>
        </w:rPr>
      </w:pPr>
      <w:r>
        <w:rPr>
          <w:rStyle w:val="FootnoteReference"/>
        </w:rPr>
        <w:t>*</w:t>
      </w:r>
      <w:r>
        <w:t xml:space="preserve"> Коефициент на незабавна/ финансова ликвидност (Cash position ratio)</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17D1" w:rsidRPr="00361FC0" w:rsidRDefault="003317D1" w:rsidP="002F5EA2">
    <w:pPr>
      <w:pStyle w:val="Header"/>
      <w:jc w:val="center"/>
      <w:rPr>
        <w:b/>
        <w:u w:val="single"/>
      </w:rPr>
    </w:pPr>
    <w:r w:rsidRPr="00026F78">
      <w:rPr>
        <w:b/>
        <w:smallCaps/>
        <w:u w:val="single"/>
      </w:rPr>
      <w:t>Пристанищен комплекс – Русе</w:t>
    </w:r>
    <w:r w:rsidRPr="00026F78">
      <w:rPr>
        <w:b/>
        <w:u w:val="single"/>
      </w:rPr>
      <w:t xml:space="preserve"> ЕАД, </w:t>
    </w:r>
    <w:r w:rsidRPr="00026F78">
      <w:rPr>
        <w:b/>
        <w:smallCaps/>
        <w:u w:val="single"/>
      </w:rPr>
      <w:t>Годишен анализ на дейността</w:t>
    </w:r>
    <w:r>
      <w:rPr>
        <w:b/>
        <w:u w:val="single"/>
      </w:rPr>
      <w:t xml:space="preserve"> 20</w:t>
    </w:r>
    <w:r w:rsidRPr="00FE33A7">
      <w:rPr>
        <w:b/>
        <w:u w:val="single"/>
        <w:lang w:val="ru-RU"/>
      </w:rPr>
      <w:t>1</w:t>
    </w:r>
    <w:r>
      <w:rPr>
        <w:b/>
        <w:u w:val="single"/>
      </w:rPr>
      <w:t>7г.</w:t>
    </w:r>
  </w:p>
  <w:p w:rsidR="003317D1" w:rsidRDefault="003317D1" w:rsidP="00BE693F">
    <w:pPr>
      <w:pStyle w:val="Header"/>
      <w:rPr>
        <w:b/>
        <w:u w:val="single"/>
        <w:lang w:val="ru-RU"/>
      </w:rPr>
    </w:pPr>
  </w:p>
  <w:p w:rsidR="003317D1" w:rsidRPr="00FE33A7" w:rsidRDefault="003317D1" w:rsidP="00026F78">
    <w:pPr>
      <w:pStyle w:val="Header"/>
      <w:jc w:val="center"/>
      <w:rPr>
        <w:b/>
        <w:u w:val="single"/>
        <w:lang w:val="ru-RU"/>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17D1" w:rsidRPr="00CF20B8" w:rsidRDefault="003317D1" w:rsidP="00026F78">
    <w:pPr>
      <w:pStyle w:val="Header"/>
      <w:jc w:val="center"/>
      <w:rPr>
        <w:b/>
      </w:rPr>
    </w:pPr>
    <w:r w:rsidRPr="00CF20B8">
      <w:rPr>
        <w:b/>
      </w:rPr>
      <w:t>Пристанищен комплекс – Русе ЕАД</w:t>
    </w:r>
  </w:p>
  <w:p w:rsidR="003317D1" w:rsidRPr="00904217" w:rsidRDefault="003317D1" w:rsidP="00167311">
    <w:pPr>
      <w:pStyle w:val="Header"/>
      <w:jc w:val="center"/>
      <w:rPr>
        <w:b/>
      </w:rPr>
    </w:pPr>
    <w:r w:rsidRPr="00CF20B8">
      <w:rPr>
        <w:b/>
      </w:rPr>
      <w:t xml:space="preserve">Годишен </w:t>
    </w:r>
    <w:r>
      <w:rPr>
        <w:b/>
      </w:rPr>
      <w:t>анализ на дейността</w:t>
    </w:r>
    <w:r w:rsidRPr="00CF20B8">
      <w:rPr>
        <w:b/>
      </w:rPr>
      <w:t xml:space="preserve"> - 20</w:t>
    </w:r>
    <w:r>
      <w:rPr>
        <w:b/>
        <w:lang w:val="en-US"/>
      </w:rPr>
      <w:t>1</w:t>
    </w:r>
    <w:r w:rsidRPr="00CF20B8">
      <w:rPr>
        <w:b/>
        <w:noProof/>
        <w:spacing w:val="20"/>
        <w:sz w:val="40"/>
        <w:szCs w:val="40"/>
        <w:lang w:eastAsia="bg-BG"/>
      </w:rPr>
      <mc:AlternateContent>
        <mc:Choice Requires="wps">
          <w:drawing>
            <wp:anchor distT="0" distB="0" distL="114300" distR="114300" simplePos="0" relativeHeight="251657728" behindDoc="0" locked="0" layoutInCell="1" allowOverlap="1" wp14:anchorId="30BCEF51" wp14:editId="5B35CA32">
              <wp:simplePos x="0" y="0"/>
              <wp:positionH relativeFrom="column">
                <wp:posOffset>-26670</wp:posOffset>
              </wp:positionH>
              <wp:positionV relativeFrom="paragraph">
                <wp:posOffset>226060</wp:posOffset>
              </wp:positionV>
              <wp:extent cx="5807710" cy="12065"/>
              <wp:effectExtent l="0" t="0" r="0" b="0"/>
              <wp:wrapNone/>
              <wp:docPr id="2"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07710" cy="1206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30D7F9" id="Line 5" o:spid="_x0000_s1026" style="position:absolute;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pt,17.8pt" to="455.2pt,1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" strokeweight="1pt"/>
          </w:pict>
        </mc:Fallback>
      </mc:AlternateContent>
    </w:r>
    <w:r>
      <w:rPr>
        <w:b/>
      </w:rPr>
      <w:t>7</w:t>
    </w:r>
  </w:p>
  <w:p w:rsidR="003317D1" w:rsidRDefault="003317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BD15057_"/>
      </v:shape>
    </w:pict>
  </w:numPicBullet>
  <w:abstractNum w:abstractNumId="0" w15:restartNumberingAfterBreak="0">
    <w:nsid w:val="086D68D2"/>
    <w:multiLevelType w:val="hybridMultilevel"/>
    <w:tmpl w:val="F920D66C"/>
    <w:lvl w:ilvl="0" w:tplc="04020005">
      <w:start w:val="1"/>
      <w:numFmt w:val="bullet"/>
      <w:lvlText w:val=""/>
      <w:lvlJc w:val="left"/>
      <w:pPr>
        <w:ind w:left="1789" w:hanging="360"/>
      </w:pPr>
      <w:rPr>
        <w:rFonts w:ascii="Wingdings" w:hAnsi="Wingdings" w:hint="default"/>
      </w:rPr>
    </w:lvl>
    <w:lvl w:ilvl="1" w:tplc="04020003" w:tentative="1">
      <w:start w:val="1"/>
      <w:numFmt w:val="bullet"/>
      <w:lvlText w:val="o"/>
      <w:lvlJc w:val="left"/>
      <w:pPr>
        <w:ind w:left="2509" w:hanging="360"/>
      </w:pPr>
      <w:rPr>
        <w:rFonts w:ascii="Courier New" w:hAnsi="Courier New" w:cs="Courier New" w:hint="default"/>
      </w:rPr>
    </w:lvl>
    <w:lvl w:ilvl="2" w:tplc="04020005" w:tentative="1">
      <w:start w:val="1"/>
      <w:numFmt w:val="bullet"/>
      <w:lvlText w:val=""/>
      <w:lvlJc w:val="left"/>
      <w:pPr>
        <w:ind w:left="3229" w:hanging="360"/>
      </w:pPr>
      <w:rPr>
        <w:rFonts w:ascii="Wingdings" w:hAnsi="Wingdings" w:hint="default"/>
      </w:rPr>
    </w:lvl>
    <w:lvl w:ilvl="3" w:tplc="04020001" w:tentative="1">
      <w:start w:val="1"/>
      <w:numFmt w:val="bullet"/>
      <w:lvlText w:val=""/>
      <w:lvlJc w:val="left"/>
      <w:pPr>
        <w:ind w:left="3949" w:hanging="360"/>
      </w:pPr>
      <w:rPr>
        <w:rFonts w:ascii="Symbol" w:hAnsi="Symbol" w:hint="default"/>
      </w:rPr>
    </w:lvl>
    <w:lvl w:ilvl="4" w:tplc="04020003" w:tentative="1">
      <w:start w:val="1"/>
      <w:numFmt w:val="bullet"/>
      <w:lvlText w:val="o"/>
      <w:lvlJc w:val="left"/>
      <w:pPr>
        <w:ind w:left="4669" w:hanging="360"/>
      </w:pPr>
      <w:rPr>
        <w:rFonts w:ascii="Courier New" w:hAnsi="Courier New" w:cs="Courier New" w:hint="default"/>
      </w:rPr>
    </w:lvl>
    <w:lvl w:ilvl="5" w:tplc="04020005" w:tentative="1">
      <w:start w:val="1"/>
      <w:numFmt w:val="bullet"/>
      <w:lvlText w:val=""/>
      <w:lvlJc w:val="left"/>
      <w:pPr>
        <w:ind w:left="5389" w:hanging="360"/>
      </w:pPr>
      <w:rPr>
        <w:rFonts w:ascii="Wingdings" w:hAnsi="Wingdings" w:hint="default"/>
      </w:rPr>
    </w:lvl>
    <w:lvl w:ilvl="6" w:tplc="04020001" w:tentative="1">
      <w:start w:val="1"/>
      <w:numFmt w:val="bullet"/>
      <w:lvlText w:val=""/>
      <w:lvlJc w:val="left"/>
      <w:pPr>
        <w:ind w:left="6109" w:hanging="360"/>
      </w:pPr>
      <w:rPr>
        <w:rFonts w:ascii="Symbol" w:hAnsi="Symbol" w:hint="default"/>
      </w:rPr>
    </w:lvl>
    <w:lvl w:ilvl="7" w:tplc="04020003" w:tentative="1">
      <w:start w:val="1"/>
      <w:numFmt w:val="bullet"/>
      <w:lvlText w:val="o"/>
      <w:lvlJc w:val="left"/>
      <w:pPr>
        <w:ind w:left="6829" w:hanging="360"/>
      </w:pPr>
      <w:rPr>
        <w:rFonts w:ascii="Courier New" w:hAnsi="Courier New" w:cs="Courier New" w:hint="default"/>
      </w:rPr>
    </w:lvl>
    <w:lvl w:ilvl="8" w:tplc="04020005" w:tentative="1">
      <w:start w:val="1"/>
      <w:numFmt w:val="bullet"/>
      <w:lvlText w:val=""/>
      <w:lvlJc w:val="left"/>
      <w:pPr>
        <w:ind w:left="7549" w:hanging="360"/>
      </w:pPr>
      <w:rPr>
        <w:rFonts w:ascii="Wingdings" w:hAnsi="Wingdings" w:hint="default"/>
      </w:rPr>
    </w:lvl>
  </w:abstractNum>
  <w:abstractNum w:abstractNumId="1" w15:restartNumberingAfterBreak="0">
    <w:nsid w:val="0A685EBB"/>
    <w:multiLevelType w:val="hybridMultilevel"/>
    <w:tmpl w:val="F376AE38"/>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C024839"/>
    <w:multiLevelType w:val="multilevel"/>
    <w:tmpl w:val="16283DD4"/>
    <w:lvl w:ilvl="0">
      <w:start w:val="1"/>
      <w:numFmt w:val="decimal"/>
      <w:lvlText w:val="%1."/>
      <w:lvlJc w:val="left"/>
      <w:pPr>
        <w:ind w:left="360" w:hanging="360"/>
      </w:pPr>
      <w:rPr>
        <w:rFonts w:hint="default"/>
      </w:rPr>
    </w:lvl>
    <w:lvl w:ilvl="1">
      <w:start w:val="2"/>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3" w15:restartNumberingAfterBreak="0">
    <w:nsid w:val="15550FBC"/>
    <w:multiLevelType w:val="hybridMultilevel"/>
    <w:tmpl w:val="C9D8ED7C"/>
    <w:lvl w:ilvl="0" w:tplc="87CAB5AC">
      <w:start w:val="1"/>
      <w:numFmt w:val="bullet"/>
      <w:lvlText w:val=""/>
      <w:lvlJc w:val="left"/>
      <w:pPr>
        <w:tabs>
          <w:tab w:val="num" w:pos="113"/>
        </w:tabs>
        <w:ind w:left="0" w:firstLine="113"/>
      </w:pPr>
      <w:rPr>
        <w:rFonts w:ascii="Symbol" w:hAnsi="Symbol"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880"/>
        </w:tabs>
        <w:ind w:left="2880" w:hanging="360"/>
      </w:pPr>
      <w:rPr>
        <w:rFonts w:ascii="Symbol" w:hAnsi="Symbol" w:hint="default"/>
      </w:rPr>
    </w:lvl>
    <w:lvl w:ilvl="4" w:tplc="04020003">
      <w:start w:val="1"/>
      <w:numFmt w:val="bullet"/>
      <w:lvlText w:val="o"/>
      <w:lvlJc w:val="left"/>
      <w:pPr>
        <w:tabs>
          <w:tab w:val="num" w:pos="3600"/>
        </w:tabs>
        <w:ind w:left="3600" w:hanging="360"/>
      </w:pPr>
      <w:rPr>
        <w:rFonts w:ascii="Courier New" w:hAnsi="Courier New" w:cs="Courier New" w:hint="default"/>
      </w:rPr>
    </w:lvl>
    <w:lvl w:ilvl="5" w:tplc="04020005">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DDC38F9"/>
    <w:multiLevelType w:val="multilevel"/>
    <w:tmpl w:val="BD5E534C"/>
    <w:lvl w:ilvl="0">
      <w:start w:val="3"/>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5" w15:restartNumberingAfterBreak="0">
    <w:nsid w:val="2A8F5A3B"/>
    <w:multiLevelType w:val="multilevel"/>
    <w:tmpl w:val="BD62EB44"/>
    <w:lvl w:ilvl="0">
      <w:start w:val="4"/>
      <w:numFmt w:val="bullet"/>
      <w:lvlText w:val=""/>
      <w:lvlJc w:val="left"/>
      <w:pPr>
        <w:ind w:left="1440" w:hanging="360"/>
      </w:pPr>
      <w:rPr>
        <w:rFonts w:ascii="Wingdings" w:eastAsia="Times New Roman" w:hAnsi="Wingdings" w:cs="Times New Roman" w:hint="default"/>
        <w:color w:val="auto"/>
        <w:sz w:val="28"/>
        <w:szCs w:val="28"/>
      </w:r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6" w15:restartNumberingAfterBreak="0">
    <w:nsid w:val="2D012D33"/>
    <w:multiLevelType w:val="hybridMultilevel"/>
    <w:tmpl w:val="20D02D34"/>
    <w:lvl w:ilvl="0" w:tplc="6A26D57E">
      <w:start w:val="1"/>
      <w:numFmt w:val="upperRoman"/>
      <w:lvlText w:val="%1."/>
      <w:lvlJc w:val="left"/>
      <w:pPr>
        <w:tabs>
          <w:tab w:val="num" w:pos="720"/>
        </w:tabs>
        <w:ind w:left="720" w:hanging="360"/>
      </w:pPr>
      <w:rPr>
        <w:rFonts w:hint="default"/>
      </w:rPr>
    </w:lvl>
    <w:lvl w:ilvl="1" w:tplc="CC0EB2EC">
      <w:numFmt w:val="none"/>
      <w:lvlText w:val=""/>
      <w:lvlJc w:val="left"/>
      <w:pPr>
        <w:tabs>
          <w:tab w:val="num" w:pos="360"/>
        </w:tabs>
      </w:pPr>
    </w:lvl>
    <w:lvl w:ilvl="2" w:tplc="A3A2F5D6">
      <w:numFmt w:val="none"/>
      <w:lvlText w:val=""/>
      <w:lvlJc w:val="left"/>
      <w:pPr>
        <w:tabs>
          <w:tab w:val="num" w:pos="360"/>
        </w:tabs>
      </w:pPr>
    </w:lvl>
    <w:lvl w:ilvl="3" w:tplc="A1F8102A">
      <w:numFmt w:val="none"/>
      <w:lvlText w:val=""/>
      <w:lvlJc w:val="left"/>
      <w:pPr>
        <w:tabs>
          <w:tab w:val="num" w:pos="360"/>
        </w:tabs>
      </w:pPr>
    </w:lvl>
    <w:lvl w:ilvl="4" w:tplc="8FA6482C">
      <w:numFmt w:val="none"/>
      <w:lvlText w:val=""/>
      <w:lvlJc w:val="left"/>
      <w:pPr>
        <w:tabs>
          <w:tab w:val="num" w:pos="360"/>
        </w:tabs>
      </w:pPr>
    </w:lvl>
    <w:lvl w:ilvl="5" w:tplc="19C63D1E">
      <w:numFmt w:val="none"/>
      <w:lvlText w:val=""/>
      <w:lvlJc w:val="left"/>
      <w:pPr>
        <w:tabs>
          <w:tab w:val="num" w:pos="360"/>
        </w:tabs>
      </w:pPr>
    </w:lvl>
    <w:lvl w:ilvl="6" w:tplc="2FAC2C18">
      <w:numFmt w:val="none"/>
      <w:lvlText w:val=""/>
      <w:lvlJc w:val="left"/>
      <w:pPr>
        <w:tabs>
          <w:tab w:val="num" w:pos="360"/>
        </w:tabs>
      </w:pPr>
    </w:lvl>
    <w:lvl w:ilvl="7" w:tplc="F45ADEB4">
      <w:numFmt w:val="none"/>
      <w:lvlText w:val=""/>
      <w:lvlJc w:val="left"/>
      <w:pPr>
        <w:tabs>
          <w:tab w:val="num" w:pos="360"/>
        </w:tabs>
      </w:pPr>
    </w:lvl>
    <w:lvl w:ilvl="8" w:tplc="253CC3F2">
      <w:numFmt w:val="none"/>
      <w:lvlText w:val=""/>
      <w:lvlJc w:val="left"/>
      <w:pPr>
        <w:tabs>
          <w:tab w:val="num" w:pos="360"/>
        </w:tabs>
      </w:pPr>
    </w:lvl>
  </w:abstractNum>
  <w:abstractNum w:abstractNumId="7" w15:restartNumberingAfterBreak="0">
    <w:nsid w:val="340E46F7"/>
    <w:multiLevelType w:val="hybridMultilevel"/>
    <w:tmpl w:val="C3FE6CEC"/>
    <w:lvl w:ilvl="0" w:tplc="7F427E76">
      <w:start w:val="1"/>
      <w:numFmt w:val="upperRoman"/>
      <w:lvlText w:val="%1."/>
      <w:lvlJc w:val="left"/>
      <w:pPr>
        <w:tabs>
          <w:tab w:val="num" w:pos="1003"/>
        </w:tabs>
        <w:ind w:left="976" w:hanging="256"/>
      </w:pPr>
      <w:rPr>
        <w:rFonts w:hint="default"/>
        <w:b w:val="0"/>
        <w:i w:val="0"/>
      </w:rPr>
    </w:lvl>
    <w:lvl w:ilvl="1" w:tplc="E7CE78B6">
      <w:start w:val="1"/>
      <w:numFmt w:val="decimal"/>
      <w:lvlText w:val="1.%2."/>
      <w:lvlJc w:val="left"/>
      <w:pPr>
        <w:tabs>
          <w:tab w:val="num" w:pos="1608"/>
        </w:tabs>
        <w:ind w:left="1608" w:hanging="360"/>
      </w:pPr>
      <w:rPr>
        <w:rFonts w:hint="default"/>
        <w:b w:val="0"/>
        <w:i w:val="0"/>
        <w:u w:val="none"/>
      </w:rPr>
    </w:lvl>
    <w:lvl w:ilvl="2" w:tplc="01F2E2B2">
      <w:start w:val="1"/>
      <w:numFmt w:val="bullet"/>
      <w:lvlText w:val=""/>
      <w:lvlPicBulletId w:val="0"/>
      <w:lvlJc w:val="left"/>
      <w:pPr>
        <w:tabs>
          <w:tab w:val="num" w:pos="1418"/>
        </w:tabs>
        <w:ind w:left="1702" w:hanging="284"/>
      </w:pPr>
      <w:rPr>
        <w:rFonts w:ascii="Symbol" w:hAnsi="Symbol" w:cs="Symbol" w:hint="default"/>
        <w:b/>
        <w:i w:val="0"/>
        <w:color w:val="auto"/>
      </w:rPr>
    </w:lvl>
    <w:lvl w:ilvl="3" w:tplc="4C2CA45A">
      <w:start w:val="1"/>
      <w:numFmt w:val="bullet"/>
      <w:lvlText w:val=""/>
      <w:lvlJc w:val="left"/>
      <w:pPr>
        <w:tabs>
          <w:tab w:val="num" w:pos="0"/>
        </w:tabs>
        <w:ind w:left="-57" w:firstLine="57"/>
      </w:pPr>
      <w:rPr>
        <w:rFonts w:ascii="Wingdings" w:hAnsi="Wingdings" w:hint="default"/>
        <w:b w:val="0"/>
        <w:i w:val="0"/>
      </w:rPr>
    </w:lvl>
    <w:lvl w:ilvl="4" w:tplc="04020019">
      <w:start w:val="1"/>
      <w:numFmt w:val="lowerLetter"/>
      <w:lvlText w:val="%5."/>
      <w:lvlJc w:val="left"/>
      <w:pPr>
        <w:tabs>
          <w:tab w:val="num" w:pos="3768"/>
        </w:tabs>
        <w:ind w:left="3768" w:hanging="360"/>
      </w:pPr>
    </w:lvl>
    <w:lvl w:ilvl="5" w:tplc="D944A27A">
      <w:start w:val="1"/>
      <w:numFmt w:val="bullet"/>
      <w:lvlText w:val="-"/>
      <w:lvlJc w:val="left"/>
      <w:pPr>
        <w:tabs>
          <w:tab w:val="num" w:pos="4668"/>
        </w:tabs>
        <w:ind w:left="4668" w:hanging="360"/>
      </w:pPr>
      <w:rPr>
        <w:rFonts w:ascii="Times New Roman" w:eastAsia="SimSun" w:hAnsi="Times New Roman" w:cs="Times New Roman" w:hint="default"/>
      </w:rPr>
    </w:lvl>
    <w:lvl w:ilvl="6" w:tplc="0402000F" w:tentative="1">
      <w:start w:val="1"/>
      <w:numFmt w:val="decimal"/>
      <w:lvlText w:val="%7."/>
      <w:lvlJc w:val="left"/>
      <w:pPr>
        <w:tabs>
          <w:tab w:val="num" w:pos="5208"/>
        </w:tabs>
        <w:ind w:left="5208" w:hanging="360"/>
      </w:pPr>
    </w:lvl>
    <w:lvl w:ilvl="7" w:tplc="04020019" w:tentative="1">
      <w:start w:val="1"/>
      <w:numFmt w:val="lowerLetter"/>
      <w:lvlText w:val="%8."/>
      <w:lvlJc w:val="left"/>
      <w:pPr>
        <w:tabs>
          <w:tab w:val="num" w:pos="5928"/>
        </w:tabs>
        <w:ind w:left="5928" w:hanging="360"/>
      </w:pPr>
    </w:lvl>
    <w:lvl w:ilvl="8" w:tplc="0402001B" w:tentative="1">
      <w:start w:val="1"/>
      <w:numFmt w:val="lowerRoman"/>
      <w:lvlText w:val="%9."/>
      <w:lvlJc w:val="right"/>
      <w:pPr>
        <w:tabs>
          <w:tab w:val="num" w:pos="6648"/>
        </w:tabs>
        <w:ind w:left="6648" w:hanging="180"/>
      </w:pPr>
    </w:lvl>
  </w:abstractNum>
  <w:abstractNum w:abstractNumId="8" w15:restartNumberingAfterBreak="0">
    <w:nsid w:val="364239A9"/>
    <w:multiLevelType w:val="hybridMultilevel"/>
    <w:tmpl w:val="62B080FE"/>
    <w:lvl w:ilvl="0" w:tplc="415E26BE">
      <w:start w:val="1"/>
      <w:numFmt w:val="bullet"/>
      <w:lvlText w:val=""/>
      <w:lvlJc w:val="left"/>
      <w:pPr>
        <w:ind w:left="889" w:hanging="360"/>
      </w:pPr>
      <w:rPr>
        <w:rFonts w:ascii="Wingdings" w:hAnsi="Wingdings" w:hint="default"/>
        <w:color w:val="auto"/>
        <w:sz w:val="28"/>
        <w:szCs w:val="28"/>
      </w:rPr>
    </w:lvl>
    <w:lvl w:ilvl="1" w:tplc="04020003" w:tentative="1">
      <w:start w:val="1"/>
      <w:numFmt w:val="bullet"/>
      <w:lvlText w:val="o"/>
      <w:lvlJc w:val="left"/>
      <w:pPr>
        <w:ind w:left="1609" w:hanging="360"/>
      </w:pPr>
      <w:rPr>
        <w:rFonts w:ascii="Courier New" w:hAnsi="Courier New" w:cs="Courier New" w:hint="default"/>
      </w:rPr>
    </w:lvl>
    <w:lvl w:ilvl="2" w:tplc="04020005" w:tentative="1">
      <w:start w:val="1"/>
      <w:numFmt w:val="bullet"/>
      <w:lvlText w:val=""/>
      <w:lvlJc w:val="left"/>
      <w:pPr>
        <w:ind w:left="2329" w:hanging="360"/>
      </w:pPr>
      <w:rPr>
        <w:rFonts w:ascii="Wingdings" w:hAnsi="Wingdings" w:hint="default"/>
      </w:rPr>
    </w:lvl>
    <w:lvl w:ilvl="3" w:tplc="04020001" w:tentative="1">
      <w:start w:val="1"/>
      <w:numFmt w:val="bullet"/>
      <w:lvlText w:val=""/>
      <w:lvlJc w:val="left"/>
      <w:pPr>
        <w:ind w:left="3049" w:hanging="360"/>
      </w:pPr>
      <w:rPr>
        <w:rFonts w:ascii="Symbol" w:hAnsi="Symbol" w:hint="default"/>
      </w:rPr>
    </w:lvl>
    <w:lvl w:ilvl="4" w:tplc="04020003" w:tentative="1">
      <w:start w:val="1"/>
      <w:numFmt w:val="bullet"/>
      <w:lvlText w:val="o"/>
      <w:lvlJc w:val="left"/>
      <w:pPr>
        <w:ind w:left="3769" w:hanging="360"/>
      </w:pPr>
      <w:rPr>
        <w:rFonts w:ascii="Courier New" w:hAnsi="Courier New" w:cs="Courier New" w:hint="default"/>
      </w:rPr>
    </w:lvl>
    <w:lvl w:ilvl="5" w:tplc="04020005" w:tentative="1">
      <w:start w:val="1"/>
      <w:numFmt w:val="bullet"/>
      <w:lvlText w:val=""/>
      <w:lvlJc w:val="left"/>
      <w:pPr>
        <w:ind w:left="4489" w:hanging="360"/>
      </w:pPr>
      <w:rPr>
        <w:rFonts w:ascii="Wingdings" w:hAnsi="Wingdings" w:hint="default"/>
      </w:rPr>
    </w:lvl>
    <w:lvl w:ilvl="6" w:tplc="04020001" w:tentative="1">
      <w:start w:val="1"/>
      <w:numFmt w:val="bullet"/>
      <w:lvlText w:val=""/>
      <w:lvlJc w:val="left"/>
      <w:pPr>
        <w:ind w:left="5209" w:hanging="360"/>
      </w:pPr>
      <w:rPr>
        <w:rFonts w:ascii="Symbol" w:hAnsi="Symbol" w:hint="default"/>
      </w:rPr>
    </w:lvl>
    <w:lvl w:ilvl="7" w:tplc="04020003" w:tentative="1">
      <w:start w:val="1"/>
      <w:numFmt w:val="bullet"/>
      <w:lvlText w:val="o"/>
      <w:lvlJc w:val="left"/>
      <w:pPr>
        <w:ind w:left="5929" w:hanging="360"/>
      </w:pPr>
      <w:rPr>
        <w:rFonts w:ascii="Courier New" w:hAnsi="Courier New" w:cs="Courier New" w:hint="default"/>
      </w:rPr>
    </w:lvl>
    <w:lvl w:ilvl="8" w:tplc="04020005" w:tentative="1">
      <w:start w:val="1"/>
      <w:numFmt w:val="bullet"/>
      <w:lvlText w:val=""/>
      <w:lvlJc w:val="left"/>
      <w:pPr>
        <w:ind w:left="6649" w:hanging="360"/>
      </w:pPr>
      <w:rPr>
        <w:rFonts w:ascii="Wingdings" w:hAnsi="Wingdings" w:hint="default"/>
      </w:rPr>
    </w:lvl>
  </w:abstractNum>
  <w:abstractNum w:abstractNumId="9" w15:restartNumberingAfterBreak="0">
    <w:nsid w:val="3C9C7DC4"/>
    <w:multiLevelType w:val="hybridMultilevel"/>
    <w:tmpl w:val="87E27C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15:restartNumberingAfterBreak="0">
    <w:nsid w:val="4C872A4B"/>
    <w:multiLevelType w:val="hybridMultilevel"/>
    <w:tmpl w:val="6896B5DA"/>
    <w:lvl w:ilvl="0" w:tplc="0402000B">
      <w:start w:val="1"/>
      <w:numFmt w:val="bullet"/>
      <w:lvlText w:val=""/>
      <w:lvlJc w:val="left"/>
      <w:pPr>
        <w:ind w:left="889" w:hanging="360"/>
      </w:pPr>
      <w:rPr>
        <w:rFonts w:ascii="Wingdings" w:hAnsi="Wingdings" w:hint="default"/>
        <w:color w:val="auto"/>
        <w:sz w:val="28"/>
        <w:szCs w:val="28"/>
      </w:rPr>
    </w:lvl>
    <w:lvl w:ilvl="1" w:tplc="04020003" w:tentative="1">
      <w:start w:val="1"/>
      <w:numFmt w:val="bullet"/>
      <w:lvlText w:val="o"/>
      <w:lvlJc w:val="left"/>
      <w:pPr>
        <w:ind w:left="1609" w:hanging="360"/>
      </w:pPr>
      <w:rPr>
        <w:rFonts w:ascii="Courier New" w:hAnsi="Courier New" w:cs="Courier New" w:hint="default"/>
      </w:rPr>
    </w:lvl>
    <w:lvl w:ilvl="2" w:tplc="04020005" w:tentative="1">
      <w:start w:val="1"/>
      <w:numFmt w:val="bullet"/>
      <w:lvlText w:val=""/>
      <w:lvlJc w:val="left"/>
      <w:pPr>
        <w:ind w:left="2329" w:hanging="360"/>
      </w:pPr>
      <w:rPr>
        <w:rFonts w:ascii="Wingdings" w:hAnsi="Wingdings" w:hint="default"/>
      </w:rPr>
    </w:lvl>
    <w:lvl w:ilvl="3" w:tplc="04020001" w:tentative="1">
      <w:start w:val="1"/>
      <w:numFmt w:val="bullet"/>
      <w:lvlText w:val=""/>
      <w:lvlJc w:val="left"/>
      <w:pPr>
        <w:ind w:left="3049" w:hanging="360"/>
      </w:pPr>
      <w:rPr>
        <w:rFonts w:ascii="Symbol" w:hAnsi="Symbol" w:hint="default"/>
      </w:rPr>
    </w:lvl>
    <w:lvl w:ilvl="4" w:tplc="04020003" w:tentative="1">
      <w:start w:val="1"/>
      <w:numFmt w:val="bullet"/>
      <w:lvlText w:val="o"/>
      <w:lvlJc w:val="left"/>
      <w:pPr>
        <w:ind w:left="3769" w:hanging="360"/>
      </w:pPr>
      <w:rPr>
        <w:rFonts w:ascii="Courier New" w:hAnsi="Courier New" w:cs="Courier New" w:hint="default"/>
      </w:rPr>
    </w:lvl>
    <w:lvl w:ilvl="5" w:tplc="04020005" w:tentative="1">
      <w:start w:val="1"/>
      <w:numFmt w:val="bullet"/>
      <w:lvlText w:val=""/>
      <w:lvlJc w:val="left"/>
      <w:pPr>
        <w:ind w:left="4489" w:hanging="360"/>
      </w:pPr>
      <w:rPr>
        <w:rFonts w:ascii="Wingdings" w:hAnsi="Wingdings" w:hint="default"/>
      </w:rPr>
    </w:lvl>
    <w:lvl w:ilvl="6" w:tplc="04020001" w:tentative="1">
      <w:start w:val="1"/>
      <w:numFmt w:val="bullet"/>
      <w:lvlText w:val=""/>
      <w:lvlJc w:val="left"/>
      <w:pPr>
        <w:ind w:left="5209" w:hanging="360"/>
      </w:pPr>
      <w:rPr>
        <w:rFonts w:ascii="Symbol" w:hAnsi="Symbol" w:hint="default"/>
      </w:rPr>
    </w:lvl>
    <w:lvl w:ilvl="7" w:tplc="04020003" w:tentative="1">
      <w:start w:val="1"/>
      <w:numFmt w:val="bullet"/>
      <w:lvlText w:val="o"/>
      <w:lvlJc w:val="left"/>
      <w:pPr>
        <w:ind w:left="5929" w:hanging="360"/>
      </w:pPr>
      <w:rPr>
        <w:rFonts w:ascii="Courier New" w:hAnsi="Courier New" w:cs="Courier New" w:hint="default"/>
      </w:rPr>
    </w:lvl>
    <w:lvl w:ilvl="8" w:tplc="04020005" w:tentative="1">
      <w:start w:val="1"/>
      <w:numFmt w:val="bullet"/>
      <w:lvlText w:val=""/>
      <w:lvlJc w:val="left"/>
      <w:pPr>
        <w:ind w:left="6649" w:hanging="360"/>
      </w:pPr>
      <w:rPr>
        <w:rFonts w:ascii="Wingdings" w:hAnsi="Wingdings" w:hint="default"/>
      </w:rPr>
    </w:lvl>
  </w:abstractNum>
  <w:abstractNum w:abstractNumId="11" w15:restartNumberingAfterBreak="0">
    <w:nsid w:val="5EDB4AF7"/>
    <w:multiLevelType w:val="multilevel"/>
    <w:tmpl w:val="E5048056"/>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2" w15:restartNumberingAfterBreak="0">
    <w:nsid w:val="78E94BAA"/>
    <w:multiLevelType w:val="hybridMultilevel"/>
    <w:tmpl w:val="D5805112"/>
    <w:name w:val="WW8Num3"/>
    <w:lvl w:ilvl="0" w:tplc="58B81E18">
      <w:numFmt w:val="bullet"/>
      <w:lvlText w:val=""/>
      <w:lvlJc w:val="left"/>
      <w:pPr>
        <w:tabs>
          <w:tab w:val="num" w:pos="0"/>
        </w:tabs>
        <w:ind w:left="0" w:firstLine="0"/>
      </w:pPr>
      <w:rPr>
        <w:rFonts w:ascii="Wingdings" w:eastAsia="Times New Roman" w:hAnsi="Wingdings" w:cs="Times New Roman"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6"/>
  </w:num>
  <w:num w:numId="3">
    <w:abstractNumId w:val="3"/>
  </w:num>
  <w:num w:numId="4">
    <w:abstractNumId w:val="5"/>
  </w:num>
  <w:num w:numId="5">
    <w:abstractNumId w:val="8"/>
  </w:num>
  <w:num w:numId="6">
    <w:abstractNumId w:val="4"/>
  </w:num>
  <w:num w:numId="7">
    <w:abstractNumId w:val="11"/>
  </w:num>
  <w:num w:numId="8">
    <w:abstractNumId w:val="9"/>
  </w:num>
  <w:num w:numId="9">
    <w:abstractNumId w:val="2"/>
  </w:num>
  <w:num w:numId="10">
    <w:abstractNumId w:val="1"/>
  </w:num>
  <w:num w:numId="11">
    <w:abstractNumId w:val="0"/>
  </w:num>
  <w:num w:numId="12">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4925"/>
    <w:rsid w:val="00002F64"/>
    <w:rsid w:val="0000456A"/>
    <w:rsid w:val="00004717"/>
    <w:rsid w:val="000054D3"/>
    <w:rsid w:val="000077E7"/>
    <w:rsid w:val="0001128D"/>
    <w:rsid w:val="000114F2"/>
    <w:rsid w:val="00011D47"/>
    <w:rsid w:val="00013F35"/>
    <w:rsid w:val="00015268"/>
    <w:rsid w:val="00015486"/>
    <w:rsid w:val="00016B1B"/>
    <w:rsid w:val="00016E17"/>
    <w:rsid w:val="00016F6A"/>
    <w:rsid w:val="000171B1"/>
    <w:rsid w:val="000171D0"/>
    <w:rsid w:val="000174B2"/>
    <w:rsid w:val="00017559"/>
    <w:rsid w:val="00017ACD"/>
    <w:rsid w:val="00020110"/>
    <w:rsid w:val="00020667"/>
    <w:rsid w:val="0002110A"/>
    <w:rsid w:val="0002233A"/>
    <w:rsid w:val="00022B63"/>
    <w:rsid w:val="00023B0F"/>
    <w:rsid w:val="0002422F"/>
    <w:rsid w:val="00024927"/>
    <w:rsid w:val="00025B42"/>
    <w:rsid w:val="00026F78"/>
    <w:rsid w:val="000271F6"/>
    <w:rsid w:val="00027858"/>
    <w:rsid w:val="000301AA"/>
    <w:rsid w:val="00031B4D"/>
    <w:rsid w:val="00031C3C"/>
    <w:rsid w:val="000321AD"/>
    <w:rsid w:val="00032BAA"/>
    <w:rsid w:val="00033116"/>
    <w:rsid w:val="00033407"/>
    <w:rsid w:val="00034853"/>
    <w:rsid w:val="00035268"/>
    <w:rsid w:val="00035766"/>
    <w:rsid w:val="000372BB"/>
    <w:rsid w:val="000373A6"/>
    <w:rsid w:val="00042B1C"/>
    <w:rsid w:val="00042C1F"/>
    <w:rsid w:val="00043407"/>
    <w:rsid w:val="0004503A"/>
    <w:rsid w:val="0004590A"/>
    <w:rsid w:val="00046A27"/>
    <w:rsid w:val="00047362"/>
    <w:rsid w:val="0005094A"/>
    <w:rsid w:val="00050BCC"/>
    <w:rsid w:val="000510DB"/>
    <w:rsid w:val="00051360"/>
    <w:rsid w:val="0005144F"/>
    <w:rsid w:val="000525AF"/>
    <w:rsid w:val="0005302A"/>
    <w:rsid w:val="00055A93"/>
    <w:rsid w:val="00055CD3"/>
    <w:rsid w:val="000566C8"/>
    <w:rsid w:val="000571ED"/>
    <w:rsid w:val="00057D3C"/>
    <w:rsid w:val="0006222B"/>
    <w:rsid w:val="00062D30"/>
    <w:rsid w:val="000647EB"/>
    <w:rsid w:val="00064DB1"/>
    <w:rsid w:val="000675A6"/>
    <w:rsid w:val="000679C9"/>
    <w:rsid w:val="00067D20"/>
    <w:rsid w:val="00070888"/>
    <w:rsid w:val="00070B88"/>
    <w:rsid w:val="0007418C"/>
    <w:rsid w:val="000741B7"/>
    <w:rsid w:val="00074BC9"/>
    <w:rsid w:val="00075E09"/>
    <w:rsid w:val="00076F59"/>
    <w:rsid w:val="0007705F"/>
    <w:rsid w:val="0008044E"/>
    <w:rsid w:val="00080CA2"/>
    <w:rsid w:val="00080D21"/>
    <w:rsid w:val="00081E16"/>
    <w:rsid w:val="00082678"/>
    <w:rsid w:val="00082CA8"/>
    <w:rsid w:val="0008327F"/>
    <w:rsid w:val="0008380F"/>
    <w:rsid w:val="00083898"/>
    <w:rsid w:val="000838FB"/>
    <w:rsid w:val="00084811"/>
    <w:rsid w:val="00085F6C"/>
    <w:rsid w:val="000865A8"/>
    <w:rsid w:val="00086B54"/>
    <w:rsid w:val="00093919"/>
    <w:rsid w:val="0009427E"/>
    <w:rsid w:val="000970AB"/>
    <w:rsid w:val="0009768A"/>
    <w:rsid w:val="00097755"/>
    <w:rsid w:val="000A02DF"/>
    <w:rsid w:val="000A04C6"/>
    <w:rsid w:val="000A0CDA"/>
    <w:rsid w:val="000A11DD"/>
    <w:rsid w:val="000A28BB"/>
    <w:rsid w:val="000A31B2"/>
    <w:rsid w:val="000A35AC"/>
    <w:rsid w:val="000A5E8C"/>
    <w:rsid w:val="000A75C6"/>
    <w:rsid w:val="000B02A7"/>
    <w:rsid w:val="000B077D"/>
    <w:rsid w:val="000B0C09"/>
    <w:rsid w:val="000B0D6C"/>
    <w:rsid w:val="000B370D"/>
    <w:rsid w:val="000B3B26"/>
    <w:rsid w:val="000B487A"/>
    <w:rsid w:val="000B5174"/>
    <w:rsid w:val="000B52C0"/>
    <w:rsid w:val="000B5658"/>
    <w:rsid w:val="000B5B0D"/>
    <w:rsid w:val="000B6188"/>
    <w:rsid w:val="000B6A2B"/>
    <w:rsid w:val="000B719A"/>
    <w:rsid w:val="000B7D1D"/>
    <w:rsid w:val="000C0391"/>
    <w:rsid w:val="000C0A9C"/>
    <w:rsid w:val="000C0F19"/>
    <w:rsid w:val="000C1981"/>
    <w:rsid w:val="000C262E"/>
    <w:rsid w:val="000C2E74"/>
    <w:rsid w:val="000C2F83"/>
    <w:rsid w:val="000C35C5"/>
    <w:rsid w:val="000C3813"/>
    <w:rsid w:val="000C3DD8"/>
    <w:rsid w:val="000C4119"/>
    <w:rsid w:val="000C47E4"/>
    <w:rsid w:val="000C4879"/>
    <w:rsid w:val="000C5471"/>
    <w:rsid w:val="000C6752"/>
    <w:rsid w:val="000C6920"/>
    <w:rsid w:val="000C6F0B"/>
    <w:rsid w:val="000C7B41"/>
    <w:rsid w:val="000D07CD"/>
    <w:rsid w:val="000D0C5A"/>
    <w:rsid w:val="000D0E76"/>
    <w:rsid w:val="000D2B27"/>
    <w:rsid w:val="000D3A1E"/>
    <w:rsid w:val="000D431A"/>
    <w:rsid w:val="000D4496"/>
    <w:rsid w:val="000D4A2E"/>
    <w:rsid w:val="000D5110"/>
    <w:rsid w:val="000D5839"/>
    <w:rsid w:val="000D5C00"/>
    <w:rsid w:val="000D5F9A"/>
    <w:rsid w:val="000D6E0A"/>
    <w:rsid w:val="000D7FA2"/>
    <w:rsid w:val="000E012B"/>
    <w:rsid w:val="000E03DA"/>
    <w:rsid w:val="000E0B85"/>
    <w:rsid w:val="000E0E45"/>
    <w:rsid w:val="000E1457"/>
    <w:rsid w:val="000E3391"/>
    <w:rsid w:val="000E367E"/>
    <w:rsid w:val="000E3831"/>
    <w:rsid w:val="000E41B9"/>
    <w:rsid w:val="000E5FF9"/>
    <w:rsid w:val="000E6858"/>
    <w:rsid w:val="000E740D"/>
    <w:rsid w:val="000E7993"/>
    <w:rsid w:val="000E7F5E"/>
    <w:rsid w:val="000F0266"/>
    <w:rsid w:val="000F0C34"/>
    <w:rsid w:val="000F1246"/>
    <w:rsid w:val="000F1C5F"/>
    <w:rsid w:val="000F2A9A"/>
    <w:rsid w:val="000F3A89"/>
    <w:rsid w:val="000F69A9"/>
    <w:rsid w:val="000F6A6A"/>
    <w:rsid w:val="000F6B6D"/>
    <w:rsid w:val="000F73C3"/>
    <w:rsid w:val="000F7797"/>
    <w:rsid w:val="001023B2"/>
    <w:rsid w:val="00103346"/>
    <w:rsid w:val="00104B88"/>
    <w:rsid w:val="00105A78"/>
    <w:rsid w:val="001060E8"/>
    <w:rsid w:val="00110F43"/>
    <w:rsid w:val="00111958"/>
    <w:rsid w:val="00111C67"/>
    <w:rsid w:val="00112136"/>
    <w:rsid w:val="0011223A"/>
    <w:rsid w:val="00112409"/>
    <w:rsid w:val="00114BEA"/>
    <w:rsid w:val="00115CA1"/>
    <w:rsid w:val="00116256"/>
    <w:rsid w:val="00117251"/>
    <w:rsid w:val="0011753D"/>
    <w:rsid w:val="00117B4B"/>
    <w:rsid w:val="001205C1"/>
    <w:rsid w:val="0012140D"/>
    <w:rsid w:val="00122FEA"/>
    <w:rsid w:val="0012328D"/>
    <w:rsid w:val="00123C7C"/>
    <w:rsid w:val="00124261"/>
    <w:rsid w:val="001245CF"/>
    <w:rsid w:val="00125A8D"/>
    <w:rsid w:val="00125C21"/>
    <w:rsid w:val="00126606"/>
    <w:rsid w:val="00130628"/>
    <w:rsid w:val="001345C0"/>
    <w:rsid w:val="00135D7C"/>
    <w:rsid w:val="001368FE"/>
    <w:rsid w:val="00136E27"/>
    <w:rsid w:val="00136E64"/>
    <w:rsid w:val="001373EE"/>
    <w:rsid w:val="00140218"/>
    <w:rsid w:val="001409FE"/>
    <w:rsid w:val="001424B0"/>
    <w:rsid w:val="001428FB"/>
    <w:rsid w:val="00142C11"/>
    <w:rsid w:val="00143978"/>
    <w:rsid w:val="00143C8D"/>
    <w:rsid w:val="001463C7"/>
    <w:rsid w:val="001468F9"/>
    <w:rsid w:val="0014747B"/>
    <w:rsid w:val="0015204C"/>
    <w:rsid w:val="0015326C"/>
    <w:rsid w:val="00154841"/>
    <w:rsid w:val="00155630"/>
    <w:rsid w:val="00155FF6"/>
    <w:rsid w:val="001561C4"/>
    <w:rsid w:val="00156771"/>
    <w:rsid w:val="00156E44"/>
    <w:rsid w:val="00156E47"/>
    <w:rsid w:val="00156EBF"/>
    <w:rsid w:val="00160343"/>
    <w:rsid w:val="00160D26"/>
    <w:rsid w:val="00160DED"/>
    <w:rsid w:val="0016390E"/>
    <w:rsid w:val="00163FAC"/>
    <w:rsid w:val="0016414B"/>
    <w:rsid w:val="001647B5"/>
    <w:rsid w:val="00164E43"/>
    <w:rsid w:val="00166568"/>
    <w:rsid w:val="00167311"/>
    <w:rsid w:val="00170CDA"/>
    <w:rsid w:val="00172A08"/>
    <w:rsid w:val="00174F31"/>
    <w:rsid w:val="001753A1"/>
    <w:rsid w:val="00175C2E"/>
    <w:rsid w:val="00176882"/>
    <w:rsid w:val="001769EA"/>
    <w:rsid w:val="00177C91"/>
    <w:rsid w:val="0018124D"/>
    <w:rsid w:val="00181627"/>
    <w:rsid w:val="00181C2C"/>
    <w:rsid w:val="00181F29"/>
    <w:rsid w:val="00182554"/>
    <w:rsid w:val="00182752"/>
    <w:rsid w:val="001833C7"/>
    <w:rsid w:val="001834E1"/>
    <w:rsid w:val="0018468E"/>
    <w:rsid w:val="001851EF"/>
    <w:rsid w:val="00187CD2"/>
    <w:rsid w:val="00191422"/>
    <w:rsid w:val="00191D9D"/>
    <w:rsid w:val="00192262"/>
    <w:rsid w:val="00192668"/>
    <w:rsid w:val="00193349"/>
    <w:rsid w:val="0019337B"/>
    <w:rsid w:val="00193704"/>
    <w:rsid w:val="00193A8B"/>
    <w:rsid w:val="00194814"/>
    <w:rsid w:val="00194A62"/>
    <w:rsid w:val="00194F15"/>
    <w:rsid w:val="00195989"/>
    <w:rsid w:val="00196B2D"/>
    <w:rsid w:val="00197F0A"/>
    <w:rsid w:val="001A03B5"/>
    <w:rsid w:val="001A0C86"/>
    <w:rsid w:val="001A0D51"/>
    <w:rsid w:val="001A11A7"/>
    <w:rsid w:val="001A1DB0"/>
    <w:rsid w:val="001A2096"/>
    <w:rsid w:val="001A27A4"/>
    <w:rsid w:val="001A2DC3"/>
    <w:rsid w:val="001A2E4B"/>
    <w:rsid w:val="001A3B30"/>
    <w:rsid w:val="001A4230"/>
    <w:rsid w:val="001A49C3"/>
    <w:rsid w:val="001A4D2B"/>
    <w:rsid w:val="001A4D4B"/>
    <w:rsid w:val="001A73B5"/>
    <w:rsid w:val="001A7595"/>
    <w:rsid w:val="001A7911"/>
    <w:rsid w:val="001B2536"/>
    <w:rsid w:val="001B2849"/>
    <w:rsid w:val="001B35F1"/>
    <w:rsid w:val="001B4605"/>
    <w:rsid w:val="001B4BE7"/>
    <w:rsid w:val="001B4CE7"/>
    <w:rsid w:val="001B51D0"/>
    <w:rsid w:val="001B5460"/>
    <w:rsid w:val="001B5E86"/>
    <w:rsid w:val="001B6404"/>
    <w:rsid w:val="001B6ED4"/>
    <w:rsid w:val="001B70A4"/>
    <w:rsid w:val="001B7F50"/>
    <w:rsid w:val="001C172D"/>
    <w:rsid w:val="001C2C60"/>
    <w:rsid w:val="001C337C"/>
    <w:rsid w:val="001C36D7"/>
    <w:rsid w:val="001C3DB0"/>
    <w:rsid w:val="001C7315"/>
    <w:rsid w:val="001C755B"/>
    <w:rsid w:val="001C768F"/>
    <w:rsid w:val="001C7DDF"/>
    <w:rsid w:val="001D0913"/>
    <w:rsid w:val="001D1196"/>
    <w:rsid w:val="001D1876"/>
    <w:rsid w:val="001D1BCC"/>
    <w:rsid w:val="001D363C"/>
    <w:rsid w:val="001D53D2"/>
    <w:rsid w:val="001D5D53"/>
    <w:rsid w:val="001D5F6E"/>
    <w:rsid w:val="001D6063"/>
    <w:rsid w:val="001D621C"/>
    <w:rsid w:val="001D76DE"/>
    <w:rsid w:val="001E0D1E"/>
    <w:rsid w:val="001E1227"/>
    <w:rsid w:val="001E17EE"/>
    <w:rsid w:val="001E375D"/>
    <w:rsid w:val="001E4207"/>
    <w:rsid w:val="001E48A2"/>
    <w:rsid w:val="001E4D4C"/>
    <w:rsid w:val="001E542E"/>
    <w:rsid w:val="001E5DEA"/>
    <w:rsid w:val="001E5EAA"/>
    <w:rsid w:val="001E6ABB"/>
    <w:rsid w:val="001E768E"/>
    <w:rsid w:val="001F01C1"/>
    <w:rsid w:val="001F0218"/>
    <w:rsid w:val="001F0A4A"/>
    <w:rsid w:val="001F0AF3"/>
    <w:rsid w:val="001F14DA"/>
    <w:rsid w:val="001F3043"/>
    <w:rsid w:val="001F364F"/>
    <w:rsid w:val="001F3707"/>
    <w:rsid w:val="001F4302"/>
    <w:rsid w:val="001F4A6A"/>
    <w:rsid w:val="001F6184"/>
    <w:rsid w:val="001F6198"/>
    <w:rsid w:val="001F6449"/>
    <w:rsid w:val="001F7790"/>
    <w:rsid w:val="001F7BC4"/>
    <w:rsid w:val="001F7FCE"/>
    <w:rsid w:val="002005D0"/>
    <w:rsid w:val="002023C3"/>
    <w:rsid w:val="00202BB1"/>
    <w:rsid w:val="00203C2A"/>
    <w:rsid w:val="00205FD6"/>
    <w:rsid w:val="00206380"/>
    <w:rsid w:val="002065A4"/>
    <w:rsid w:val="00206C73"/>
    <w:rsid w:val="00206F47"/>
    <w:rsid w:val="002109F0"/>
    <w:rsid w:val="002116DA"/>
    <w:rsid w:val="00212CC0"/>
    <w:rsid w:val="00212D80"/>
    <w:rsid w:val="002134C2"/>
    <w:rsid w:val="00213E17"/>
    <w:rsid w:val="0021465A"/>
    <w:rsid w:val="00214E80"/>
    <w:rsid w:val="00214F28"/>
    <w:rsid w:val="00217584"/>
    <w:rsid w:val="00217999"/>
    <w:rsid w:val="00221249"/>
    <w:rsid w:val="00223830"/>
    <w:rsid w:val="00224303"/>
    <w:rsid w:val="00227508"/>
    <w:rsid w:val="0023037D"/>
    <w:rsid w:val="0023103D"/>
    <w:rsid w:val="002324C6"/>
    <w:rsid w:val="00232E8B"/>
    <w:rsid w:val="002332F2"/>
    <w:rsid w:val="00233439"/>
    <w:rsid w:val="002334FB"/>
    <w:rsid w:val="00234100"/>
    <w:rsid w:val="00235727"/>
    <w:rsid w:val="002429A5"/>
    <w:rsid w:val="00242DC0"/>
    <w:rsid w:val="00243486"/>
    <w:rsid w:val="002435B9"/>
    <w:rsid w:val="00243C75"/>
    <w:rsid w:val="00244013"/>
    <w:rsid w:val="00244CD9"/>
    <w:rsid w:val="002451AF"/>
    <w:rsid w:val="0024562B"/>
    <w:rsid w:val="00247B41"/>
    <w:rsid w:val="00251767"/>
    <w:rsid w:val="00252856"/>
    <w:rsid w:val="00252D7B"/>
    <w:rsid w:val="0025310A"/>
    <w:rsid w:val="00253C2F"/>
    <w:rsid w:val="00254091"/>
    <w:rsid w:val="00254776"/>
    <w:rsid w:val="00254864"/>
    <w:rsid w:val="00254B67"/>
    <w:rsid w:val="002551B0"/>
    <w:rsid w:val="0025549B"/>
    <w:rsid w:val="00255885"/>
    <w:rsid w:val="00255A13"/>
    <w:rsid w:val="00255B77"/>
    <w:rsid w:val="00255FD0"/>
    <w:rsid w:val="00256E68"/>
    <w:rsid w:val="00260C9F"/>
    <w:rsid w:val="00260EC0"/>
    <w:rsid w:val="0026127C"/>
    <w:rsid w:val="00262208"/>
    <w:rsid w:val="00262C9B"/>
    <w:rsid w:val="00263BC1"/>
    <w:rsid w:val="00263E50"/>
    <w:rsid w:val="00264F0E"/>
    <w:rsid w:val="002650CA"/>
    <w:rsid w:val="00265D63"/>
    <w:rsid w:val="002676DA"/>
    <w:rsid w:val="002702A5"/>
    <w:rsid w:val="00270AC9"/>
    <w:rsid w:val="00270F0D"/>
    <w:rsid w:val="00272FC7"/>
    <w:rsid w:val="00273026"/>
    <w:rsid w:val="00274E61"/>
    <w:rsid w:val="00274ECB"/>
    <w:rsid w:val="00275478"/>
    <w:rsid w:val="00276470"/>
    <w:rsid w:val="002779FE"/>
    <w:rsid w:val="00277D91"/>
    <w:rsid w:val="00280683"/>
    <w:rsid w:val="00280E02"/>
    <w:rsid w:val="002818B3"/>
    <w:rsid w:val="00281F6E"/>
    <w:rsid w:val="00282012"/>
    <w:rsid w:val="002821D3"/>
    <w:rsid w:val="00283616"/>
    <w:rsid w:val="00284BC1"/>
    <w:rsid w:val="002856A1"/>
    <w:rsid w:val="00285843"/>
    <w:rsid w:val="00286200"/>
    <w:rsid w:val="0028718E"/>
    <w:rsid w:val="00287E58"/>
    <w:rsid w:val="00292426"/>
    <w:rsid w:val="002927DA"/>
    <w:rsid w:val="00292E90"/>
    <w:rsid w:val="002933FF"/>
    <w:rsid w:val="00294BCE"/>
    <w:rsid w:val="00294E92"/>
    <w:rsid w:val="00295E0F"/>
    <w:rsid w:val="002964FC"/>
    <w:rsid w:val="00296E54"/>
    <w:rsid w:val="002A0001"/>
    <w:rsid w:val="002A0482"/>
    <w:rsid w:val="002A0945"/>
    <w:rsid w:val="002A11C6"/>
    <w:rsid w:val="002A4234"/>
    <w:rsid w:val="002A5F96"/>
    <w:rsid w:val="002A6674"/>
    <w:rsid w:val="002A70B6"/>
    <w:rsid w:val="002A78E6"/>
    <w:rsid w:val="002A7969"/>
    <w:rsid w:val="002A7C5D"/>
    <w:rsid w:val="002A7D2E"/>
    <w:rsid w:val="002B0388"/>
    <w:rsid w:val="002B0A5A"/>
    <w:rsid w:val="002B2FFB"/>
    <w:rsid w:val="002B6E79"/>
    <w:rsid w:val="002B7970"/>
    <w:rsid w:val="002B7E7F"/>
    <w:rsid w:val="002C00A7"/>
    <w:rsid w:val="002C0B7D"/>
    <w:rsid w:val="002C16EE"/>
    <w:rsid w:val="002C2E66"/>
    <w:rsid w:val="002C3481"/>
    <w:rsid w:val="002C6A71"/>
    <w:rsid w:val="002C6E69"/>
    <w:rsid w:val="002C74B2"/>
    <w:rsid w:val="002D0952"/>
    <w:rsid w:val="002D0992"/>
    <w:rsid w:val="002D149A"/>
    <w:rsid w:val="002D3254"/>
    <w:rsid w:val="002D3604"/>
    <w:rsid w:val="002D433A"/>
    <w:rsid w:val="002D6F10"/>
    <w:rsid w:val="002E0F88"/>
    <w:rsid w:val="002E270E"/>
    <w:rsid w:val="002E294A"/>
    <w:rsid w:val="002E3639"/>
    <w:rsid w:val="002E3D9C"/>
    <w:rsid w:val="002E4702"/>
    <w:rsid w:val="002E4FB4"/>
    <w:rsid w:val="002E5924"/>
    <w:rsid w:val="002E67F0"/>
    <w:rsid w:val="002E6E1B"/>
    <w:rsid w:val="002E7B94"/>
    <w:rsid w:val="002F11E6"/>
    <w:rsid w:val="002F25B6"/>
    <w:rsid w:val="002F42B6"/>
    <w:rsid w:val="002F4B85"/>
    <w:rsid w:val="002F4C16"/>
    <w:rsid w:val="002F5EA2"/>
    <w:rsid w:val="002F615D"/>
    <w:rsid w:val="002F63A1"/>
    <w:rsid w:val="002F674C"/>
    <w:rsid w:val="002F675A"/>
    <w:rsid w:val="003004E2"/>
    <w:rsid w:val="00300C33"/>
    <w:rsid w:val="00300DFE"/>
    <w:rsid w:val="00302973"/>
    <w:rsid w:val="00302F32"/>
    <w:rsid w:val="003036C6"/>
    <w:rsid w:val="003037C8"/>
    <w:rsid w:val="00303B2E"/>
    <w:rsid w:val="0030411D"/>
    <w:rsid w:val="003045CF"/>
    <w:rsid w:val="0030501B"/>
    <w:rsid w:val="003053E6"/>
    <w:rsid w:val="003059BE"/>
    <w:rsid w:val="00307115"/>
    <w:rsid w:val="003074D5"/>
    <w:rsid w:val="00307D68"/>
    <w:rsid w:val="0031057B"/>
    <w:rsid w:val="003109BA"/>
    <w:rsid w:val="00311276"/>
    <w:rsid w:val="00311879"/>
    <w:rsid w:val="00312CF5"/>
    <w:rsid w:val="0031301D"/>
    <w:rsid w:val="0031461F"/>
    <w:rsid w:val="00314872"/>
    <w:rsid w:val="00315993"/>
    <w:rsid w:val="003165B3"/>
    <w:rsid w:val="00316C25"/>
    <w:rsid w:val="003172E2"/>
    <w:rsid w:val="00317B9F"/>
    <w:rsid w:val="00317F7C"/>
    <w:rsid w:val="00320DBF"/>
    <w:rsid w:val="003221F3"/>
    <w:rsid w:val="00326F71"/>
    <w:rsid w:val="003270C5"/>
    <w:rsid w:val="00327669"/>
    <w:rsid w:val="00327A61"/>
    <w:rsid w:val="003317D1"/>
    <w:rsid w:val="00331A7F"/>
    <w:rsid w:val="00332B27"/>
    <w:rsid w:val="00332EA6"/>
    <w:rsid w:val="00334366"/>
    <w:rsid w:val="003343CF"/>
    <w:rsid w:val="00334B92"/>
    <w:rsid w:val="0033629D"/>
    <w:rsid w:val="00336F9B"/>
    <w:rsid w:val="00337C90"/>
    <w:rsid w:val="00337FB4"/>
    <w:rsid w:val="003410BE"/>
    <w:rsid w:val="003413AE"/>
    <w:rsid w:val="00341976"/>
    <w:rsid w:val="00343F32"/>
    <w:rsid w:val="00344C9A"/>
    <w:rsid w:val="00344F53"/>
    <w:rsid w:val="003452DE"/>
    <w:rsid w:val="003475BF"/>
    <w:rsid w:val="00350269"/>
    <w:rsid w:val="00352BD5"/>
    <w:rsid w:val="00352D27"/>
    <w:rsid w:val="0035372C"/>
    <w:rsid w:val="003544B6"/>
    <w:rsid w:val="00354848"/>
    <w:rsid w:val="00354FC8"/>
    <w:rsid w:val="0035504F"/>
    <w:rsid w:val="00355227"/>
    <w:rsid w:val="00355B4F"/>
    <w:rsid w:val="00355C51"/>
    <w:rsid w:val="0035604D"/>
    <w:rsid w:val="00356315"/>
    <w:rsid w:val="0035774F"/>
    <w:rsid w:val="003609DA"/>
    <w:rsid w:val="00360EDA"/>
    <w:rsid w:val="00361F74"/>
    <w:rsid w:val="00361FC0"/>
    <w:rsid w:val="00362F5B"/>
    <w:rsid w:val="003633CA"/>
    <w:rsid w:val="00363925"/>
    <w:rsid w:val="00364BFE"/>
    <w:rsid w:val="00364F27"/>
    <w:rsid w:val="00365A8E"/>
    <w:rsid w:val="0036723E"/>
    <w:rsid w:val="00367B62"/>
    <w:rsid w:val="00367F6D"/>
    <w:rsid w:val="003723DB"/>
    <w:rsid w:val="003723F8"/>
    <w:rsid w:val="00372AD0"/>
    <w:rsid w:val="00373AFC"/>
    <w:rsid w:val="003745E6"/>
    <w:rsid w:val="00375C5A"/>
    <w:rsid w:val="00376253"/>
    <w:rsid w:val="003777D2"/>
    <w:rsid w:val="0037787B"/>
    <w:rsid w:val="00377A26"/>
    <w:rsid w:val="003809D4"/>
    <w:rsid w:val="0038109A"/>
    <w:rsid w:val="00381343"/>
    <w:rsid w:val="00382924"/>
    <w:rsid w:val="00382A86"/>
    <w:rsid w:val="00384191"/>
    <w:rsid w:val="00384498"/>
    <w:rsid w:val="00385171"/>
    <w:rsid w:val="003851F0"/>
    <w:rsid w:val="003863A0"/>
    <w:rsid w:val="00387C81"/>
    <w:rsid w:val="0039004A"/>
    <w:rsid w:val="0039137D"/>
    <w:rsid w:val="0039179E"/>
    <w:rsid w:val="00391DB4"/>
    <w:rsid w:val="0039259C"/>
    <w:rsid w:val="00392ECF"/>
    <w:rsid w:val="00393874"/>
    <w:rsid w:val="00393930"/>
    <w:rsid w:val="0039396B"/>
    <w:rsid w:val="00393C3A"/>
    <w:rsid w:val="00394B6E"/>
    <w:rsid w:val="003956BB"/>
    <w:rsid w:val="00395DAB"/>
    <w:rsid w:val="00396428"/>
    <w:rsid w:val="0039777D"/>
    <w:rsid w:val="003A04EA"/>
    <w:rsid w:val="003A0A11"/>
    <w:rsid w:val="003A2A08"/>
    <w:rsid w:val="003A39A1"/>
    <w:rsid w:val="003A59B9"/>
    <w:rsid w:val="003A61FA"/>
    <w:rsid w:val="003A785D"/>
    <w:rsid w:val="003B0170"/>
    <w:rsid w:val="003B0A6E"/>
    <w:rsid w:val="003B0C6B"/>
    <w:rsid w:val="003B0E56"/>
    <w:rsid w:val="003B261B"/>
    <w:rsid w:val="003B292A"/>
    <w:rsid w:val="003B48BE"/>
    <w:rsid w:val="003B52CD"/>
    <w:rsid w:val="003B5EE0"/>
    <w:rsid w:val="003B6AA5"/>
    <w:rsid w:val="003B6BA8"/>
    <w:rsid w:val="003B6FF4"/>
    <w:rsid w:val="003C1513"/>
    <w:rsid w:val="003C16EA"/>
    <w:rsid w:val="003C19D5"/>
    <w:rsid w:val="003C1B25"/>
    <w:rsid w:val="003C3085"/>
    <w:rsid w:val="003C3AFB"/>
    <w:rsid w:val="003C56BC"/>
    <w:rsid w:val="003C5D7C"/>
    <w:rsid w:val="003C633E"/>
    <w:rsid w:val="003C66A8"/>
    <w:rsid w:val="003C7C82"/>
    <w:rsid w:val="003D0207"/>
    <w:rsid w:val="003D0D26"/>
    <w:rsid w:val="003D1140"/>
    <w:rsid w:val="003D129A"/>
    <w:rsid w:val="003D138D"/>
    <w:rsid w:val="003D1792"/>
    <w:rsid w:val="003D288D"/>
    <w:rsid w:val="003D3462"/>
    <w:rsid w:val="003D3EB8"/>
    <w:rsid w:val="003D42E5"/>
    <w:rsid w:val="003D456B"/>
    <w:rsid w:val="003D4C14"/>
    <w:rsid w:val="003D7577"/>
    <w:rsid w:val="003D7829"/>
    <w:rsid w:val="003D7C79"/>
    <w:rsid w:val="003E0664"/>
    <w:rsid w:val="003E08F6"/>
    <w:rsid w:val="003E0D3B"/>
    <w:rsid w:val="003E2737"/>
    <w:rsid w:val="003E48DE"/>
    <w:rsid w:val="003E4B60"/>
    <w:rsid w:val="003E5805"/>
    <w:rsid w:val="003E6ED5"/>
    <w:rsid w:val="003E76C6"/>
    <w:rsid w:val="003F1921"/>
    <w:rsid w:val="003F350C"/>
    <w:rsid w:val="003F3A0A"/>
    <w:rsid w:val="003F3D82"/>
    <w:rsid w:val="003F5FD3"/>
    <w:rsid w:val="003F65B4"/>
    <w:rsid w:val="003F696A"/>
    <w:rsid w:val="003F6C96"/>
    <w:rsid w:val="004006D2"/>
    <w:rsid w:val="004020AD"/>
    <w:rsid w:val="0040380E"/>
    <w:rsid w:val="0040643B"/>
    <w:rsid w:val="00406B47"/>
    <w:rsid w:val="00406CC5"/>
    <w:rsid w:val="00406D1F"/>
    <w:rsid w:val="00410E93"/>
    <w:rsid w:val="00410F05"/>
    <w:rsid w:val="00411C6B"/>
    <w:rsid w:val="004123DA"/>
    <w:rsid w:val="00413067"/>
    <w:rsid w:val="00413CDE"/>
    <w:rsid w:val="0041524A"/>
    <w:rsid w:val="004152AE"/>
    <w:rsid w:val="004161CE"/>
    <w:rsid w:val="00416D74"/>
    <w:rsid w:val="004177D2"/>
    <w:rsid w:val="00417FB9"/>
    <w:rsid w:val="004220DB"/>
    <w:rsid w:val="00424C6D"/>
    <w:rsid w:val="00424ED0"/>
    <w:rsid w:val="00425BEE"/>
    <w:rsid w:val="00426DF2"/>
    <w:rsid w:val="004272F1"/>
    <w:rsid w:val="0042766F"/>
    <w:rsid w:val="004277AE"/>
    <w:rsid w:val="0043013C"/>
    <w:rsid w:val="00430EC3"/>
    <w:rsid w:val="004316FB"/>
    <w:rsid w:val="00431BE9"/>
    <w:rsid w:val="0043227D"/>
    <w:rsid w:val="00432772"/>
    <w:rsid w:val="00432C5A"/>
    <w:rsid w:val="004339F9"/>
    <w:rsid w:val="004341F0"/>
    <w:rsid w:val="00436980"/>
    <w:rsid w:val="004424B7"/>
    <w:rsid w:val="00442859"/>
    <w:rsid w:val="00442DBB"/>
    <w:rsid w:val="00442ED1"/>
    <w:rsid w:val="00443CA1"/>
    <w:rsid w:val="004454A4"/>
    <w:rsid w:val="00445AE7"/>
    <w:rsid w:val="004471C3"/>
    <w:rsid w:val="00447C93"/>
    <w:rsid w:val="004518A5"/>
    <w:rsid w:val="00451B5E"/>
    <w:rsid w:val="004525ED"/>
    <w:rsid w:val="00453DFB"/>
    <w:rsid w:val="00455059"/>
    <w:rsid w:val="00456982"/>
    <w:rsid w:val="004572F2"/>
    <w:rsid w:val="00457B7B"/>
    <w:rsid w:val="00461221"/>
    <w:rsid w:val="00461638"/>
    <w:rsid w:val="00461DAE"/>
    <w:rsid w:val="00462163"/>
    <w:rsid w:val="004646EA"/>
    <w:rsid w:val="00464AD2"/>
    <w:rsid w:val="004663DD"/>
    <w:rsid w:val="00467AEC"/>
    <w:rsid w:val="00467CF6"/>
    <w:rsid w:val="00470104"/>
    <w:rsid w:val="00470F4C"/>
    <w:rsid w:val="0047240A"/>
    <w:rsid w:val="0047257C"/>
    <w:rsid w:val="00474D2B"/>
    <w:rsid w:val="00475AD8"/>
    <w:rsid w:val="0047619E"/>
    <w:rsid w:val="00482AEF"/>
    <w:rsid w:val="00482B75"/>
    <w:rsid w:val="00482BCA"/>
    <w:rsid w:val="00485073"/>
    <w:rsid w:val="00485323"/>
    <w:rsid w:val="00485614"/>
    <w:rsid w:val="00486C6C"/>
    <w:rsid w:val="00486F72"/>
    <w:rsid w:val="00486F89"/>
    <w:rsid w:val="0048719D"/>
    <w:rsid w:val="004877FE"/>
    <w:rsid w:val="00487845"/>
    <w:rsid w:val="00490069"/>
    <w:rsid w:val="00490605"/>
    <w:rsid w:val="0049088D"/>
    <w:rsid w:val="0049132A"/>
    <w:rsid w:val="00491CF1"/>
    <w:rsid w:val="004924A1"/>
    <w:rsid w:val="00492E5B"/>
    <w:rsid w:val="00493A05"/>
    <w:rsid w:val="00493BD4"/>
    <w:rsid w:val="004941AA"/>
    <w:rsid w:val="004949E6"/>
    <w:rsid w:val="0049586E"/>
    <w:rsid w:val="00495ECF"/>
    <w:rsid w:val="004966A8"/>
    <w:rsid w:val="00497BDD"/>
    <w:rsid w:val="004A01A5"/>
    <w:rsid w:val="004A07D8"/>
    <w:rsid w:val="004A093C"/>
    <w:rsid w:val="004A0F21"/>
    <w:rsid w:val="004A11B7"/>
    <w:rsid w:val="004A15E4"/>
    <w:rsid w:val="004A1BDC"/>
    <w:rsid w:val="004A24F9"/>
    <w:rsid w:val="004A2BE3"/>
    <w:rsid w:val="004A311B"/>
    <w:rsid w:val="004A394F"/>
    <w:rsid w:val="004A6E82"/>
    <w:rsid w:val="004A7826"/>
    <w:rsid w:val="004A7E5D"/>
    <w:rsid w:val="004B0A1C"/>
    <w:rsid w:val="004B14B1"/>
    <w:rsid w:val="004B2CE0"/>
    <w:rsid w:val="004B2E31"/>
    <w:rsid w:val="004B391C"/>
    <w:rsid w:val="004B48E2"/>
    <w:rsid w:val="004B5A73"/>
    <w:rsid w:val="004B63AE"/>
    <w:rsid w:val="004B6437"/>
    <w:rsid w:val="004B646E"/>
    <w:rsid w:val="004B670A"/>
    <w:rsid w:val="004B6AD7"/>
    <w:rsid w:val="004B71D4"/>
    <w:rsid w:val="004B7275"/>
    <w:rsid w:val="004B7CB5"/>
    <w:rsid w:val="004B7D72"/>
    <w:rsid w:val="004C00A3"/>
    <w:rsid w:val="004C0A14"/>
    <w:rsid w:val="004C0ACF"/>
    <w:rsid w:val="004C0C11"/>
    <w:rsid w:val="004C119C"/>
    <w:rsid w:val="004C1611"/>
    <w:rsid w:val="004C1A5D"/>
    <w:rsid w:val="004C1ACA"/>
    <w:rsid w:val="004C1F1C"/>
    <w:rsid w:val="004C2DCD"/>
    <w:rsid w:val="004C322E"/>
    <w:rsid w:val="004C33A6"/>
    <w:rsid w:val="004C5A98"/>
    <w:rsid w:val="004C69B1"/>
    <w:rsid w:val="004C7ADB"/>
    <w:rsid w:val="004D1337"/>
    <w:rsid w:val="004D1578"/>
    <w:rsid w:val="004D3073"/>
    <w:rsid w:val="004D3313"/>
    <w:rsid w:val="004D4B66"/>
    <w:rsid w:val="004D5207"/>
    <w:rsid w:val="004D5E6E"/>
    <w:rsid w:val="004D7286"/>
    <w:rsid w:val="004D784E"/>
    <w:rsid w:val="004E0C76"/>
    <w:rsid w:val="004E1404"/>
    <w:rsid w:val="004E202C"/>
    <w:rsid w:val="004E3084"/>
    <w:rsid w:val="004E615A"/>
    <w:rsid w:val="004E7126"/>
    <w:rsid w:val="004E73F0"/>
    <w:rsid w:val="004E7700"/>
    <w:rsid w:val="004F06F0"/>
    <w:rsid w:val="004F0E83"/>
    <w:rsid w:val="004F177A"/>
    <w:rsid w:val="004F3357"/>
    <w:rsid w:val="004F443B"/>
    <w:rsid w:val="004F5787"/>
    <w:rsid w:val="004F6A6C"/>
    <w:rsid w:val="004F6B1A"/>
    <w:rsid w:val="004F790F"/>
    <w:rsid w:val="004F7DE9"/>
    <w:rsid w:val="0050011E"/>
    <w:rsid w:val="0050053B"/>
    <w:rsid w:val="00500D86"/>
    <w:rsid w:val="00503DD4"/>
    <w:rsid w:val="00503F8C"/>
    <w:rsid w:val="00504562"/>
    <w:rsid w:val="00504A9C"/>
    <w:rsid w:val="005059C3"/>
    <w:rsid w:val="005065B6"/>
    <w:rsid w:val="00506C1A"/>
    <w:rsid w:val="00510165"/>
    <w:rsid w:val="00510A6E"/>
    <w:rsid w:val="0051137F"/>
    <w:rsid w:val="005127CC"/>
    <w:rsid w:val="005138F0"/>
    <w:rsid w:val="005138FA"/>
    <w:rsid w:val="00513989"/>
    <w:rsid w:val="0051400D"/>
    <w:rsid w:val="005153AB"/>
    <w:rsid w:val="005154A1"/>
    <w:rsid w:val="005154E7"/>
    <w:rsid w:val="00515A1E"/>
    <w:rsid w:val="00516351"/>
    <w:rsid w:val="0051651A"/>
    <w:rsid w:val="0052033D"/>
    <w:rsid w:val="00520933"/>
    <w:rsid w:val="00520B2C"/>
    <w:rsid w:val="00522A3A"/>
    <w:rsid w:val="00524309"/>
    <w:rsid w:val="00524BA7"/>
    <w:rsid w:val="00524EB2"/>
    <w:rsid w:val="00525F05"/>
    <w:rsid w:val="00526893"/>
    <w:rsid w:val="0052721B"/>
    <w:rsid w:val="00527AA9"/>
    <w:rsid w:val="0053086C"/>
    <w:rsid w:val="00531307"/>
    <w:rsid w:val="00531553"/>
    <w:rsid w:val="0053156E"/>
    <w:rsid w:val="00531EC8"/>
    <w:rsid w:val="0053311B"/>
    <w:rsid w:val="0053334E"/>
    <w:rsid w:val="0053382A"/>
    <w:rsid w:val="005342FE"/>
    <w:rsid w:val="00534B80"/>
    <w:rsid w:val="00534C70"/>
    <w:rsid w:val="00535AC3"/>
    <w:rsid w:val="00536471"/>
    <w:rsid w:val="00537D1D"/>
    <w:rsid w:val="0054127C"/>
    <w:rsid w:val="00544296"/>
    <w:rsid w:val="00545CB0"/>
    <w:rsid w:val="005466C3"/>
    <w:rsid w:val="0054691E"/>
    <w:rsid w:val="00546D84"/>
    <w:rsid w:val="005470D3"/>
    <w:rsid w:val="00550997"/>
    <w:rsid w:val="00552570"/>
    <w:rsid w:val="00552DBF"/>
    <w:rsid w:val="005537C3"/>
    <w:rsid w:val="00553945"/>
    <w:rsid w:val="00554888"/>
    <w:rsid w:val="005549A6"/>
    <w:rsid w:val="0055517C"/>
    <w:rsid w:val="0055552E"/>
    <w:rsid w:val="0055610A"/>
    <w:rsid w:val="00557535"/>
    <w:rsid w:val="00560059"/>
    <w:rsid w:val="0056022A"/>
    <w:rsid w:val="005607FE"/>
    <w:rsid w:val="00561BB0"/>
    <w:rsid w:val="005620A2"/>
    <w:rsid w:val="00562583"/>
    <w:rsid w:val="0056421E"/>
    <w:rsid w:val="00564683"/>
    <w:rsid w:val="00564C03"/>
    <w:rsid w:val="00564C09"/>
    <w:rsid w:val="005655AD"/>
    <w:rsid w:val="00566581"/>
    <w:rsid w:val="00566B7B"/>
    <w:rsid w:val="005670EB"/>
    <w:rsid w:val="005674B4"/>
    <w:rsid w:val="005707A9"/>
    <w:rsid w:val="00570F42"/>
    <w:rsid w:val="0057127C"/>
    <w:rsid w:val="00571703"/>
    <w:rsid w:val="00572153"/>
    <w:rsid w:val="0057395E"/>
    <w:rsid w:val="00574AAB"/>
    <w:rsid w:val="005761DD"/>
    <w:rsid w:val="005761E0"/>
    <w:rsid w:val="00576364"/>
    <w:rsid w:val="00576E64"/>
    <w:rsid w:val="00580C9F"/>
    <w:rsid w:val="005819AB"/>
    <w:rsid w:val="00581D72"/>
    <w:rsid w:val="00582D8D"/>
    <w:rsid w:val="00583213"/>
    <w:rsid w:val="005839A8"/>
    <w:rsid w:val="00585D9C"/>
    <w:rsid w:val="005863BB"/>
    <w:rsid w:val="00586BC3"/>
    <w:rsid w:val="00590290"/>
    <w:rsid w:val="00590493"/>
    <w:rsid w:val="00590878"/>
    <w:rsid w:val="00590ED7"/>
    <w:rsid w:val="00593DE3"/>
    <w:rsid w:val="00593E75"/>
    <w:rsid w:val="0059559F"/>
    <w:rsid w:val="005965CA"/>
    <w:rsid w:val="00597603"/>
    <w:rsid w:val="005A0130"/>
    <w:rsid w:val="005A0F84"/>
    <w:rsid w:val="005A1BC9"/>
    <w:rsid w:val="005A1C21"/>
    <w:rsid w:val="005A1ECC"/>
    <w:rsid w:val="005A2239"/>
    <w:rsid w:val="005A308E"/>
    <w:rsid w:val="005A39A5"/>
    <w:rsid w:val="005A44C5"/>
    <w:rsid w:val="005A5594"/>
    <w:rsid w:val="005A5A52"/>
    <w:rsid w:val="005A5AF2"/>
    <w:rsid w:val="005A5C2D"/>
    <w:rsid w:val="005A607C"/>
    <w:rsid w:val="005A774F"/>
    <w:rsid w:val="005B1B58"/>
    <w:rsid w:val="005B2B25"/>
    <w:rsid w:val="005B2D85"/>
    <w:rsid w:val="005B3ECE"/>
    <w:rsid w:val="005B4848"/>
    <w:rsid w:val="005B53F6"/>
    <w:rsid w:val="005B5760"/>
    <w:rsid w:val="005B691E"/>
    <w:rsid w:val="005B7664"/>
    <w:rsid w:val="005C259B"/>
    <w:rsid w:val="005C2787"/>
    <w:rsid w:val="005C2FA5"/>
    <w:rsid w:val="005C33ED"/>
    <w:rsid w:val="005C5701"/>
    <w:rsid w:val="005C6990"/>
    <w:rsid w:val="005C7BB7"/>
    <w:rsid w:val="005D037C"/>
    <w:rsid w:val="005D1E87"/>
    <w:rsid w:val="005D2A69"/>
    <w:rsid w:val="005D2DC6"/>
    <w:rsid w:val="005D37AB"/>
    <w:rsid w:val="005D48E8"/>
    <w:rsid w:val="005D4BDC"/>
    <w:rsid w:val="005D57B3"/>
    <w:rsid w:val="005D5CE3"/>
    <w:rsid w:val="005D7BD6"/>
    <w:rsid w:val="005E1AC9"/>
    <w:rsid w:val="005E37DB"/>
    <w:rsid w:val="005E406D"/>
    <w:rsid w:val="005E40A8"/>
    <w:rsid w:val="005E4D9C"/>
    <w:rsid w:val="005E4FA4"/>
    <w:rsid w:val="005E5D4C"/>
    <w:rsid w:val="005E6111"/>
    <w:rsid w:val="005E646A"/>
    <w:rsid w:val="005E7249"/>
    <w:rsid w:val="005E74E0"/>
    <w:rsid w:val="005E7530"/>
    <w:rsid w:val="005F02EB"/>
    <w:rsid w:val="005F0C28"/>
    <w:rsid w:val="005F17E8"/>
    <w:rsid w:val="005F182D"/>
    <w:rsid w:val="005F3CAC"/>
    <w:rsid w:val="005F4B2F"/>
    <w:rsid w:val="005F529D"/>
    <w:rsid w:val="005F613B"/>
    <w:rsid w:val="005F61E6"/>
    <w:rsid w:val="005F655D"/>
    <w:rsid w:val="005F6859"/>
    <w:rsid w:val="005F6F52"/>
    <w:rsid w:val="005F79B2"/>
    <w:rsid w:val="005F7C0A"/>
    <w:rsid w:val="006009AC"/>
    <w:rsid w:val="00600A03"/>
    <w:rsid w:val="00600A16"/>
    <w:rsid w:val="00600A3B"/>
    <w:rsid w:val="0060303B"/>
    <w:rsid w:val="006033C4"/>
    <w:rsid w:val="00604986"/>
    <w:rsid w:val="00607343"/>
    <w:rsid w:val="00607356"/>
    <w:rsid w:val="0060760E"/>
    <w:rsid w:val="00607D07"/>
    <w:rsid w:val="006112CB"/>
    <w:rsid w:val="006129DA"/>
    <w:rsid w:val="00612CE9"/>
    <w:rsid w:val="00614A03"/>
    <w:rsid w:val="00614A7D"/>
    <w:rsid w:val="00614CF8"/>
    <w:rsid w:val="00614D0D"/>
    <w:rsid w:val="00614D25"/>
    <w:rsid w:val="00614ED5"/>
    <w:rsid w:val="00615989"/>
    <w:rsid w:val="0061611E"/>
    <w:rsid w:val="00616670"/>
    <w:rsid w:val="006167C0"/>
    <w:rsid w:val="00620FB8"/>
    <w:rsid w:val="00620FBA"/>
    <w:rsid w:val="0062130B"/>
    <w:rsid w:val="006241CB"/>
    <w:rsid w:val="006254E5"/>
    <w:rsid w:val="00625680"/>
    <w:rsid w:val="0062584D"/>
    <w:rsid w:val="006261B1"/>
    <w:rsid w:val="0062663B"/>
    <w:rsid w:val="00626979"/>
    <w:rsid w:val="0062737F"/>
    <w:rsid w:val="006273D3"/>
    <w:rsid w:val="00630ED2"/>
    <w:rsid w:val="00631087"/>
    <w:rsid w:val="006312E4"/>
    <w:rsid w:val="00632B27"/>
    <w:rsid w:val="00632C26"/>
    <w:rsid w:val="00633595"/>
    <w:rsid w:val="00634373"/>
    <w:rsid w:val="00634555"/>
    <w:rsid w:val="0063477A"/>
    <w:rsid w:val="00634D45"/>
    <w:rsid w:val="00634E0F"/>
    <w:rsid w:val="00635440"/>
    <w:rsid w:val="0063562D"/>
    <w:rsid w:val="00635797"/>
    <w:rsid w:val="0063643D"/>
    <w:rsid w:val="006364A9"/>
    <w:rsid w:val="00636651"/>
    <w:rsid w:val="00637EBE"/>
    <w:rsid w:val="00640326"/>
    <w:rsid w:val="00640927"/>
    <w:rsid w:val="00640B10"/>
    <w:rsid w:val="00642EC1"/>
    <w:rsid w:val="006446E8"/>
    <w:rsid w:val="00645520"/>
    <w:rsid w:val="00645CEE"/>
    <w:rsid w:val="00646331"/>
    <w:rsid w:val="00647BED"/>
    <w:rsid w:val="006505D0"/>
    <w:rsid w:val="00651232"/>
    <w:rsid w:val="0065166C"/>
    <w:rsid w:val="00651AF1"/>
    <w:rsid w:val="00654281"/>
    <w:rsid w:val="00654D8F"/>
    <w:rsid w:val="006550B5"/>
    <w:rsid w:val="006552EB"/>
    <w:rsid w:val="00655A48"/>
    <w:rsid w:val="00655E05"/>
    <w:rsid w:val="00656233"/>
    <w:rsid w:val="00656666"/>
    <w:rsid w:val="00656FA9"/>
    <w:rsid w:val="0065755A"/>
    <w:rsid w:val="00661224"/>
    <w:rsid w:val="00661ADB"/>
    <w:rsid w:val="00662128"/>
    <w:rsid w:val="0066269C"/>
    <w:rsid w:val="0066289E"/>
    <w:rsid w:val="00662C06"/>
    <w:rsid w:val="006635B1"/>
    <w:rsid w:val="00664BA4"/>
    <w:rsid w:val="00664BC0"/>
    <w:rsid w:val="00664BD6"/>
    <w:rsid w:val="0066529B"/>
    <w:rsid w:val="00665CC9"/>
    <w:rsid w:val="00665DA4"/>
    <w:rsid w:val="00666835"/>
    <w:rsid w:val="00666881"/>
    <w:rsid w:val="00667407"/>
    <w:rsid w:val="00667A77"/>
    <w:rsid w:val="006700D9"/>
    <w:rsid w:val="00670A43"/>
    <w:rsid w:val="006711A6"/>
    <w:rsid w:val="00671A5A"/>
    <w:rsid w:val="0067202F"/>
    <w:rsid w:val="006726F5"/>
    <w:rsid w:val="00672875"/>
    <w:rsid w:val="00672967"/>
    <w:rsid w:val="00672C17"/>
    <w:rsid w:val="00673EA5"/>
    <w:rsid w:val="006749CF"/>
    <w:rsid w:val="00674C25"/>
    <w:rsid w:val="006750D9"/>
    <w:rsid w:val="00675581"/>
    <w:rsid w:val="006759EC"/>
    <w:rsid w:val="0067671B"/>
    <w:rsid w:val="006767E9"/>
    <w:rsid w:val="00677873"/>
    <w:rsid w:val="00677CF6"/>
    <w:rsid w:val="00681350"/>
    <w:rsid w:val="006819DC"/>
    <w:rsid w:val="00681A16"/>
    <w:rsid w:val="00681BAC"/>
    <w:rsid w:val="00682E78"/>
    <w:rsid w:val="0068357E"/>
    <w:rsid w:val="006838E1"/>
    <w:rsid w:val="00683BA0"/>
    <w:rsid w:val="00683F52"/>
    <w:rsid w:val="0068404A"/>
    <w:rsid w:val="006865E4"/>
    <w:rsid w:val="0068665A"/>
    <w:rsid w:val="00686EB8"/>
    <w:rsid w:val="00687BBF"/>
    <w:rsid w:val="006908A9"/>
    <w:rsid w:val="0069109F"/>
    <w:rsid w:val="00691EC3"/>
    <w:rsid w:val="00692B6D"/>
    <w:rsid w:val="00693124"/>
    <w:rsid w:val="0069319D"/>
    <w:rsid w:val="006935AB"/>
    <w:rsid w:val="0069369B"/>
    <w:rsid w:val="006936D1"/>
    <w:rsid w:val="00693F7B"/>
    <w:rsid w:val="0069584C"/>
    <w:rsid w:val="0069651F"/>
    <w:rsid w:val="006A0844"/>
    <w:rsid w:val="006A0D21"/>
    <w:rsid w:val="006A2652"/>
    <w:rsid w:val="006A2B30"/>
    <w:rsid w:val="006A4287"/>
    <w:rsid w:val="006A52D1"/>
    <w:rsid w:val="006A543D"/>
    <w:rsid w:val="006A54E4"/>
    <w:rsid w:val="006A5E17"/>
    <w:rsid w:val="006A6273"/>
    <w:rsid w:val="006A6662"/>
    <w:rsid w:val="006A690F"/>
    <w:rsid w:val="006A71E2"/>
    <w:rsid w:val="006A78AF"/>
    <w:rsid w:val="006B0BF6"/>
    <w:rsid w:val="006B1478"/>
    <w:rsid w:val="006B289E"/>
    <w:rsid w:val="006B28A4"/>
    <w:rsid w:val="006B4247"/>
    <w:rsid w:val="006B425B"/>
    <w:rsid w:val="006B465C"/>
    <w:rsid w:val="006B5258"/>
    <w:rsid w:val="006B6146"/>
    <w:rsid w:val="006C0310"/>
    <w:rsid w:val="006C14A5"/>
    <w:rsid w:val="006C4C3A"/>
    <w:rsid w:val="006C4DC8"/>
    <w:rsid w:val="006C4F46"/>
    <w:rsid w:val="006C553A"/>
    <w:rsid w:val="006C6B4D"/>
    <w:rsid w:val="006C7E59"/>
    <w:rsid w:val="006D04A7"/>
    <w:rsid w:val="006D17A8"/>
    <w:rsid w:val="006D2A82"/>
    <w:rsid w:val="006D3249"/>
    <w:rsid w:val="006D3C00"/>
    <w:rsid w:val="006D4046"/>
    <w:rsid w:val="006D4135"/>
    <w:rsid w:val="006D4900"/>
    <w:rsid w:val="006D6C75"/>
    <w:rsid w:val="006E0DB3"/>
    <w:rsid w:val="006E1B8E"/>
    <w:rsid w:val="006E25B7"/>
    <w:rsid w:val="006E29BA"/>
    <w:rsid w:val="006E2B69"/>
    <w:rsid w:val="006E3CB6"/>
    <w:rsid w:val="006E477E"/>
    <w:rsid w:val="006E4D03"/>
    <w:rsid w:val="006E51AF"/>
    <w:rsid w:val="006E553C"/>
    <w:rsid w:val="006E641A"/>
    <w:rsid w:val="006E7143"/>
    <w:rsid w:val="006E79BA"/>
    <w:rsid w:val="006F12D3"/>
    <w:rsid w:val="006F177A"/>
    <w:rsid w:val="006F2412"/>
    <w:rsid w:val="006F2956"/>
    <w:rsid w:val="006F42B3"/>
    <w:rsid w:val="006F4C8C"/>
    <w:rsid w:val="006F4F90"/>
    <w:rsid w:val="006F77AE"/>
    <w:rsid w:val="006F7F6A"/>
    <w:rsid w:val="00700015"/>
    <w:rsid w:val="00700686"/>
    <w:rsid w:val="007006B6"/>
    <w:rsid w:val="007006F1"/>
    <w:rsid w:val="007014AD"/>
    <w:rsid w:val="00701693"/>
    <w:rsid w:val="0070272A"/>
    <w:rsid w:val="00703637"/>
    <w:rsid w:val="00703B44"/>
    <w:rsid w:val="00703C11"/>
    <w:rsid w:val="00703E65"/>
    <w:rsid w:val="007047D4"/>
    <w:rsid w:val="00704B69"/>
    <w:rsid w:val="007054E9"/>
    <w:rsid w:val="007054F1"/>
    <w:rsid w:val="00706021"/>
    <w:rsid w:val="00706670"/>
    <w:rsid w:val="00706CC0"/>
    <w:rsid w:val="0070740C"/>
    <w:rsid w:val="0070747C"/>
    <w:rsid w:val="00707631"/>
    <w:rsid w:val="007076DE"/>
    <w:rsid w:val="007079D8"/>
    <w:rsid w:val="00711C9D"/>
    <w:rsid w:val="00712748"/>
    <w:rsid w:val="0071429F"/>
    <w:rsid w:val="00714402"/>
    <w:rsid w:val="00714580"/>
    <w:rsid w:val="00717D22"/>
    <w:rsid w:val="00720C08"/>
    <w:rsid w:val="00721D15"/>
    <w:rsid w:val="00722E5F"/>
    <w:rsid w:val="00722F99"/>
    <w:rsid w:val="0072340D"/>
    <w:rsid w:val="007236C9"/>
    <w:rsid w:val="0072408A"/>
    <w:rsid w:val="00724E2A"/>
    <w:rsid w:val="0072532F"/>
    <w:rsid w:val="007261E7"/>
    <w:rsid w:val="007266C3"/>
    <w:rsid w:val="00726797"/>
    <w:rsid w:val="00731520"/>
    <w:rsid w:val="00732B43"/>
    <w:rsid w:val="007331C0"/>
    <w:rsid w:val="0073330A"/>
    <w:rsid w:val="00734818"/>
    <w:rsid w:val="00734EF3"/>
    <w:rsid w:val="007370E0"/>
    <w:rsid w:val="0073770F"/>
    <w:rsid w:val="0074016E"/>
    <w:rsid w:val="00740441"/>
    <w:rsid w:val="00741C41"/>
    <w:rsid w:val="00742347"/>
    <w:rsid w:val="00742414"/>
    <w:rsid w:val="007427A0"/>
    <w:rsid w:val="00743555"/>
    <w:rsid w:val="00743E36"/>
    <w:rsid w:val="00744433"/>
    <w:rsid w:val="00745AD4"/>
    <w:rsid w:val="007465DB"/>
    <w:rsid w:val="00746B34"/>
    <w:rsid w:val="00746C99"/>
    <w:rsid w:val="00747616"/>
    <w:rsid w:val="00747CAE"/>
    <w:rsid w:val="00747E5F"/>
    <w:rsid w:val="00747EBE"/>
    <w:rsid w:val="007512EF"/>
    <w:rsid w:val="0075217D"/>
    <w:rsid w:val="00752E16"/>
    <w:rsid w:val="00754E6E"/>
    <w:rsid w:val="007551D0"/>
    <w:rsid w:val="00755D82"/>
    <w:rsid w:val="00755E2A"/>
    <w:rsid w:val="00756374"/>
    <w:rsid w:val="0076062C"/>
    <w:rsid w:val="00760855"/>
    <w:rsid w:val="00760FA9"/>
    <w:rsid w:val="0076119C"/>
    <w:rsid w:val="00761F0A"/>
    <w:rsid w:val="007621AC"/>
    <w:rsid w:val="00762A08"/>
    <w:rsid w:val="00762A7F"/>
    <w:rsid w:val="0076393F"/>
    <w:rsid w:val="00763B83"/>
    <w:rsid w:val="00763DDD"/>
    <w:rsid w:val="007646C4"/>
    <w:rsid w:val="00764CB9"/>
    <w:rsid w:val="00765785"/>
    <w:rsid w:val="00765849"/>
    <w:rsid w:val="00766357"/>
    <w:rsid w:val="00766383"/>
    <w:rsid w:val="0076676A"/>
    <w:rsid w:val="00770008"/>
    <w:rsid w:val="00770FC1"/>
    <w:rsid w:val="00772349"/>
    <w:rsid w:val="00773AC1"/>
    <w:rsid w:val="00773F0D"/>
    <w:rsid w:val="00773F85"/>
    <w:rsid w:val="00774419"/>
    <w:rsid w:val="00776116"/>
    <w:rsid w:val="0077631C"/>
    <w:rsid w:val="00780EFB"/>
    <w:rsid w:val="00782372"/>
    <w:rsid w:val="00782CD3"/>
    <w:rsid w:val="007830FA"/>
    <w:rsid w:val="00784366"/>
    <w:rsid w:val="00784525"/>
    <w:rsid w:val="00784C8F"/>
    <w:rsid w:val="00784EA0"/>
    <w:rsid w:val="00784FA4"/>
    <w:rsid w:val="00785692"/>
    <w:rsid w:val="00787DF8"/>
    <w:rsid w:val="007912BC"/>
    <w:rsid w:val="00791CDE"/>
    <w:rsid w:val="007923F0"/>
    <w:rsid w:val="0079266E"/>
    <w:rsid w:val="0079534D"/>
    <w:rsid w:val="00795FFF"/>
    <w:rsid w:val="0079668B"/>
    <w:rsid w:val="00797519"/>
    <w:rsid w:val="007A1C27"/>
    <w:rsid w:val="007A243A"/>
    <w:rsid w:val="007A2761"/>
    <w:rsid w:val="007A3330"/>
    <w:rsid w:val="007A3F97"/>
    <w:rsid w:val="007A4030"/>
    <w:rsid w:val="007A44B3"/>
    <w:rsid w:val="007A55FA"/>
    <w:rsid w:val="007A5CC2"/>
    <w:rsid w:val="007A6073"/>
    <w:rsid w:val="007A6322"/>
    <w:rsid w:val="007A7DE3"/>
    <w:rsid w:val="007B0687"/>
    <w:rsid w:val="007B088B"/>
    <w:rsid w:val="007B0C8D"/>
    <w:rsid w:val="007B15CB"/>
    <w:rsid w:val="007B2DD1"/>
    <w:rsid w:val="007B34F4"/>
    <w:rsid w:val="007B4A1B"/>
    <w:rsid w:val="007B4BF5"/>
    <w:rsid w:val="007B57A8"/>
    <w:rsid w:val="007B57D9"/>
    <w:rsid w:val="007B66CD"/>
    <w:rsid w:val="007B6ACC"/>
    <w:rsid w:val="007B6B32"/>
    <w:rsid w:val="007B7191"/>
    <w:rsid w:val="007B7A6E"/>
    <w:rsid w:val="007C09A3"/>
    <w:rsid w:val="007C0CA3"/>
    <w:rsid w:val="007C10EE"/>
    <w:rsid w:val="007C26EB"/>
    <w:rsid w:val="007C2BF7"/>
    <w:rsid w:val="007C3E6E"/>
    <w:rsid w:val="007C55CA"/>
    <w:rsid w:val="007C6D94"/>
    <w:rsid w:val="007C6DCA"/>
    <w:rsid w:val="007C7A76"/>
    <w:rsid w:val="007D1F10"/>
    <w:rsid w:val="007D41BE"/>
    <w:rsid w:val="007D447B"/>
    <w:rsid w:val="007D4D64"/>
    <w:rsid w:val="007D5D05"/>
    <w:rsid w:val="007D5F29"/>
    <w:rsid w:val="007D609A"/>
    <w:rsid w:val="007D7469"/>
    <w:rsid w:val="007D7511"/>
    <w:rsid w:val="007D77DD"/>
    <w:rsid w:val="007D792A"/>
    <w:rsid w:val="007E1FCA"/>
    <w:rsid w:val="007E25B8"/>
    <w:rsid w:val="007E2ED7"/>
    <w:rsid w:val="007E4ACA"/>
    <w:rsid w:val="007E5664"/>
    <w:rsid w:val="007E5DB9"/>
    <w:rsid w:val="007E615F"/>
    <w:rsid w:val="007F06C2"/>
    <w:rsid w:val="007F07C1"/>
    <w:rsid w:val="007F105B"/>
    <w:rsid w:val="007F1D39"/>
    <w:rsid w:val="007F237B"/>
    <w:rsid w:val="007F2866"/>
    <w:rsid w:val="007F286F"/>
    <w:rsid w:val="007F2FA4"/>
    <w:rsid w:val="007F320A"/>
    <w:rsid w:val="007F3227"/>
    <w:rsid w:val="007F32AC"/>
    <w:rsid w:val="007F36DF"/>
    <w:rsid w:val="007F3B96"/>
    <w:rsid w:val="007F42C8"/>
    <w:rsid w:val="007F5EDD"/>
    <w:rsid w:val="007F7FDF"/>
    <w:rsid w:val="00800335"/>
    <w:rsid w:val="008003E4"/>
    <w:rsid w:val="008003FF"/>
    <w:rsid w:val="00801676"/>
    <w:rsid w:val="00801A46"/>
    <w:rsid w:val="00801CEC"/>
    <w:rsid w:val="00801F0D"/>
    <w:rsid w:val="0080251B"/>
    <w:rsid w:val="00802878"/>
    <w:rsid w:val="0080293F"/>
    <w:rsid w:val="00802ECC"/>
    <w:rsid w:val="00802ED9"/>
    <w:rsid w:val="0080326A"/>
    <w:rsid w:val="008037C2"/>
    <w:rsid w:val="008037F9"/>
    <w:rsid w:val="00803CA4"/>
    <w:rsid w:val="00803F15"/>
    <w:rsid w:val="00804A86"/>
    <w:rsid w:val="00805551"/>
    <w:rsid w:val="00805ACA"/>
    <w:rsid w:val="008074E6"/>
    <w:rsid w:val="00810C08"/>
    <w:rsid w:val="00811727"/>
    <w:rsid w:val="00811AA5"/>
    <w:rsid w:val="00811C91"/>
    <w:rsid w:val="00811E0E"/>
    <w:rsid w:val="00812DDA"/>
    <w:rsid w:val="008154C3"/>
    <w:rsid w:val="008159C6"/>
    <w:rsid w:val="00815E77"/>
    <w:rsid w:val="0081758C"/>
    <w:rsid w:val="008204B0"/>
    <w:rsid w:val="008214DB"/>
    <w:rsid w:val="00821614"/>
    <w:rsid w:val="0082239C"/>
    <w:rsid w:val="0082241B"/>
    <w:rsid w:val="008229AF"/>
    <w:rsid w:val="00823E8B"/>
    <w:rsid w:val="00824342"/>
    <w:rsid w:val="00824421"/>
    <w:rsid w:val="0082565E"/>
    <w:rsid w:val="0083037C"/>
    <w:rsid w:val="00832A06"/>
    <w:rsid w:val="00832D00"/>
    <w:rsid w:val="00833919"/>
    <w:rsid w:val="00835E1A"/>
    <w:rsid w:val="008362C8"/>
    <w:rsid w:val="008366E3"/>
    <w:rsid w:val="0083758C"/>
    <w:rsid w:val="00841387"/>
    <w:rsid w:val="00841432"/>
    <w:rsid w:val="00841BA0"/>
    <w:rsid w:val="008435C6"/>
    <w:rsid w:val="008437DA"/>
    <w:rsid w:val="008438C4"/>
    <w:rsid w:val="00843BED"/>
    <w:rsid w:val="00844B0A"/>
    <w:rsid w:val="00844C3C"/>
    <w:rsid w:val="0084654D"/>
    <w:rsid w:val="00846929"/>
    <w:rsid w:val="00846A2C"/>
    <w:rsid w:val="00846D7B"/>
    <w:rsid w:val="008500D7"/>
    <w:rsid w:val="008501A9"/>
    <w:rsid w:val="00850D22"/>
    <w:rsid w:val="0085197C"/>
    <w:rsid w:val="00851D8E"/>
    <w:rsid w:val="00852A2D"/>
    <w:rsid w:val="00855505"/>
    <w:rsid w:val="008559C3"/>
    <w:rsid w:val="00856A3E"/>
    <w:rsid w:val="0085787E"/>
    <w:rsid w:val="00857F16"/>
    <w:rsid w:val="00860244"/>
    <w:rsid w:val="00860248"/>
    <w:rsid w:val="0086094B"/>
    <w:rsid w:val="00861A0F"/>
    <w:rsid w:val="00862A38"/>
    <w:rsid w:val="0086351C"/>
    <w:rsid w:val="008637DB"/>
    <w:rsid w:val="00864B43"/>
    <w:rsid w:val="00865953"/>
    <w:rsid w:val="00865B5A"/>
    <w:rsid w:val="008666C4"/>
    <w:rsid w:val="008671D8"/>
    <w:rsid w:val="008672F3"/>
    <w:rsid w:val="008678A8"/>
    <w:rsid w:val="0087039F"/>
    <w:rsid w:val="00870781"/>
    <w:rsid w:val="008707A6"/>
    <w:rsid w:val="00871A09"/>
    <w:rsid w:val="00871D94"/>
    <w:rsid w:val="00873423"/>
    <w:rsid w:val="00873520"/>
    <w:rsid w:val="0087354A"/>
    <w:rsid w:val="00874552"/>
    <w:rsid w:val="00874FE5"/>
    <w:rsid w:val="00875ABA"/>
    <w:rsid w:val="00875F15"/>
    <w:rsid w:val="008763E1"/>
    <w:rsid w:val="0087687B"/>
    <w:rsid w:val="00876902"/>
    <w:rsid w:val="00880379"/>
    <w:rsid w:val="00880CF5"/>
    <w:rsid w:val="00882D9A"/>
    <w:rsid w:val="008843CA"/>
    <w:rsid w:val="00886C64"/>
    <w:rsid w:val="00886C87"/>
    <w:rsid w:val="008872BD"/>
    <w:rsid w:val="0088772A"/>
    <w:rsid w:val="0089083D"/>
    <w:rsid w:val="008928EB"/>
    <w:rsid w:val="00893938"/>
    <w:rsid w:val="00893A01"/>
    <w:rsid w:val="00893A1B"/>
    <w:rsid w:val="00893B6B"/>
    <w:rsid w:val="00893C00"/>
    <w:rsid w:val="0089512D"/>
    <w:rsid w:val="008969FC"/>
    <w:rsid w:val="00896C0A"/>
    <w:rsid w:val="008A0FFA"/>
    <w:rsid w:val="008A1528"/>
    <w:rsid w:val="008A1C62"/>
    <w:rsid w:val="008A3306"/>
    <w:rsid w:val="008A3676"/>
    <w:rsid w:val="008A553F"/>
    <w:rsid w:val="008A61DE"/>
    <w:rsid w:val="008A692B"/>
    <w:rsid w:val="008A754A"/>
    <w:rsid w:val="008B03A6"/>
    <w:rsid w:val="008B1AA5"/>
    <w:rsid w:val="008B1B86"/>
    <w:rsid w:val="008B3C22"/>
    <w:rsid w:val="008B4E89"/>
    <w:rsid w:val="008B5165"/>
    <w:rsid w:val="008B56D9"/>
    <w:rsid w:val="008B5B32"/>
    <w:rsid w:val="008B6612"/>
    <w:rsid w:val="008B74A9"/>
    <w:rsid w:val="008B797E"/>
    <w:rsid w:val="008C1726"/>
    <w:rsid w:val="008C1AFF"/>
    <w:rsid w:val="008C20B5"/>
    <w:rsid w:val="008C2262"/>
    <w:rsid w:val="008C3773"/>
    <w:rsid w:val="008C47F0"/>
    <w:rsid w:val="008C4CEA"/>
    <w:rsid w:val="008C4FD2"/>
    <w:rsid w:val="008C512D"/>
    <w:rsid w:val="008C5174"/>
    <w:rsid w:val="008C55CB"/>
    <w:rsid w:val="008C5D70"/>
    <w:rsid w:val="008C5FD9"/>
    <w:rsid w:val="008C6B4E"/>
    <w:rsid w:val="008C7503"/>
    <w:rsid w:val="008D1308"/>
    <w:rsid w:val="008D284B"/>
    <w:rsid w:val="008D3555"/>
    <w:rsid w:val="008D3A13"/>
    <w:rsid w:val="008D5741"/>
    <w:rsid w:val="008D5FCE"/>
    <w:rsid w:val="008D6294"/>
    <w:rsid w:val="008D6A62"/>
    <w:rsid w:val="008D708A"/>
    <w:rsid w:val="008D7119"/>
    <w:rsid w:val="008D7958"/>
    <w:rsid w:val="008E0364"/>
    <w:rsid w:val="008E0DCA"/>
    <w:rsid w:val="008E1550"/>
    <w:rsid w:val="008E3010"/>
    <w:rsid w:val="008E3792"/>
    <w:rsid w:val="008E3A7A"/>
    <w:rsid w:val="008E3F15"/>
    <w:rsid w:val="008E3FEB"/>
    <w:rsid w:val="008E4100"/>
    <w:rsid w:val="008E4A70"/>
    <w:rsid w:val="008E4C60"/>
    <w:rsid w:val="008E4E40"/>
    <w:rsid w:val="008E5476"/>
    <w:rsid w:val="008E77DF"/>
    <w:rsid w:val="008E7BAA"/>
    <w:rsid w:val="008F02B0"/>
    <w:rsid w:val="008F0D5A"/>
    <w:rsid w:val="008F1E30"/>
    <w:rsid w:val="008F295F"/>
    <w:rsid w:val="008F3570"/>
    <w:rsid w:val="008F4E8A"/>
    <w:rsid w:val="008F57BD"/>
    <w:rsid w:val="008F5837"/>
    <w:rsid w:val="008F7B42"/>
    <w:rsid w:val="00900568"/>
    <w:rsid w:val="00900E2E"/>
    <w:rsid w:val="00901C9A"/>
    <w:rsid w:val="00902934"/>
    <w:rsid w:val="00902F3F"/>
    <w:rsid w:val="00904217"/>
    <w:rsid w:val="009042D8"/>
    <w:rsid w:val="00905380"/>
    <w:rsid w:val="00905E4D"/>
    <w:rsid w:val="0091126E"/>
    <w:rsid w:val="0091281A"/>
    <w:rsid w:val="00913F55"/>
    <w:rsid w:val="0091446F"/>
    <w:rsid w:val="009147BC"/>
    <w:rsid w:val="009147ED"/>
    <w:rsid w:val="00914E19"/>
    <w:rsid w:val="00915893"/>
    <w:rsid w:val="009158ED"/>
    <w:rsid w:val="00915F49"/>
    <w:rsid w:val="009163A8"/>
    <w:rsid w:val="00916960"/>
    <w:rsid w:val="00920705"/>
    <w:rsid w:val="00920AEE"/>
    <w:rsid w:val="00920D95"/>
    <w:rsid w:val="0092180E"/>
    <w:rsid w:val="009237C6"/>
    <w:rsid w:val="00923EC8"/>
    <w:rsid w:val="00924A5E"/>
    <w:rsid w:val="00924B18"/>
    <w:rsid w:val="0092540E"/>
    <w:rsid w:val="00925DFA"/>
    <w:rsid w:val="00926CE9"/>
    <w:rsid w:val="00926D6C"/>
    <w:rsid w:val="00926FBE"/>
    <w:rsid w:val="00927262"/>
    <w:rsid w:val="009275BC"/>
    <w:rsid w:val="00927746"/>
    <w:rsid w:val="009303B3"/>
    <w:rsid w:val="009308AD"/>
    <w:rsid w:val="00930E40"/>
    <w:rsid w:val="00930E53"/>
    <w:rsid w:val="00931565"/>
    <w:rsid w:val="009321E3"/>
    <w:rsid w:val="00932831"/>
    <w:rsid w:val="00933209"/>
    <w:rsid w:val="009349CC"/>
    <w:rsid w:val="00934E97"/>
    <w:rsid w:val="00934F77"/>
    <w:rsid w:val="00935045"/>
    <w:rsid w:val="0093532F"/>
    <w:rsid w:val="00935546"/>
    <w:rsid w:val="009359C0"/>
    <w:rsid w:val="0093707F"/>
    <w:rsid w:val="009370D4"/>
    <w:rsid w:val="009411E4"/>
    <w:rsid w:val="0094156E"/>
    <w:rsid w:val="00941A8D"/>
    <w:rsid w:val="00942351"/>
    <w:rsid w:val="00942C2A"/>
    <w:rsid w:val="00942DBD"/>
    <w:rsid w:val="0094331E"/>
    <w:rsid w:val="009434BB"/>
    <w:rsid w:val="0094550C"/>
    <w:rsid w:val="00946551"/>
    <w:rsid w:val="009468EA"/>
    <w:rsid w:val="00950E98"/>
    <w:rsid w:val="00951740"/>
    <w:rsid w:val="00951D0C"/>
    <w:rsid w:val="00951FB1"/>
    <w:rsid w:val="009536D7"/>
    <w:rsid w:val="00953C00"/>
    <w:rsid w:val="009542E9"/>
    <w:rsid w:val="00954D7C"/>
    <w:rsid w:val="009554F7"/>
    <w:rsid w:val="00955D27"/>
    <w:rsid w:val="00955E7D"/>
    <w:rsid w:val="00956645"/>
    <w:rsid w:val="0096058F"/>
    <w:rsid w:val="00961E63"/>
    <w:rsid w:val="009623B8"/>
    <w:rsid w:val="00962678"/>
    <w:rsid w:val="009643A3"/>
    <w:rsid w:val="009667D1"/>
    <w:rsid w:val="00967CAD"/>
    <w:rsid w:val="0097006C"/>
    <w:rsid w:val="009704F9"/>
    <w:rsid w:val="00970901"/>
    <w:rsid w:val="0097230C"/>
    <w:rsid w:val="00973443"/>
    <w:rsid w:val="00974AF0"/>
    <w:rsid w:val="00974DDF"/>
    <w:rsid w:val="00975F94"/>
    <w:rsid w:val="0097605E"/>
    <w:rsid w:val="0097685A"/>
    <w:rsid w:val="0097696A"/>
    <w:rsid w:val="00977189"/>
    <w:rsid w:val="00981B40"/>
    <w:rsid w:val="00982B7C"/>
    <w:rsid w:val="00982EC8"/>
    <w:rsid w:val="0098319D"/>
    <w:rsid w:val="0098326A"/>
    <w:rsid w:val="00983407"/>
    <w:rsid w:val="00983F83"/>
    <w:rsid w:val="00984C98"/>
    <w:rsid w:val="00985D6C"/>
    <w:rsid w:val="00986317"/>
    <w:rsid w:val="0098661C"/>
    <w:rsid w:val="00987EC8"/>
    <w:rsid w:val="009901D8"/>
    <w:rsid w:val="00991C81"/>
    <w:rsid w:val="00992CF4"/>
    <w:rsid w:val="00993635"/>
    <w:rsid w:val="00993763"/>
    <w:rsid w:val="00993851"/>
    <w:rsid w:val="00994C17"/>
    <w:rsid w:val="00994E49"/>
    <w:rsid w:val="00995603"/>
    <w:rsid w:val="0099563C"/>
    <w:rsid w:val="0099723D"/>
    <w:rsid w:val="009A0C33"/>
    <w:rsid w:val="009A0EFD"/>
    <w:rsid w:val="009A1605"/>
    <w:rsid w:val="009A1803"/>
    <w:rsid w:val="009A27D0"/>
    <w:rsid w:val="009A29AF"/>
    <w:rsid w:val="009A3090"/>
    <w:rsid w:val="009A3FE5"/>
    <w:rsid w:val="009A4550"/>
    <w:rsid w:val="009A4645"/>
    <w:rsid w:val="009A4A5A"/>
    <w:rsid w:val="009A5141"/>
    <w:rsid w:val="009A680F"/>
    <w:rsid w:val="009A792C"/>
    <w:rsid w:val="009A7AAC"/>
    <w:rsid w:val="009A7DA7"/>
    <w:rsid w:val="009B06B2"/>
    <w:rsid w:val="009B07DC"/>
    <w:rsid w:val="009B234E"/>
    <w:rsid w:val="009B2390"/>
    <w:rsid w:val="009B2A1C"/>
    <w:rsid w:val="009B31DE"/>
    <w:rsid w:val="009B45B8"/>
    <w:rsid w:val="009B5E33"/>
    <w:rsid w:val="009B6216"/>
    <w:rsid w:val="009B6476"/>
    <w:rsid w:val="009B762E"/>
    <w:rsid w:val="009B7959"/>
    <w:rsid w:val="009C1352"/>
    <w:rsid w:val="009C139F"/>
    <w:rsid w:val="009C14C4"/>
    <w:rsid w:val="009C1C0E"/>
    <w:rsid w:val="009C1D9E"/>
    <w:rsid w:val="009C2E10"/>
    <w:rsid w:val="009C3628"/>
    <w:rsid w:val="009C3A46"/>
    <w:rsid w:val="009C486F"/>
    <w:rsid w:val="009C587C"/>
    <w:rsid w:val="009C6F75"/>
    <w:rsid w:val="009C7174"/>
    <w:rsid w:val="009D07E2"/>
    <w:rsid w:val="009D1CC8"/>
    <w:rsid w:val="009D20FE"/>
    <w:rsid w:val="009D35BC"/>
    <w:rsid w:val="009D35DC"/>
    <w:rsid w:val="009D59EF"/>
    <w:rsid w:val="009D6139"/>
    <w:rsid w:val="009D69C9"/>
    <w:rsid w:val="009D6FA6"/>
    <w:rsid w:val="009D7098"/>
    <w:rsid w:val="009E056C"/>
    <w:rsid w:val="009E0E74"/>
    <w:rsid w:val="009E108A"/>
    <w:rsid w:val="009E1B53"/>
    <w:rsid w:val="009E24EC"/>
    <w:rsid w:val="009E295E"/>
    <w:rsid w:val="009E48A2"/>
    <w:rsid w:val="009E4AED"/>
    <w:rsid w:val="009E4EF1"/>
    <w:rsid w:val="009E5340"/>
    <w:rsid w:val="009E58A1"/>
    <w:rsid w:val="009E647C"/>
    <w:rsid w:val="009E6A29"/>
    <w:rsid w:val="009E6FF6"/>
    <w:rsid w:val="009E742B"/>
    <w:rsid w:val="009E75BB"/>
    <w:rsid w:val="009E7A04"/>
    <w:rsid w:val="009F323F"/>
    <w:rsid w:val="009F3820"/>
    <w:rsid w:val="009F68A3"/>
    <w:rsid w:val="009F7639"/>
    <w:rsid w:val="00A00D20"/>
    <w:rsid w:val="00A017B8"/>
    <w:rsid w:val="00A0346B"/>
    <w:rsid w:val="00A0379A"/>
    <w:rsid w:val="00A05CE2"/>
    <w:rsid w:val="00A06AD9"/>
    <w:rsid w:val="00A10763"/>
    <w:rsid w:val="00A10CB5"/>
    <w:rsid w:val="00A10D32"/>
    <w:rsid w:val="00A10DB9"/>
    <w:rsid w:val="00A12E99"/>
    <w:rsid w:val="00A1326C"/>
    <w:rsid w:val="00A133C3"/>
    <w:rsid w:val="00A13A1F"/>
    <w:rsid w:val="00A163A6"/>
    <w:rsid w:val="00A1641B"/>
    <w:rsid w:val="00A17893"/>
    <w:rsid w:val="00A20DF6"/>
    <w:rsid w:val="00A21DD1"/>
    <w:rsid w:val="00A224EE"/>
    <w:rsid w:val="00A23354"/>
    <w:rsid w:val="00A23C5F"/>
    <w:rsid w:val="00A23D98"/>
    <w:rsid w:val="00A260FD"/>
    <w:rsid w:val="00A26C17"/>
    <w:rsid w:val="00A277F4"/>
    <w:rsid w:val="00A32453"/>
    <w:rsid w:val="00A33593"/>
    <w:rsid w:val="00A33FB6"/>
    <w:rsid w:val="00A3427F"/>
    <w:rsid w:val="00A343CA"/>
    <w:rsid w:val="00A35C04"/>
    <w:rsid w:val="00A35C14"/>
    <w:rsid w:val="00A365E6"/>
    <w:rsid w:val="00A366A9"/>
    <w:rsid w:val="00A36858"/>
    <w:rsid w:val="00A416D2"/>
    <w:rsid w:val="00A42F50"/>
    <w:rsid w:val="00A444D4"/>
    <w:rsid w:val="00A445B9"/>
    <w:rsid w:val="00A44C24"/>
    <w:rsid w:val="00A4598A"/>
    <w:rsid w:val="00A45AE2"/>
    <w:rsid w:val="00A46142"/>
    <w:rsid w:val="00A46DB7"/>
    <w:rsid w:val="00A46FCE"/>
    <w:rsid w:val="00A5025F"/>
    <w:rsid w:val="00A5124C"/>
    <w:rsid w:val="00A51352"/>
    <w:rsid w:val="00A54BE3"/>
    <w:rsid w:val="00A54C1E"/>
    <w:rsid w:val="00A54DAA"/>
    <w:rsid w:val="00A54DC3"/>
    <w:rsid w:val="00A5514A"/>
    <w:rsid w:val="00A5714D"/>
    <w:rsid w:val="00A60D62"/>
    <w:rsid w:val="00A60FBA"/>
    <w:rsid w:val="00A61EDA"/>
    <w:rsid w:val="00A621B2"/>
    <w:rsid w:val="00A6298E"/>
    <w:rsid w:val="00A62D64"/>
    <w:rsid w:val="00A63027"/>
    <w:rsid w:val="00A63EF4"/>
    <w:rsid w:val="00A64169"/>
    <w:rsid w:val="00A65591"/>
    <w:rsid w:val="00A66C0B"/>
    <w:rsid w:val="00A67D28"/>
    <w:rsid w:val="00A70F1B"/>
    <w:rsid w:val="00A71003"/>
    <w:rsid w:val="00A7154F"/>
    <w:rsid w:val="00A72013"/>
    <w:rsid w:val="00A72BAD"/>
    <w:rsid w:val="00A72BD2"/>
    <w:rsid w:val="00A7441F"/>
    <w:rsid w:val="00A74499"/>
    <w:rsid w:val="00A74983"/>
    <w:rsid w:val="00A75602"/>
    <w:rsid w:val="00A75F35"/>
    <w:rsid w:val="00A770A2"/>
    <w:rsid w:val="00A80258"/>
    <w:rsid w:val="00A8224B"/>
    <w:rsid w:val="00A831F1"/>
    <w:rsid w:val="00A838E9"/>
    <w:rsid w:val="00A8444D"/>
    <w:rsid w:val="00A84779"/>
    <w:rsid w:val="00A84B34"/>
    <w:rsid w:val="00A84C79"/>
    <w:rsid w:val="00A84CFD"/>
    <w:rsid w:val="00A853EA"/>
    <w:rsid w:val="00A86B0C"/>
    <w:rsid w:val="00A86CB5"/>
    <w:rsid w:val="00A87B8A"/>
    <w:rsid w:val="00A90815"/>
    <w:rsid w:val="00A90FBE"/>
    <w:rsid w:val="00A9139B"/>
    <w:rsid w:val="00A91CFB"/>
    <w:rsid w:val="00A922A5"/>
    <w:rsid w:val="00A95761"/>
    <w:rsid w:val="00A95DD1"/>
    <w:rsid w:val="00A96904"/>
    <w:rsid w:val="00A96C18"/>
    <w:rsid w:val="00A97C23"/>
    <w:rsid w:val="00A97CF7"/>
    <w:rsid w:val="00AA1106"/>
    <w:rsid w:val="00AA1982"/>
    <w:rsid w:val="00AA20E8"/>
    <w:rsid w:val="00AA2FE3"/>
    <w:rsid w:val="00AA50D1"/>
    <w:rsid w:val="00AA6271"/>
    <w:rsid w:val="00AA6490"/>
    <w:rsid w:val="00AA7D03"/>
    <w:rsid w:val="00AA7E57"/>
    <w:rsid w:val="00AB0700"/>
    <w:rsid w:val="00AB08DC"/>
    <w:rsid w:val="00AB1D3F"/>
    <w:rsid w:val="00AB267E"/>
    <w:rsid w:val="00AB26CF"/>
    <w:rsid w:val="00AB38A1"/>
    <w:rsid w:val="00AB3D4D"/>
    <w:rsid w:val="00AB3E96"/>
    <w:rsid w:val="00AB3EB7"/>
    <w:rsid w:val="00AB4536"/>
    <w:rsid w:val="00AB5B08"/>
    <w:rsid w:val="00AB5B67"/>
    <w:rsid w:val="00AB6071"/>
    <w:rsid w:val="00AB7E14"/>
    <w:rsid w:val="00AC06DB"/>
    <w:rsid w:val="00AC09CF"/>
    <w:rsid w:val="00AC22D1"/>
    <w:rsid w:val="00AC2F62"/>
    <w:rsid w:val="00AC300F"/>
    <w:rsid w:val="00AC480B"/>
    <w:rsid w:val="00AC4EC6"/>
    <w:rsid w:val="00AC538D"/>
    <w:rsid w:val="00AC6074"/>
    <w:rsid w:val="00AC7F1D"/>
    <w:rsid w:val="00AD031E"/>
    <w:rsid w:val="00AD0858"/>
    <w:rsid w:val="00AD0C2E"/>
    <w:rsid w:val="00AD2211"/>
    <w:rsid w:val="00AD24ED"/>
    <w:rsid w:val="00AD2D22"/>
    <w:rsid w:val="00AD3735"/>
    <w:rsid w:val="00AD3930"/>
    <w:rsid w:val="00AD3C4B"/>
    <w:rsid w:val="00AD4202"/>
    <w:rsid w:val="00AD6036"/>
    <w:rsid w:val="00AD631C"/>
    <w:rsid w:val="00AD642B"/>
    <w:rsid w:val="00AD7888"/>
    <w:rsid w:val="00AE01A8"/>
    <w:rsid w:val="00AE0780"/>
    <w:rsid w:val="00AE1142"/>
    <w:rsid w:val="00AE21DB"/>
    <w:rsid w:val="00AE25F2"/>
    <w:rsid w:val="00AE4ABB"/>
    <w:rsid w:val="00AE4D0B"/>
    <w:rsid w:val="00AE4EED"/>
    <w:rsid w:val="00AE4F3D"/>
    <w:rsid w:val="00AE5496"/>
    <w:rsid w:val="00AE7740"/>
    <w:rsid w:val="00AE7B3D"/>
    <w:rsid w:val="00AE7E8B"/>
    <w:rsid w:val="00AF027B"/>
    <w:rsid w:val="00AF02E6"/>
    <w:rsid w:val="00AF1BFD"/>
    <w:rsid w:val="00AF1D58"/>
    <w:rsid w:val="00AF2516"/>
    <w:rsid w:val="00AF2B8F"/>
    <w:rsid w:val="00AF4381"/>
    <w:rsid w:val="00AF5E5A"/>
    <w:rsid w:val="00AF6B7D"/>
    <w:rsid w:val="00AF6D00"/>
    <w:rsid w:val="00AF7CAF"/>
    <w:rsid w:val="00B0039A"/>
    <w:rsid w:val="00B01607"/>
    <w:rsid w:val="00B02963"/>
    <w:rsid w:val="00B03833"/>
    <w:rsid w:val="00B046FC"/>
    <w:rsid w:val="00B04FBA"/>
    <w:rsid w:val="00B04FF5"/>
    <w:rsid w:val="00B05A1F"/>
    <w:rsid w:val="00B066F0"/>
    <w:rsid w:val="00B06944"/>
    <w:rsid w:val="00B06C18"/>
    <w:rsid w:val="00B072E1"/>
    <w:rsid w:val="00B079FF"/>
    <w:rsid w:val="00B110E1"/>
    <w:rsid w:val="00B11555"/>
    <w:rsid w:val="00B115D2"/>
    <w:rsid w:val="00B11927"/>
    <w:rsid w:val="00B11B7F"/>
    <w:rsid w:val="00B12696"/>
    <w:rsid w:val="00B12704"/>
    <w:rsid w:val="00B131E9"/>
    <w:rsid w:val="00B140FA"/>
    <w:rsid w:val="00B1488F"/>
    <w:rsid w:val="00B1499F"/>
    <w:rsid w:val="00B15360"/>
    <w:rsid w:val="00B15AEB"/>
    <w:rsid w:val="00B16C73"/>
    <w:rsid w:val="00B16FB2"/>
    <w:rsid w:val="00B17042"/>
    <w:rsid w:val="00B177ED"/>
    <w:rsid w:val="00B213ED"/>
    <w:rsid w:val="00B21718"/>
    <w:rsid w:val="00B2185D"/>
    <w:rsid w:val="00B22555"/>
    <w:rsid w:val="00B22D77"/>
    <w:rsid w:val="00B22F77"/>
    <w:rsid w:val="00B23693"/>
    <w:rsid w:val="00B236A7"/>
    <w:rsid w:val="00B23E2F"/>
    <w:rsid w:val="00B25D8E"/>
    <w:rsid w:val="00B25FBA"/>
    <w:rsid w:val="00B27C2D"/>
    <w:rsid w:val="00B3042B"/>
    <w:rsid w:val="00B30715"/>
    <w:rsid w:val="00B33A05"/>
    <w:rsid w:val="00B33C1E"/>
    <w:rsid w:val="00B33CF2"/>
    <w:rsid w:val="00B3407C"/>
    <w:rsid w:val="00B3422E"/>
    <w:rsid w:val="00B35315"/>
    <w:rsid w:val="00B353C6"/>
    <w:rsid w:val="00B35467"/>
    <w:rsid w:val="00B35A60"/>
    <w:rsid w:val="00B35A6F"/>
    <w:rsid w:val="00B35CE2"/>
    <w:rsid w:val="00B3621E"/>
    <w:rsid w:val="00B368E7"/>
    <w:rsid w:val="00B40215"/>
    <w:rsid w:val="00B4132C"/>
    <w:rsid w:val="00B41BBE"/>
    <w:rsid w:val="00B41CD4"/>
    <w:rsid w:val="00B42C52"/>
    <w:rsid w:val="00B43003"/>
    <w:rsid w:val="00B44B5C"/>
    <w:rsid w:val="00B44D53"/>
    <w:rsid w:val="00B45697"/>
    <w:rsid w:val="00B45DD7"/>
    <w:rsid w:val="00B461D3"/>
    <w:rsid w:val="00B467A4"/>
    <w:rsid w:val="00B46908"/>
    <w:rsid w:val="00B46A6C"/>
    <w:rsid w:val="00B478B0"/>
    <w:rsid w:val="00B514C9"/>
    <w:rsid w:val="00B518D6"/>
    <w:rsid w:val="00B51BEF"/>
    <w:rsid w:val="00B523B1"/>
    <w:rsid w:val="00B53404"/>
    <w:rsid w:val="00B543DD"/>
    <w:rsid w:val="00B54F8E"/>
    <w:rsid w:val="00B5612F"/>
    <w:rsid w:val="00B57086"/>
    <w:rsid w:val="00B57302"/>
    <w:rsid w:val="00B57B78"/>
    <w:rsid w:val="00B600B6"/>
    <w:rsid w:val="00B6045D"/>
    <w:rsid w:val="00B61C9A"/>
    <w:rsid w:val="00B6249A"/>
    <w:rsid w:val="00B63C98"/>
    <w:rsid w:val="00B642F3"/>
    <w:rsid w:val="00B667D8"/>
    <w:rsid w:val="00B70061"/>
    <w:rsid w:val="00B7250E"/>
    <w:rsid w:val="00B7309E"/>
    <w:rsid w:val="00B73605"/>
    <w:rsid w:val="00B73F29"/>
    <w:rsid w:val="00B74ECA"/>
    <w:rsid w:val="00B753BD"/>
    <w:rsid w:val="00B75B82"/>
    <w:rsid w:val="00B75FBD"/>
    <w:rsid w:val="00B762F8"/>
    <w:rsid w:val="00B77858"/>
    <w:rsid w:val="00B80BE6"/>
    <w:rsid w:val="00B82B16"/>
    <w:rsid w:val="00B82F01"/>
    <w:rsid w:val="00B834AF"/>
    <w:rsid w:val="00B8432B"/>
    <w:rsid w:val="00B85D22"/>
    <w:rsid w:val="00B85F5B"/>
    <w:rsid w:val="00B870BC"/>
    <w:rsid w:val="00B90DE6"/>
    <w:rsid w:val="00B9149A"/>
    <w:rsid w:val="00B92A4B"/>
    <w:rsid w:val="00B93709"/>
    <w:rsid w:val="00B93A57"/>
    <w:rsid w:val="00B956E3"/>
    <w:rsid w:val="00B95C0D"/>
    <w:rsid w:val="00B95D81"/>
    <w:rsid w:val="00B960AF"/>
    <w:rsid w:val="00B9618A"/>
    <w:rsid w:val="00B9625E"/>
    <w:rsid w:val="00B9730A"/>
    <w:rsid w:val="00B97C1A"/>
    <w:rsid w:val="00B97C56"/>
    <w:rsid w:val="00B97DDD"/>
    <w:rsid w:val="00BA07B1"/>
    <w:rsid w:val="00BA1410"/>
    <w:rsid w:val="00BA1927"/>
    <w:rsid w:val="00BA1959"/>
    <w:rsid w:val="00BA3DA7"/>
    <w:rsid w:val="00BA436E"/>
    <w:rsid w:val="00BA5315"/>
    <w:rsid w:val="00BA537F"/>
    <w:rsid w:val="00BA53D2"/>
    <w:rsid w:val="00BA75A0"/>
    <w:rsid w:val="00BA76D1"/>
    <w:rsid w:val="00BA7986"/>
    <w:rsid w:val="00BA7B5E"/>
    <w:rsid w:val="00BA7FAB"/>
    <w:rsid w:val="00BB12BC"/>
    <w:rsid w:val="00BB15C8"/>
    <w:rsid w:val="00BB1EE5"/>
    <w:rsid w:val="00BB2FAB"/>
    <w:rsid w:val="00BB5753"/>
    <w:rsid w:val="00BB726B"/>
    <w:rsid w:val="00BC03DC"/>
    <w:rsid w:val="00BC0A37"/>
    <w:rsid w:val="00BC0CC1"/>
    <w:rsid w:val="00BC1035"/>
    <w:rsid w:val="00BC1C6A"/>
    <w:rsid w:val="00BC2447"/>
    <w:rsid w:val="00BC3676"/>
    <w:rsid w:val="00BC3D3A"/>
    <w:rsid w:val="00BC435B"/>
    <w:rsid w:val="00BC48BE"/>
    <w:rsid w:val="00BC5F86"/>
    <w:rsid w:val="00BC730A"/>
    <w:rsid w:val="00BC7816"/>
    <w:rsid w:val="00BC7820"/>
    <w:rsid w:val="00BD0B5F"/>
    <w:rsid w:val="00BD1177"/>
    <w:rsid w:val="00BD127D"/>
    <w:rsid w:val="00BD2DD0"/>
    <w:rsid w:val="00BD3134"/>
    <w:rsid w:val="00BD33DD"/>
    <w:rsid w:val="00BD3747"/>
    <w:rsid w:val="00BD539A"/>
    <w:rsid w:val="00BD5CC1"/>
    <w:rsid w:val="00BE01E2"/>
    <w:rsid w:val="00BE406F"/>
    <w:rsid w:val="00BE51A2"/>
    <w:rsid w:val="00BE5206"/>
    <w:rsid w:val="00BE659D"/>
    <w:rsid w:val="00BE693F"/>
    <w:rsid w:val="00BE71BD"/>
    <w:rsid w:val="00BE7305"/>
    <w:rsid w:val="00BE7AA2"/>
    <w:rsid w:val="00BE7BCA"/>
    <w:rsid w:val="00BF1369"/>
    <w:rsid w:val="00BF2497"/>
    <w:rsid w:val="00BF37CA"/>
    <w:rsid w:val="00BF52C2"/>
    <w:rsid w:val="00BF6532"/>
    <w:rsid w:val="00BF6687"/>
    <w:rsid w:val="00BF66D0"/>
    <w:rsid w:val="00BF7894"/>
    <w:rsid w:val="00BF7A8E"/>
    <w:rsid w:val="00C00D72"/>
    <w:rsid w:val="00C012FD"/>
    <w:rsid w:val="00C01679"/>
    <w:rsid w:val="00C01EE0"/>
    <w:rsid w:val="00C026A0"/>
    <w:rsid w:val="00C02A26"/>
    <w:rsid w:val="00C02AFD"/>
    <w:rsid w:val="00C03906"/>
    <w:rsid w:val="00C03D35"/>
    <w:rsid w:val="00C045B7"/>
    <w:rsid w:val="00C060A3"/>
    <w:rsid w:val="00C06D7B"/>
    <w:rsid w:val="00C0749D"/>
    <w:rsid w:val="00C07BA1"/>
    <w:rsid w:val="00C101B7"/>
    <w:rsid w:val="00C10620"/>
    <w:rsid w:val="00C13A09"/>
    <w:rsid w:val="00C14BB4"/>
    <w:rsid w:val="00C15177"/>
    <w:rsid w:val="00C158F4"/>
    <w:rsid w:val="00C165A9"/>
    <w:rsid w:val="00C1668B"/>
    <w:rsid w:val="00C16A43"/>
    <w:rsid w:val="00C170E8"/>
    <w:rsid w:val="00C1775F"/>
    <w:rsid w:val="00C17826"/>
    <w:rsid w:val="00C20FEF"/>
    <w:rsid w:val="00C21ACB"/>
    <w:rsid w:val="00C22CA5"/>
    <w:rsid w:val="00C23AB3"/>
    <w:rsid w:val="00C23D85"/>
    <w:rsid w:val="00C23F2A"/>
    <w:rsid w:val="00C2400B"/>
    <w:rsid w:val="00C24B86"/>
    <w:rsid w:val="00C24DDE"/>
    <w:rsid w:val="00C25A71"/>
    <w:rsid w:val="00C27794"/>
    <w:rsid w:val="00C27CED"/>
    <w:rsid w:val="00C310EA"/>
    <w:rsid w:val="00C31A71"/>
    <w:rsid w:val="00C31D01"/>
    <w:rsid w:val="00C31D0D"/>
    <w:rsid w:val="00C32125"/>
    <w:rsid w:val="00C34229"/>
    <w:rsid w:val="00C34599"/>
    <w:rsid w:val="00C346A7"/>
    <w:rsid w:val="00C349D7"/>
    <w:rsid w:val="00C34E1B"/>
    <w:rsid w:val="00C356CC"/>
    <w:rsid w:val="00C36133"/>
    <w:rsid w:val="00C361E1"/>
    <w:rsid w:val="00C362E7"/>
    <w:rsid w:val="00C3643D"/>
    <w:rsid w:val="00C36817"/>
    <w:rsid w:val="00C37F32"/>
    <w:rsid w:val="00C40B66"/>
    <w:rsid w:val="00C40E6B"/>
    <w:rsid w:val="00C41D9A"/>
    <w:rsid w:val="00C41F86"/>
    <w:rsid w:val="00C429E0"/>
    <w:rsid w:val="00C44035"/>
    <w:rsid w:val="00C449A4"/>
    <w:rsid w:val="00C46AF3"/>
    <w:rsid w:val="00C46CE6"/>
    <w:rsid w:val="00C47172"/>
    <w:rsid w:val="00C475C4"/>
    <w:rsid w:val="00C47E32"/>
    <w:rsid w:val="00C47F92"/>
    <w:rsid w:val="00C50ED4"/>
    <w:rsid w:val="00C515DA"/>
    <w:rsid w:val="00C51B9F"/>
    <w:rsid w:val="00C51F1E"/>
    <w:rsid w:val="00C52965"/>
    <w:rsid w:val="00C53150"/>
    <w:rsid w:val="00C5419F"/>
    <w:rsid w:val="00C55636"/>
    <w:rsid w:val="00C5651A"/>
    <w:rsid w:val="00C57694"/>
    <w:rsid w:val="00C60534"/>
    <w:rsid w:val="00C60E04"/>
    <w:rsid w:val="00C60EE5"/>
    <w:rsid w:val="00C60FC7"/>
    <w:rsid w:val="00C63DE8"/>
    <w:rsid w:val="00C643A3"/>
    <w:rsid w:val="00C64494"/>
    <w:rsid w:val="00C6670F"/>
    <w:rsid w:val="00C667BB"/>
    <w:rsid w:val="00C67137"/>
    <w:rsid w:val="00C70121"/>
    <w:rsid w:val="00C72546"/>
    <w:rsid w:val="00C74280"/>
    <w:rsid w:val="00C747E1"/>
    <w:rsid w:val="00C74877"/>
    <w:rsid w:val="00C75B21"/>
    <w:rsid w:val="00C75BFF"/>
    <w:rsid w:val="00C7606B"/>
    <w:rsid w:val="00C763A3"/>
    <w:rsid w:val="00C768F7"/>
    <w:rsid w:val="00C779F6"/>
    <w:rsid w:val="00C80056"/>
    <w:rsid w:val="00C80C13"/>
    <w:rsid w:val="00C811DF"/>
    <w:rsid w:val="00C82416"/>
    <w:rsid w:val="00C82F60"/>
    <w:rsid w:val="00C8315E"/>
    <w:rsid w:val="00C83EF2"/>
    <w:rsid w:val="00C84666"/>
    <w:rsid w:val="00C85C0C"/>
    <w:rsid w:val="00C85C54"/>
    <w:rsid w:val="00C9014E"/>
    <w:rsid w:val="00C90315"/>
    <w:rsid w:val="00C92375"/>
    <w:rsid w:val="00C936AA"/>
    <w:rsid w:val="00C9475F"/>
    <w:rsid w:val="00C95378"/>
    <w:rsid w:val="00C962BB"/>
    <w:rsid w:val="00C979F9"/>
    <w:rsid w:val="00CA0D4B"/>
    <w:rsid w:val="00CA0EB8"/>
    <w:rsid w:val="00CA1754"/>
    <w:rsid w:val="00CA40FA"/>
    <w:rsid w:val="00CA45FD"/>
    <w:rsid w:val="00CA5E3A"/>
    <w:rsid w:val="00CA66E5"/>
    <w:rsid w:val="00CA6919"/>
    <w:rsid w:val="00CA6A67"/>
    <w:rsid w:val="00CA7D85"/>
    <w:rsid w:val="00CB12EF"/>
    <w:rsid w:val="00CB1301"/>
    <w:rsid w:val="00CB15AF"/>
    <w:rsid w:val="00CB2F79"/>
    <w:rsid w:val="00CB317D"/>
    <w:rsid w:val="00CB36BE"/>
    <w:rsid w:val="00CB4CDC"/>
    <w:rsid w:val="00CB5932"/>
    <w:rsid w:val="00CB646B"/>
    <w:rsid w:val="00CB7825"/>
    <w:rsid w:val="00CB7966"/>
    <w:rsid w:val="00CC02C9"/>
    <w:rsid w:val="00CC22BE"/>
    <w:rsid w:val="00CC2DC1"/>
    <w:rsid w:val="00CC352A"/>
    <w:rsid w:val="00CC572B"/>
    <w:rsid w:val="00CD00C7"/>
    <w:rsid w:val="00CD18B7"/>
    <w:rsid w:val="00CD2CE3"/>
    <w:rsid w:val="00CD3EA5"/>
    <w:rsid w:val="00CD4729"/>
    <w:rsid w:val="00CD4D07"/>
    <w:rsid w:val="00CD6AA0"/>
    <w:rsid w:val="00CD77CE"/>
    <w:rsid w:val="00CD794B"/>
    <w:rsid w:val="00CE166D"/>
    <w:rsid w:val="00CE1AC4"/>
    <w:rsid w:val="00CE2539"/>
    <w:rsid w:val="00CE2E7B"/>
    <w:rsid w:val="00CE3520"/>
    <w:rsid w:val="00CE48B5"/>
    <w:rsid w:val="00CE5884"/>
    <w:rsid w:val="00CE74A2"/>
    <w:rsid w:val="00CF002D"/>
    <w:rsid w:val="00CF04D6"/>
    <w:rsid w:val="00CF0A4B"/>
    <w:rsid w:val="00CF0C24"/>
    <w:rsid w:val="00CF0EF2"/>
    <w:rsid w:val="00CF162B"/>
    <w:rsid w:val="00CF2082"/>
    <w:rsid w:val="00CF3C05"/>
    <w:rsid w:val="00CF4D40"/>
    <w:rsid w:val="00CF554D"/>
    <w:rsid w:val="00CF638C"/>
    <w:rsid w:val="00CF66DF"/>
    <w:rsid w:val="00CF6C11"/>
    <w:rsid w:val="00CF73C8"/>
    <w:rsid w:val="00CF7C7B"/>
    <w:rsid w:val="00D00A4C"/>
    <w:rsid w:val="00D0247F"/>
    <w:rsid w:val="00D02707"/>
    <w:rsid w:val="00D03A35"/>
    <w:rsid w:val="00D03ECC"/>
    <w:rsid w:val="00D04079"/>
    <w:rsid w:val="00D04E38"/>
    <w:rsid w:val="00D056D8"/>
    <w:rsid w:val="00D05DC0"/>
    <w:rsid w:val="00D061E4"/>
    <w:rsid w:val="00D0756F"/>
    <w:rsid w:val="00D106E7"/>
    <w:rsid w:val="00D10D73"/>
    <w:rsid w:val="00D120CD"/>
    <w:rsid w:val="00D122CB"/>
    <w:rsid w:val="00D12A66"/>
    <w:rsid w:val="00D147D8"/>
    <w:rsid w:val="00D1744F"/>
    <w:rsid w:val="00D17865"/>
    <w:rsid w:val="00D17948"/>
    <w:rsid w:val="00D17BBE"/>
    <w:rsid w:val="00D21D41"/>
    <w:rsid w:val="00D21FB6"/>
    <w:rsid w:val="00D226D5"/>
    <w:rsid w:val="00D23D91"/>
    <w:rsid w:val="00D2416D"/>
    <w:rsid w:val="00D248E4"/>
    <w:rsid w:val="00D249C8"/>
    <w:rsid w:val="00D24B54"/>
    <w:rsid w:val="00D25B23"/>
    <w:rsid w:val="00D2716F"/>
    <w:rsid w:val="00D27226"/>
    <w:rsid w:val="00D275FB"/>
    <w:rsid w:val="00D30A7F"/>
    <w:rsid w:val="00D31375"/>
    <w:rsid w:val="00D31DE8"/>
    <w:rsid w:val="00D3284C"/>
    <w:rsid w:val="00D32C0D"/>
    <w:rsid w:val="00D33DB4"/>
    <w:rsid w:val="00D33EBC"/>
    <w:rsid w:val="00D3447E"/>
    <w:rsid w:val="00D345BF"/>
    <w:rsid w:val="00D3593D"/>
    <w:rsid w:val="00D36FAC"/>
    <w:rsid w:val="00D37D57"/>
    <w:rsid w:val="00D37F13"/>
    <w:rsid w:val="00D404DE"/>
    <w:rsid w:val="00D4141B"/>
    <w:rsid w:val="00D41814"/>
    <w:rsid w:val="00D423E7"/>
    <w:rsid w:val="00D42640"/>
    <w:rsid w:val="00D43CF8"/>
    <w:rsid w:val="00D43E04"/>
    <w:rsid w:val="00D44D58"/>
    <w:rsid w:val="00D458F8"/>
    <w:rsid w:val="00D45C00"/>
    <w:rsid w:val="00D4624C"/>
    <w:rsid w:val="00D46401"/>
    <w:rsid w:val="00D5120A"/>
    <w:rsid w:val="00D515A2"/>
    <w:rsid w:val="00D534AA"/>
    <w:rsid w:val="00D5481C"/>
    <w:rsid w:val="00D54A80"/>
    <w:rsid w:val="00D5744C"/>
    <w:rsid w:val="00D5782D"/>
    <w:rsid w:val="00D63291"/>
    <w:rsid w:val="00D63A8D"/>
    <w:rsid w:val="00D65C53"/>
    <w:rsid w:val="00D65FAA"/>
    <w:rsid w:val="00D66326"/>
    <w:rsid w:val="00D6643D"/>
    <w:rsid w:val="00D6643E"/>
    <w:rsid w:val="00D67956"/>
    <w:rsid w:val="00D7012B"/>
    <w:rsid w:val="00D70714"/>
    <w:rsid w:val="00D715C8"/>
    <w:rsid w:val="00D71671"/>
    <w:rsid w:val="00D7293B"/>
    <w:rsid w:val="00D72C28"/>
    <w:rsid w:val="00D732E2"/>
    <w:rsid w:val="00D7426C"/>
    <w:rsid w:val="00D7474F"/>
    <w:rsid w:val="00D74C53"/>
    <w:rsid w:val="00D74D21"/>
    <w:rsid w:val="00D7500A"/>
    <w:rsid w:val="00D75109"/>
    <w:rsid w:val="00D75523"/>
    <w:rsid w:val="00D75FE8"/>
    <w:rsid w:val="00D761E1"/>
    <w:rsid w:val="00D76DE8"/>
    <w:rsid w:val="00D77BCF"/>
    <w:rsid w:val="00D800BE"/>
    <w:rsid w:val="00D801C7"/>
    <w:rsid w:val="00D811FB"/>
    <w:rsid w:val="00D8141F"/>
    <w:rsid w:val="00D820F7"/>
    <w:rsid w:val="00D82F26"/>
    <w:rsid w:val="00D83871"/>
    <w:rsid w:val="00D83EB2"/>
    <w:rsid w:val="00D84396"/>
    <w:rsid w:val="00D84F1F"/>
    <w:rsid w:val="00D850BC"/>
    <w:rsid w:val="00D85D96"/>
    <w:rsid w:val="00D86247"/>
    <w:rsid w:val="00D862EB"/>
    <w:rsid w:val="00D86366"/>
    <w:rsid w:val="00D90511"/>
    <w:rsid w:val="00D9101D"/>
    <w:rsid w:val="00D912D4"/>
    <w:rsid w:val="00D917DD"/>
    <w:rsid w:val="00D91DE7"/>
    <w:rsid w:val="00D91F2F"/>
    <w:rsid w:val="00D92900"/>
    <w:rsid w:val="00D93037"/>
    <w:rsid w:val="00D949DC"/>
    <w:rsid w:val="00D95130"/>
    <w:rsid w:val="00D9526C"/>
    <w:rsid w:val="00D964BD"/>
    <w:rsid w:val="00D966B0"/>
    <w:rsid w:val="00D97EC1"/>
    <w:rsid w:val="00DA14C1"/>
    <w:rsid w:val="00DA2084"/>
    <w:rsid w:val="00DA217C"/>
    <w:rsid w:val="00DA249F"/>
    <w:rsid w:val="00DA25C8"/>
    <w:rsid w:val="00DA2734"/>
    <w:rsid w:val="00DA2F92"/>
    <w:rsid w:val="00DA57A1"/>
    <w:rsid w:val="00DA5958"/>
    <w:rsid w:val="00DA5A35"/>
    <w:rsid w:val="00DA5DB7"/>
    <w:rsid w:val="00DA5F9D"/>
    <w:rsid w:val="00DA6EFB"/>
    <w:rsid w:val="00DA7471"/>
    <w:rsid w:val="00DA7EF7"/>
    <w:rsid w:val="00DB0A79"/>
    <w:rsid w:val="00DB2621"/>
    <w:rsid w:val="00DB51D4"/>
    <w:rsid w:val="00DB642D"/>
    <w:rsid w:val="00DB72B0"/>
    <w:rsid w:val="00DB7D58"/>
    <w:rsid w:val="00DB7E5F"/>
    <w:rsid w:val="00DC0E07"/>
    <w:rsid w:val="00DC12F9"/>
    <w:rsid w:val="00DC15B3"/>
    <w:rsid w:val="00DC1FDF"/>
    <w:rsid w:val="00DC32A6"/>
    <w:rsid w:val="00DC3851"/>
    <w:rsid w:val="00DC52AE"/>
    <w:rsid w:val="00DC5680"/>
    <w:rsid w:val="00DC74BF"/>
    <w:rsid w:val="00DC7814"/>
    <w:rsid w:val="00DD0C04"/>
    <w:rsid w:val="00DD1245"/>
    <w:rsid w:val="00DD1EB5"/>
    <w:rsid w:val="00DD229F"/>
    <w:rsid w:val="00DD2E74"/>
    <w:rsid w:val="00DD31D4"/>
    <w:rsid w:val="00DD3C75"/>
    <w:rsid w:val="00DD435E"/>
    <w:rsid w:val="00DD6279"/>
    <w:rsid w:val="00DD6F8E"/>
    <w:rsid w:val="00DD76F5"/>
    <w:rsid w:val="00DD7871"/>
    <w:rsid w:val="00DD7BD1"/>
    <w:rsid w:val="00DE0037"/>
    <w:rsid w:val="00DE011D"/>
    <w:rsid w:val="00DE18A6"/>
    <w:rsid w:val="00DE1AC7"/>
    <w:rsid w:val="00DE22D3"/>
    <w:rsid w:val="00DE27D9"/>
    <w:rsid w:val="00DE2C9B"/>
    <w:rsid w:val="00DE3067"/>
    <w:rsid w:val="00DE3ED7"/>
    <w:rsid w:val="00DE4974"/>
    <w:rsid w:val="00DE4D03"/>
    <w:rsid w:val="00DE595C"/>
    <w:rsid w:val="00DE6E36"/>
    <w:rsid w:val="00DE7571"/>
    <w:rsid w:val="00DE7D60"/>
    <w:rsid w:val="00DF1939"/>
    <w:rsid w:val="00DF25C9"/>
    <w:rsid w:val="00DF2AC9"/>
    <w:rsid w:val="00DF2C2C"/>
    <w:rsid w:val="00DF3339"/>
    <w:rsid w:val="00DF39E7"/>
    <w:rsid w:val="00DF76BF"/>
    <w:rsid w:val="00E00AE0"/>
    <w:rsid w:val="00E0227C"/>
    <w:rsid w:val="00E026C6"/>
    <w:rsid w:val="00E05FF2"/>
    <w:rsid w:val="00E0624D"/>
    <w:rsid w:val="00E06F6C"/>
    <w:rsid w:val="00E101F2"/>
    <w:rsid w:val="00E105AB"/>
    <w:rsid w:val="00E127C2"/>
    <w:rsid w:val="00E12EE5"/>
    <w:rsid w:val="00E13C3B"/>
    <w:rsid w:val="00E13E4B"/>
    <w:rsid w:val="00E14AE2"/>
    <w:rsid w:val="00E14D45"/>
    <w:rsid w:val="00E14D72"/>
    <w:rsid w:val="00E15F86"/>
    <w:rsid w:val="00E163B3"/>
    <w:rsid w:val="00E16B6F"/>
    <w:rsid w:val="00E17634"/>
    <w:rsid w:val="00E179BD"/>
    <w:rsid w:val="00E20C33"/>
    <w:rsid w:val="00E20E71"/>
    <w:rsid w:val="00E21DF9"/>
    <w:rsid w:val="00E21E6D"/>
    <w:rsid w:val="00E22AC3"/>
    <w:rsid w:val="00E22AC9"/>
    <w:rsid w:val="00E22BBF"/>
    <w:rsid w:val="00E22E36"/>
    <w:rsid w:val="00E22E6B"/>
    <w:rsid w:val="00E23C4A"/>
    <w:rsid w:val="00E2549B"/>
    <w:rsid w:val="00E31D94"/>
    <w:rsid w:val="00E31F06"/>
    <w:rsid w:val="00E35FDF"/>
    <w:rsid w:val="00E36AE7"/>
    <w:rsid w:val="00E3737F"/>
    <w:rsid w:val="00E3798E"/>
    <w:rsid w:val="00E40745"/>
    <w:rsid w:val="00E409BA"/>
    <w:rsid w:val="00E409FD"/>
    <w:rsid w:val="00E41658"/>
    <w:rsid w:val="00E41C57"/>
    <w:rsid w:val="00E44ABB"/>
    <w:rsid w:val="00E45D6C"/>
    <w:rsid w:val="00E45EF0"/>
    <w:rsid w:val="00E45FBD"/>
    <w:rsid w:val="00E45FF5"/>
    <w:rsid w:val="00E47F48"/>
    <w:rsid w:val="00E50EA1"/>
    <w:rsid w:val="00E52151"/>
    <w:rsid w:val="00E52357"/>
    <w:rsid w:val="00E560EA"/>
    <w:rsid w:val="00E57B6D"/>
    <w:rsid w:val="00E622F4"/>
    <w:rsid w:val="00E63B29"/>
    <w:rsid w:val="00E6489F"/>
    <w:rsid w:val="00E64F0C"/>
    <w:rsid w:val="00E6638A"/>
    <w:rsid w:val="00E66E7E"/>
    <w:rsid w:val="00E710E4"/>
    <w:rsid w:val="00E71D41"/>
    <w:rsid w:val="00E71E4B"/>
    <w:rsid w:val="00E71EE1"/>
    <w:rsid w:val="00E72F4B"/>
    <w:rsid w:val="00E741E0"/>
    <w:rsid w:val="00E7571B"/>
    <w:rsid w:val="00E760DC"/>
    <w:rsid w:val="00E7701F"/>
    <w:rsid w:val="00E771B8"/>
    <w:rsid w:val="00E7774B"/>
    <w:rsid w:val="00E77926"/>
    <w:rsid w:val="00E80858"/>
    <w:rsid w:val="00E80BEA"/>
    <w:rsid w:val="00E8293C"/>
    <w:rsid w:val="00E82F1C"/>
    <w:rsid w:val="00E849A8"/>
    <w:rsid w:val="00E84B78"/>
    <w:rsid w:val="00E8561E"/>
    <w:rsid w:val="00E858C8"/>
    <w:rsid w:val="00E85D74"/>
    <w:rsid w:val="00E863FF"/>
    <w:rsid w:val="00E866A7"/>
    <w:rsid w:val="00E87699"/>
    <w:rsid w:val="00E901D4"/>
    <w:rsid w:val="00E91054"/>
    <w:rsid w:val="00E914B4"/>
    <w:rsid w:val="00E9169E"/>
    <w:rsid w:val="00E91AD5"/>
    <w:rsid w:val="00E92954"/>
    <w:rsid w:val="00E938EE"/>
    <w:rsid w:val="00E93D76"/>
    <w:rsid w:val="00E93EFC"/>
    <w:rsid w:val="00E95D43"/>
    <w:rsid w:val="00E97805"/>
    <w:rsid w:val="00EA0389"/>
    <w:rsid w:val="00EA0E2D"/>
    <w:rsid w:val="00EA2981"/>
    <w:rsid w:val="00EA2FCF"/>
    <w:rsid w:val="00EA4659"/>
    <w:rsid w:val="00EA46BC"/>
    <w:rsid w:val="00EA4925"/>
    <w:rsid w:val="00EA4A18"/>
    <w:rsid w:val="00EA615C"/>
    <w:rsid w:val="00EA6EA0"/>
    <w:rsid w:val="00EA6FD2"/>
    <w:rsid w:val="00EB070F"/>
    <w:rsid w:val="00EB09C8"/>
    <w:rsid w:val="00EB12CF"/>
    <w:rsid w:val="00EB12E6"/>
    <w:rsid w:val="00EB1AA6"/>
    <w:rsid w:val="00EB4162"/>
    <w:rsid w:val="00EB4B64"/>
    <w:rsid w:val="00EB5F78"/>
    <w:rsid w:val="00EB755E"/>
    <w:rsid w:val="00EB7FA1"/>
    <w:rsid w:val="00EC023F"/>
    <w:rsid w:val="00EC04D0"/>
    <w:rsid w:val="00EC0588"/>
    <w:rsid w:val="00EC14BB"/>
    <w:rsid w:val="00EC1C2B"/>
    <w:rsid w:val="00EC230E"/>
    <w:rsid w:val="00EC31FA"/>
    <w:rsid w:val="00EC3421"/>
    <w:rsid w:val="00EC3D7D"/>
    <w:rsid w:val="00EC4225"/>
    <w:rsid w:val="00EC4392"/>
    <w:rsid w:val="00EC4495"/>
    <w:rsid w:val="00EC4F1F"/>
    <w:rsid w:val="00EC69C8"/>
    <w:rsid w:val="00EC71BB"/>
    <w:rsid w:val="00ED03B0"/>
    <w:rsid w:val="00ED09B3"/>
    <w:rsid w:val="00ED0F1C"/>
    <w:rsid w:val="00ED118B"/>
    <w:rsid w:val="00ED151B"/>
    <w:rsid w:val="00ED19BB"/>
    <w:rsid w:val="00ED22F5"/>
    <w:rsid w:val="00ED31E3"/>
    <w:rsid w:val="00ED34D2"/>
    <w:rsid w:val="00ED3A7B"/>
    <w:rsid w:val="00ED455A"/>
    <w:rsid w:val="00ED58ED"/>
    <w:rsid w:val="00ED5F9F"/>
    <w:rsid w:val="00ED6B39"/>
    <w:rsid w:val="00ED728C"/>
    <w:rsid w:val="00ED7E26"/>
    <w:rsid w:val="00EE0277"/>
    <w:rsid w:val="00EE1AE5"/>
    <w:rsid w:val="00EE1B41"/>
    <w:rsid w:val="00EE2E65"/>
    <w:rsid w:val="00EE30B8"/>
    <w:rsid w:val="00EE45E9"/>
    <w:rsid w:val="00EE5137"/>
    <w:rsid w:val="00EE66BC"/>
    <w:rsid w:val="00EE786E"/>
    <w:rsid w:val="00EE7EAB"/>
    <w:rsid w:val="00EF0A33"/>
    <w:rsid w:val="00EF2286"/>
    <w:rsid w:val="00EF537A"/>
    <w:rsid w:val="00EF5AA5"/>
    <w:rsid w:val="00F003CE"/>
    <w:rsid w:val="00F00461"/>
    <w:rsid w:val="00F02544"/>
    <w:rsid w:val="00F0447A"/>
    <w:rsid w:val="00F04B75"/>
    <w:rsid w:val="00F055C8"/>
    <w:rsid w:val="00F05699"/>
    <w:rsid w:val="00F05D07"/>
    <w:rsid w:val="00F0727A"/>
    <w:rsid w:val="00F101D0"/>
    <w:rsid w:val="00F11AEC"/>
    <w:rsid w:val="00F11EBA"/>
    <w:rsid w:val="00F1264C"/>
    <w:rsid w:val="00F129AF"/>
    <w:rsid w:val="00F12F2D"/>
    <w:rsid w:val="00F13887"/>
    <w:rsid w:val="00F143F5"/>
    <w:rsid w:val="00F1445D"/>
    <w:rsid w:val="00F1477C"/>
    <w:rsid w:val="00F153E0"/>
    <w:rsid w:val="00F16CA7"/>
    <w:rsid w:val="00F178DE"/>
    <w:rsid w:val="00F17E22"/>
    <w:rsid w:val="00F2042B"/>
    <w:rsid w:val="00F2053D"/>
    <w:rsid w:val="00F20596"/>
    <w:rsid w:val="00F2098A"/>
    <w:rsid w:val="00F21684"/>
    <w:rsid w:val="00F21882"/>
    <w:rsid w:val="00F21A81"/>
    <w:rsid w:val="00F22C4D"/>
    <w:rsid w:val="00F2310A"/>
    <w:rsid w:val="00F23B45"/>
    <w:rsid w:val="00F25B8E"/>
    <w:rsid w:val="00F26DCF"/>
    <w:rsid w:val="00F278DE"/>
    <w:rsid w:val="00F27B06"/>
    <w:rsid w:val="00F31100"/>
    <w:rsid w:val="00F31285"/>
    <w:rsid w:val="00F31D7A"/>
    <w:rsid w:val="00F33197"/>
    <w:rsid w:val="00F33AF0"/>
    <w:rsid w:val="00F33D65"/>
    <w:rsid w:val="00F345AE"/>
    <w:rsid w:val="00F3488C"/>
    <w:rsid w:val="00F348EA"/>
    <w:rsid w:val="00F355B4"/>
    <w:rsid w:val="00F35BC9"/>
    <w:rsid w:val="00F36483"/>
    <w:rsid w:val="00F364F6"/>
    <w:rsid w:val="00F410C5"/>
    <w:rsid w:val="00F412B7"/>
    <w:rsid w:val="00F41568"/>
    <w:rsid w:val="00F41629"/>
    <w:rsid w:val="00F449B2"/>
    <w:rsid w:val="00F44A9C"/>
    <w:rsid w:val="00F4524A"/>
    <w:rsid w:val="00F45824"/>
    <w:rsid w:val="00F4680F"/>
    <w:rsid w:val="00F4717E"/>
    <w:rsid w:val="00F500E5"/>
    <w:rsid w:val="00F50597"/>
    <w:rsid w:val="00F506D1"/>
    <w:rsid w:val="00F50D06"/>
    <w:rsid w:val="00F5125F"/>
    <w:rsid w:val="00F513FC"/>
    <w:rsid w:val="00F5164B"/>
    <w:rsid w:val="00F516E2"/>
    <w:rsid w:val="00F5189D"/>
    <w:rsid w:val="00F51B22"/>
    <w:rsid w:val="00F51B80"/>
    <w:rsid w:val="00F522DA"/>
    <w:rsid w:val="00F5234B"/>
    <w:rsid w:val="00F526F3"/>
    <w:rsid w:val="00F535A5"/>
    <w:rsid w:val="00F54199"/>
    <w:rsid w:val="00F54525"/>
    <w:rsid w:val="00F552BB"/>
    <w:rsid w:val="00F554B9"/>
    <w:rsid w:val="00F557DA"/>
    <w:rsid w:val="00F561EF"/>
    <w:rsid w:val="00F568B0"/>
    <w:rsid w:val="00F57394"/>
    <w:rsid w:val="00F60CC5"/>
    <w:rsid w:val="00F615E0"/>
    <w:rsid w:val="00F618D8"/>
    <w:rsid w:val="00F6296B"/>
    <w:rsid w:val="00F629FA"/>
    <w:rsid w:val="00F62A5D"/>
    <w:rsid w:val="00F62E9E"/>
    <w:rsid w:val="00F630A9"/>
    <w:rsid w:val="00F63F1C"/>
    <w:rsid w:val="00F640C3"/>
    <w:rsid w:val="00F6507B"/>
    <w:rsid w:val="00F66144"/>
    <w:rsid w:val="00F6637E"/>
    <w:rsid w:val="00F7034A"/>
    <w:rsid w:val="00F71A05"/>
    <w:rsid w:val="00F71C39"/>
    <w:rsid w:val="00F72D84"/>
    <w:rsid w:val="00F73A77"/>
    <w:rsid w:val="00F73E77"/>
    <w:rsid w:val="00F750F8"/>
    <w:rsid w:val="00F76020"/>
    <w:rsid w:val="00F762F9"/>
    <w:rsid w:val="00F769BD"/>
    <w:rsid w:val="00F76B40"/>
    <w:rsid w:val="00F76EAB"/>
    <w:rsid w:val="00F802D4"/>
    <w:rsid w:val="00F805EB"/>
    <w:rsid w:val="00F81F95"/>
    <w:rsid w:val="00F82393"/>
    <w:rsid w:val="00F828BF"/>
    <w:rsid w:val="00F83040"/>
    <w:rsid w:val="00F83A3B"/>
    <w:rsid w:val="00F840A3"/>
    <w:rsid w:val="00F856D6"/>
    <w:rsid w:val="00F86B22"/>
    <w:rsid w:val="00F87165"/>
    <w:rsid w:val="00F879B9"/>
    <w:rsid w:val="00F87D1C"/>
    <w:rsid w:val="00F91128"/>
    <w:rsid w:val="00F9201B"/>
    <w:rsid w:val="00F92A16"/>
    <w:rsid w:val="00F92B7C"/>
    <w:rsid w:val="00F948B7"/>
    <w:rsid w:val="00F950F0"/>
    <w:rsid w:val="00F96D73"/>
    <w:rsid w:val="00F96F72"/>
    <w:rsid w:val="00F97749"/>
    <w:rsid w:val="00FA20DB"/>
    <w:rsid w:val="00FA2A6F"/>
    <w:rsid w:val="00FA389B"/>
    <w:rsid w:val="00FA3D92"/>
    <w:rsid w:val="00FA41D4"/>
    <w:rsid w:val="00FA43B0"/>
    <w:rsid w:val="00FA46CC"/>
    <w:rsid w:val="00FA4E4D"/>
    <w:rsid w:val="00FA4FD3"/>
    <w:rsid w:val="00FA4FDE"/>
    <w:rsid w:val="00FA505B"/>
    <w:rsid w:val="00FA5CE0"/>
    <w:rsid w:val="00FA6A36"/>
    <w:rsid w:val="00FA6C8D"/>
    <w:rsid w:val="00FA70F1"/>
    <w:rsid w:val="00FB0DE1"/>
    <w:rsid w:val="00FB1B74"/>
    <w:rsid w:val="00FB2072"/>
    <w:rsid w:val="00FB2341"/>
    <w:rsid w:val="00FB2747"/>
    <w:rsid w:val="00FB2A42"/>
    <w:rsid w:val="00FB37F8"/>
    <w:rsid w:val="00FB42B8"/>
    <w:rsid w:val="00FB444C"/>
    <w:rsid w:val="00FB51BF"/>
    <w:rsid w:val="00FB53FE"/>
    <w:rsid w:val="00FB5484"/>
    <w:rsid w:val="00FB5B37"/>
    <w:rsid w:val="00FB677F"/>
    <w:rsid w:val="00FC2AB5"/>
    <w:rsid w:val="00FC2D56"/>
    <w:rsid w:val="00FC2FA7"/>
    <w:rsid w:val="00FC3FC5"/>
    <w:rsid w:val="00FC5813"/>
    <w:rsid w:val="00FC5A3C"/>
    <w:rsid w:val="00FC6526"/>
    <w:rsid w:val="00FC6575"/>
    <w:rsid w:val="00FC72A0"/>
    <w:rsid w:val="00FC72A9"/>
    <w:rsid w:val="00FD121C"/>
    <w:rsid w:val="00FD1841"/>
    <w:rsid w:val="00FD1A05"/>
    <w:rsid w:val="00FD2A5A"/>
    <w:rsid w:val="00FD2B89"/>
    <w:rsid w:val="00FD342A"/>
    <w:rsid w:val="00FD349B"/>
    <w:rsid w:val="00FD3BE1"/>
    <w:rsid w:val="00FD45C3"/>
    <w:rsid w:val="00FD73DE"/>
    <w:rsid w:val="00FE0162"/>
    <w:rsid w:val="00FE0422"/>
    <w:rsid w:val="00FE06DC"/>
    <w:rsid w:val="00FE0E49"/>
    <w:rsid w:val="00FE1276"/>
    <w:rsid w:val="00FE171F"/>
    <w:rsid w:val="00FE1934"/>
    <w:rsid w:val="00FE33A7"/>
    <w:rsid w:val="00FE35AA"/>
    <w:rsid w:val="00FE623E"/>
    <w:rsid w:val="00FE66B5"/>
    <w:rsid w:val="00FE6871"/>
    <w:rsid w:val="00FE7583"/>
    <w:rsid w:val="00FE794B"/>
    <w:rsid w:val="00FE7EF9"/>
    <w:rsid w:val="00FF1076"/>
    <w:rsid w:val="00FF1E4F"/>
    <w:rsid w:val="00FF2970"/>
    <w:rsid w:val="00FF2EA1"/>
    <w:rsid w:val="00FF3517"/>
    <w:rsid w:val="00FF3D78"/>
    <w:rsid w:val="00FF4010"/>
    <w:rsid w:val="00FF41EB"/>
    <w:rsid w:val="00FF57E5"/>
    <w:rsid w:val="00FF5BA5"/>
    <w:rsid w:val="00FF5EF8"/>
    <w:rsid w:val="00FF658D"/>
    <w:rsid w:val="00FF66D9"/>
    <w:rsid w:val="00FF6ECF"/>
    <w:rsid w:val="00FF7D4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E89BAFF2-6982-45E4-8363-045DA39CED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D708A"/>
    <w:rPr>
      <w:sz w:val="24"/>
      <w:szCs w:val="24"/>
      <w:lang w:eastAsia="zh-CN"/>
    </w:rPr>
  </w:style>
  <w:style w:type="paragraph" w:styleId="Heading1">
    <w:name w:val="heading 1"/>
    <w:basedOn w:val="Normal"/>
    <w:next w:val="Normal"/>
    <w:link w:val="Heading1Char"/>
    <w:qFormat/>
    <w:pPr>
      <w:keepNext/>
      <w:outlineLvl w:val="0"/>
    </w:pPr>
    <w:rPr>
      <w:rFonts w:ascii="Arial Narrow" w:hAnsi="Arial Narrow"/>
      <w:b/>
      <w:sz w:val="20"/>
    </w:rPr>
  </w:style>
  <w:style w:type="paragraph" w:styleId="Heading2">
    <w:name w:val="heading 2"/>
    <w:basedOn w:val="Normal"/>
    <w:next w:val="Normal"/>
    <w:qFormat/>
    <w:pPr>
      <w:keepNext/>
      <w:jc w:val="center"/>
      <w:outlineLvl w:val="1"/>
    </w:pPr>
    <w:rPr>
      <w:rFonts w:ascii="Arial" w:hAnsi="Arial"/>
      <w:b/>
      <w:sz w:val="20"/>
    </w:rPr>
  </w:style>
  <w:style w:type="paragraph" w:styleId="Heading3">
    <w:name w:val="heading 3"/>
    <w:basedOn w:val="Normal"/>
    <w:next w:val="Normal"/>
    <w:qFormat/>
    <w:pPr>
      <w:keepNext/>
      <w:jc w:val="center"/>
      <w:outlineLvl w:val="2"/>
    </w:pPr>
    <w:rPr>
      <w:rFonts w:ascii="Arial Narrow" w:hAnsi="Arial Narrow"/>
      <w:b/>
    </w:rPr>
  </w:style>
  <w:style w:type="paragraph" w:styleId="Heading4">
    <w:name w:val="heading 4"/>
    <w:basedOn w:val="Normal"/>
    <w:next w:val="Normal"/>
    <w:qFormat/>
    <w:pPr>
      <w:keepNext/>
      <w:outlineLvl w:val="3"/>
    </w:pPr>
    <w:rPr>
      <w:rFonts w:ascii="Bookman Old Style" w:hAnsi="Bookman Old Style"/>
      <w:b/>
      <w:outline/>
      <w:color w:val="000000"/>
      <w:w w:val="60"/>
      <w:sz w:val="56"/>
      <w14:shadow w14:blurRad="50800" w14:dist="38100" w14:dir="2700000" w14:sx="100000" w14:sy="100000" w14:kx="0" w14:ky="0" w14:algn="tl">
        <w14:srgbClr w14:val="000000">
          <w14:alpha w14:val="60000"/>
        </w14:srgbClr>
      </w14:shadow>
      <w14:textOutline w14:w="9525" w14:cap="flat" w14:cmpd="sng" w14:algn="ctr">
        <w14:solidFill>
          <w14:srgbClr w14:val="000000"/>
        </w14:solidFill>
        <w14:prstDash w14:val="solid"/>
        <w14:round/>
      </w14:textOutline>
      <w14:textFill>
        <w14:noFill/>
      </w14:textFil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pPr>
      <w:tabs>
        <w:tab w:val="center" w:pos="4703"/>
        <w:tab w:val="right" w:pos="94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link w:val="FootnoteTextChar"/>
    <w:semiHidden/>
    <w:rPr>
      <w:sz w:val="20"/>
      <w:szCs w:val="20"/>
    </w:rPr>
  </w:style>
  <w:style w:type="paragraph" w:styleId="Header">
    <w:name w:val="header"/>
    <w:basedOn w:val="Normal"/>
    <w:pPr>
      <w:tabs>
        <w:tab w:val="center" w:pos="4320"/>
        <w:tab w:val="right" w:pos="8640"/>
      </w:tabs>
    </w:pPr>
  </w:style>
  <w:style w:type="paragraph" w:styleId="Title">
    <w:name w:val="Title"/>
    <w:basedOn w:val="Normal"/>
    <w:qFormat/>
    <w:pPr>
      <w:ind w:left="180"/>
      <w:jc w:val="center"/>
    </w:pPr>
    <w:rPr>
      <w:b/>
      <w:sz w:val="28"/>
    </w:rPr>
  </w:style>
  <w:style w:type="paragraph" w:styleId="BodyText">
    <w:name w:val="Body Text"/>
    <w:basedOn w:val="Normal"/>
    <w:link w:val="BodyTextChar"/>
    <w:pPr>
      <w:jc w:val="both"/>
    </w:pPr>
  </w:style>
  <w:style w:type="paragraph" w:styleId="BodyTextIndent">
    <w:name w:val="Body Text Indent"/>
    <w:basedOn w:val="Normal"/>
    <w:link w:val="BodyTextIndentChar"/>
    <w:pPr>
      <w:ind w:firstLine="708"/>
      <w:jc w:val="both"/>
    </w:pPr>
  </w:style>
  <w:style w:type="paragraph" w:customStyle="1" w:styleId="ReturnAddress">
    <w:name w:val="Return Address"/>
    <w:basedOn w:val="Normal"/>
    <w:pPr>
      <w:keepLines/>
      <w:framePr w:w="2160" w:h="1195" w:wrap="notBeside" w:vAnchor="page" w:hAnchor="margin" w:xAlign="right" w:y="678" w:anchorLock="1"/>
      <w:spacing w:line="220" w:lineRule="atLeast"/>
    </w:pPr>
    <w:rPr>
      <w:rFonts w:eastAsia="Times New Roman"/>
      <w:sz w:val="16"/>
      <w:lang w:val="en-US"/>
    </w:rPr>
  </w:style>
  <w:style w:type="paragraph" w:styleId="DocumentMap">
    <w:name w:val="Document Map"/>
    <w:basedOn w:val="Normal"/>
    <w:semiHidden/>
    <w:pPr>
      <w:shd w:val="clear" w:color="auto" w:fill="000080"/>
    </w:pPr>
    <w:rPr>
      <w:rFonts w:ascii="Tahoma" w:hAnsi="Tahoma"/>
    </w:rPr>
  </w:style>
  <w:style w:type="character" w:styleId="Strong">
    <w:name w:val="Strong"/>
    <w:qFormat/>
    <w:rPr>
      <w:b/>
    </w:rPr>
  </w:style>
  <w:style w:type="paragraph" w:customStyle="1" w:styleId="DocumentLabel">
    <w:name w:val="Document Label"/>
    <w:basedOn w:val="Normal"/>
    <w:next w:val="BodyText"/>
    <w:pPr>
      <w:keepNext/>
      <w:keepLines/>
      <w:spacing w:before="160" w:line="220" w:lineRule="atLeast"/>
    </w:pPr>
    <w:rPr>
      <w:rFonts w:eastAsia="Times New Roman"/>
      <w:spacing w:val="-30"/>
      <w:kern w:val="28"/>
      <w:sz w:val="60"/>
      <w:lang w:val="en-US"/>
    </w:rPr>
  </w:style>
  <w:style w:type="paragraph" w:styleId="BodyTextIndent2">
    <w:name w:val="Body Text Indent 2"/>
    <w:basedOn w:val="Normal"/>
    <w:pPr>
      <w:ind w:firstLine="706"/>
      <w:jc w:val="both"/>
    </w:pPr>
  </w:style>
  <w:style w:type="paragraph" w:styleId="BodyTextIndent3">
    <w:name w:val="Body Text Indent 3"/>
    <w:basedOn w:val="Normal"/>
    <w:pPr>
      <w:ind w:firstLine="708"/>
      <w:jc w:val="both"/>
    </w:pPr>
    <w:rPr>
      <w:sz w:val="26"/>
    </w:rPr>
  </w:style>
  <w:style w:type="paragraph" w:styleId="BodyText2">
    <w:name w:val="Body Text 2"/>
    <w:basedOn w:val="Normal"/>
    <w:pPr>
      <w:jc w:val="both"/>
    </w:pPr>
    <w:rPr>
      <w:sz w:val="26"/>
    </w:rPr>
  </w:style>
  <w:style w:type="paragraph" w:styleId="BodyText3">
    <w:name w:val="Body Text 3"/>
    <w:basedOn w:val="Normal"/>
    <w:pPr>
      <w:jc w:val="both"/>
    </w:pPr>
    <w:rPr>
      <w:rFonts w:ascii="HebarU" w:hAnsi="HebarU"/>
      <w:sz w:val="22"/>
    </w:rPr>
  </w:style>
  <w:style w:type="paragraph" w:styleId="BalloonText">
    <w:name w:val="Balloon Text"/>
    <w:basedOn w:val="Normal"/>
    <w:semiHidden/>
    <w:rsid w:val="0016390E"/>
    <w:rPr>
      <w:rFonts w:ascii="Tahoma" w:hAnsi="Tahoma" w:cs="Tahoma"/>
      <w:sz w:val="16"/>
      <w:szCs w:val="16"/>
    </w:rPr>
  </w:style>
  <w:style w:type="paragraph" w:styleId="Caption">
    <w:name w:val="caption"/>
    <w:basedOn w:val="Normal"/>
    <w:next w:val="Normal"/>
    <w:qFormat/>
    <w:rsid w:val="0066289E"/>
    <w:pPr>
      <w:spacing w:before="120" w:after="120"/>
    </w:pPr>
    <w:rPr>
      <w:b/>
      <w:bCs/>
      <w:sz w:val="20"/>
      <w:szCs w:val="20"/>
    </w:rPr>
  </w:style>
  <w:style w:type="paragraph" w:styleId="Subtitle">
    <w:name w:val="Subtitle"/>
    <w:basedOn w:val="Title"/>
    <w:next w:val="BodyText"/>
    <w:qFormat/>
    <w:rsid w:val="00206C73"/>
    <w:pPr>
      <w:keepNext/>
      <w:keepLines/>
      <w:spacing w:after="160" w:line="400" w:lineRule="atLeast"/>
      <w:ind w:left="1080" w:right="2160"/>
      <w:jc w:val="left"/>
    </w:pPr>
    <w:rPr>
      <w:rFonts w:eastAsia="Times New Roman"/>
      <w:b w:val="0"/>
      <w:i/>
      <w:spacing w:val="-14"/>
      <w:kern w:val="28"/>
      <w:sz w:val="34"/>
      <w:szCs w:val="20"/>
      <w:lang w:val="en-GB" w:eastAsia="en-US"/>
    </w:rPr>
  </w:style>
  <w:style w:type="table" w:styleId="TableGrid">
    <w:name w:val="Table Grid"/>
    <w:basedOn w:val="TableNormal"/>
    <w:rsid w:val="00160D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1CharCharCharCharCharCharCharCharCharCharCharCharCharCharCharCharCharCharCharCharCharCharCharChar">
    <w:name w:val="Char Char1 Char Char Char Знак Char Char Знак Char Char Char Char Char Знак Char Char Char Char Char Char Char Char Char Знак Char Char Char Char Char Знак"/>
    <w:basedOn w:val="Normal"/>
    <w:semiHidden/>
    <w:rsid w:val="00B82F01"/>
    <w:pPr>
      <w:tabs>
        <w:tab w:val="left" w:pos="709"/>
      </w:tabs>
    </w:pPr>
    <w:rPr>
      <w:rFonts w:ascii="Futura Bk" w:eastAsia="Times New Roman" w:hAnsi="Futura Bk"/>
      <w:sz w:val="20"/>
      <w:lang w:val="pl-PL" w:eastAsia="pl-PL"/>
    </w:rPr>
  </w:style>
  <w:style w:type="paragraph" w:customStyle="1" w:styleId="a">
    <w:name w:val="Знак Знак"/>
    <w:basedOn w:val="Normal"/>
    <w:semiHidden/>
    <w:rsid w:val="007006B6"/>
    <w:pPr>
      <w:tabs>
        <w:tab w:val="left" w:pos="709"/>
      </w:tabs>
    </w:pPr>
    <w:rPr>
      <w:rFonts w:ascii="Futura Bk" w:eastAsia="Times New Roman" w:hAnsi="Futura Bk"/>
      <w:sz w:val="20"/>
      <w:lang w:val="pl-PL" w:eastAsia="pl-PL"/>
    </w:rPr>
  </w:style>
  <w:style w:type="paragraph" w:styleId="NormalWeb">
    <w:name w:val="Normal (Web)"/>
    <w:basedOn w:val="Normal"/>
    <w:rsid w:val="00C012FD"/>
    <w:pPr>
      <w:spacing w:before="100" w:beforeAutospacing="1" w:after="100" w:afterAutospacing="1"/>
    </w:pPr>
    <w:rPr>
      <w:rFonts w:eastAsia="Times New Roman"/>
      <w:lang w:eastAsia="bg-BG"/>
    </w:rPr>
  </w:style>
  <w:style w:type="table" w:styleId="Table3Deffects3">
    <w:name w:val="Table 3D effects 3"/>
    <w:basedOn w:val="TableNormal"/>
    <w:rsid w:val="00C012FD"/>
    <w:rPr>
      <w:rFonts w:eastAsia="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Web3">
    <w:name w:val="Table Web 3"/>
    <w:basedOn w:val="TableNormal"/>
    <w:rsid w:val="00C012FD"/>
    <w:rPr>
      <w:rFonts w:eastAsia="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List2">
    <w:name w:val="Table List 2"/>
    <w:basedOn w:val="TableNormal"/>
    <w:rsid w:val="00C012FD"/>
    <w:rPr>
      <w:rFonts w:eastAsia="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Elegant">
    <w:name w:val="Table Elegant"/>
    <w:basedOn w:val="TableNormal"/>
    <w:rsid w:val="00C012FD"/>
    <w:rPr>
      <w:rFonts w:eastAsia="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searchhighlight1">
    <w:name w:val="searchhighlight1"/>
    <w:rsid w:val="00C012FD"/>
    <w:rPr>
      <w:b/>
      <w:bCs/>
      <w:color w:val="FF0000"/>
      <w:u w:val="single"/>
    </w:rPr>
  </w:style>
  <w:style w:type="table" w:styleId="TableColumns3">
    <w:name w:val="Table Columns 3"/>
    <w:basedOn w:val="TableNormal"/>
    <w:rsid w:val="00464AD2"/>
    <w:rPr>
      <w:rFonts w:eastAsia="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paragraph" w:customStyle="1" w:styleId="CharChar">
    <w:name w:val="Знак Знак Char Char Знак Знак"/>
    <w:basedOn w:val="Normal"/>
    <w:semiHidden/>
    <w:rsid w:val="0055610A"/>
    <w:pPr>
      <w:tabs>
        <w:tab w:val="left" w:pos="709"/>
      </w:tabs>
    </w:pPr>
    <w:rPr>
      <w:rFonts w:ascii="Futura Bk" w:eastAsia="Times New Roman" w:hAnsi="Futura Bk"/>
      <w:sz w:val="20"/>
      <w:lang w:val="pl-PL" w:eastAsia="pl-PL"/>
    </w:rPr>
  </w:style>
  <w:style w:type="paragraph" w:styleId="TOC1">
    <w:name w:val="toc 1"/>
    <w:basedOn w:val="Normal"/>
    <w:next w:val="Normal"/>
    <w:autoRedefine/>
    <w:uiPriority w:val="39"/>
    <w:rsid w:val="0083758C"/>
    <w:pPr>
      <w:tabs>
        <w:tab w:val="left" w:pos="540"/>
        <w:tab w:val="right" w:leader="dot" w:pos="9713"/>
      </w:tabs>
      <w:spacing w:line="360" w:lineRule="auto"/>
    </w:pPr>
  </w:style>
  <w:style w:type="paragraph" w:styleId="TOC2">
    <w:name w:val="toc 2"/>
    <w:basedOn w:val="Normal"/>
    <w:next w:val="Normal"/>
    <w:autoRedefine/>
    <w:uiPriority w:val="39"/>
    <w:rsid w:val="00E85D74"/>
    <w:pPr>
      <w:ind w:left="240"/>
    </w:pPr>
  </w:style>
  <w:style w:type="paragraph" w:styleId="TOC3">
    <w:name w:val="toc 3"/>
    <w:basedOn w:val="Normal"/>
    <w:next w:val="Normal"/>
    <w:autoRedefine/>
    <w:uiPriority w:val="39"/>
    <w:rsid w:val="006F4C8C"/>
    <w:pPr>
      <w:tabs>
        <w:tab w:val="left" w:pos="1080"/>
        <w:tab w:val="right" w:leader="dot" w:pos="9713"/>
      </w:tabs>
      <w:spacing w:after="120"/>
      <w:ind w:left="480"/>
    </w:pPr>
  </w:style>
  <w:style w:type="character" w:styleId="Hyperlink">
    <w:name w:val="Hyperlink"/>
    <w:uiPriority w:val="99"/>
    <w:rsid w:val="00E85D74"/>
    <w:rPr>
      <w:color w:val="0000FF"/>
      <w:u w:val="single"/>
    </w:rPr>
  </w:style>
  <w:style w:type="paragraph" w:customStyle="1" w:styleId="CharCharCharCharCharChar">
    <w:name w:val="Знак Знак Char Char Знак Знак Char Char Знак Знак Char Char Знак Знак"/>
    <w:basedOn w:val="Normal"/>
    <w:semiHidden/>
    <w:rsid w:val="002A6674"/>
    <w:pPr>
      <w:tabs>
        <w:tab w:val="left" w:pos="709"/>
      </w:tabs>
    </w:pPr>
    <w:rPr>
      <w:rFonts w:ascii="Futura Bk" w:eastAsia="Times New Roman" w:hAnsi="Futura Bk"/>
      <w:sz w:val="20"/>
      <w:lang w:val="pl-PL" w:eastAsia="pl-PL"/>
    </w:rPr>
  </w:style>
  <w:style w:type="paragraph" w:customStyle="1" w:styleId="CharCharCharCharCharCharCharChar">
    <w:name w:val="Знак Знак Char Char Знак Знак Char Char Знак Знак Char Char Знак Знак Char Char Знак Знак"/>
    <w:basedOn w:val="Normal"/>
    <w:semiHidden/>
    <w:rsid w:val="007E1FCA"/>
    <w:pPr>
      <w:tabs>
        <w:tab w:val="left" w:pos="709"/>
      </w:tabs>
    </w:pPr>
    <w:rPr>
      <w:rFonts w:ascii="Futura Bk" w:eastAsia="Times New Roman" w:hAnsi="Futura Bk"/>
      <w:sz w:val="20"/>
      <w:lang w:val="pl-PL" w:eastAsia="pl-PL"/>
    </w:rPr>
  </w:style>
  <w:style w:type="table" w:styleId="TableSimple1">
    <w:name w:val="Table Simple 1"/>
    <w:basedOn w:val="TableNormal"/>
    <w:rsid w:val="000D6E0A"/>
    <w:rPr>
      <w:rFonts w:eastAsia="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List1">
    <w:name w:val="Table List 1"/>
    <w:basedOn w:val="TableNormal"/>
    <w:rsid w:val="00B97C1A"/>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CharCharCharCharCharCharCharCharCharCharCharCharCharCharCharChar">
    <w:name w:val="Знак Знак Char Char Знак Знак Char Char Знак Знак Char Char Знак Знак Char Char Знак Знак Char Char Char Char Char Char Char Char"/>
    <w:basedOn w:val="Normal"/>
    <w:semiHidden/>
    <w:rsid w:val="00693124"/>
    <w:pPr>
      <w:tabs>
        <w:tab w:val="left" w:pos="709"/>
      </w:tabs>
    </w:pPr>
    <w:rPr>
      <w:rFonts w:ascii="Futura Bk" w:eastAsia="Times New Roman" w:hAnsi="Futura Bk"/>
      <w:sz w:val="20"/>
      <w:lang w:val="pl-PL" w:eastAsia="pl-PL"/>
    </w:rPr>
  </w:style>
  <w:style w:type="paragraph" w:customStyle="1" w:styleId="CharCharCharCharCharCharCharCharCharCharCharCharCharChar">
    <w:name w:val="Знак Знак Char Char Знак Знак Char Char Знак Знак Char Char Знак Знак Char Char Знак Знак Char Char Char Char Char Char"/>
    <w:basedOn w:val="Normal"/>
    <w:semiHidden/>
    <w:rsid w:val="00AA50D1"/>
    <w:pPr>
      <w:tabs>
        <w:tab w:val="left" w:pos="709"/>
      </w:tabs>
    </w:pPr>
    <w:rPr>
      <w:rFonts w:ascii="Futura Bk" w:eastAsia="Times New Roman" w:hAnsi="Futura Bk"/>
      <w:sz w:val="20"/>
      <w:lang w:val="pl-PL" w:eastAsia="pl-PL"/>
    </w:rPr>
  </w:style>
  <w:style w:type="paragraph" w:customStyle="1" w:styleId="CharCharCharCharCharChar0">
    <w:name w:val="Char Char Char Char Char Char"/>
    <w:basedOn w:val="Normal"/>
    <w:semiHidden/>
    <w:rsid w:val="00935045"/>
    <w:pPr>
      <w:tabs>
        <w:tab w:val="left" w:pos="709"/>
      </w:tabs>
    </w:pPr>
    <w:rPr>
      <w:rFonts w:ascii="Futura Bk" w:eastAsia="Times New Roman" w:hAnsi="Futura Bk"/>
      <w:sz w:val="20"/>
      <w:lang w:val="pl-PL" w:eastAsia="pl-PL"/>
    </w:rPr>
  </w:style>
  <w:style w:type="paragraph" w:customStyle="1" w:styleId="CharCharCharCharCharCharCharCharCharCharCharCharCharCharCharCharCharCharCharChar">
    <w:name w:val="Знак Знак Char Char Знак Знак Char Char Знак Знак Char Char Знак Знак Char Char Знак Знак Char Char Char Char Char Char Char Char Char Char Char Char"/>
    <w:basedOn w:val="Normal"/>
    <w:semiHidden/>
    <w:rsid w:val="00935045"/>
    <w:pPr>
      <w:tabs>
        <w:tab w:val="left" w:pos="709"/>
      </w:tabs>
    </w:pPr>
    <w:rPr>
      <w:rFonts w:ascii="Futura Bk" w:eastAsia="Times New Roman" w:hAnsi="Futura Bk"/>
      <w:sz w:val="20"/>
      <w:lang w:val="pl-PL" w:eastAsia="pl-PL"/>
    </w:rPr>
  </w:style>
  <w:style w:type="table" w:styleId="TableContemporary">
    <w:name w:val="Table Contemporary"/>
    <w:basedOn w:val="TableNormal"/>
    <w:rsid w:val="00693F7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CharCharCharCharCharCharCharCharCharCharCharCharCharCharCharCharCharCharCharCharCharChar">
    <w:name w:val="Знак Знак Char Char Знак Знак Char Char Знак Знак Char Char Знак Знак Char Char Знак Знак Char Char Char Char Char Char Char Char Char Char Char Char Char Char"/>
    <w:basedOn w:val="Normal"/>
    <w:semiHidden/>
    <w:rsid w:val="00666881"/>
    <w:pPr>
      <w:tabs>
        <w:tab w:val="left" w:pos="709"/>
      </w:tabs>
    </w:pPr>
    <w:rPr>
      <w:rFonts w:ascii="Futura Bk" w:eastAsia="Times New Roman" w:hAnsi="Futura Bk"/>
      <w:sz w:val="20"/>
      <w:lang w:val="pl-PL" w:eastAsia="pl-PL"/>
    </w:rPr>
  </w:style>
  <w:style w:type="paragraph" w:customStyle="1" w:styleId="CharCharCharChar">
    <w:name w:val="Char Char Char Char"/>
    <w:basedOn w:val="Normal"/>
    <w:semiHidden/>
    <w:rsid w:val="00160D26"/>
    <w:pPr>
      <w:tabs>
        <w:tab w:val="left" w:pos="709"/>
      </w:tabs>
    </w:pPr>
    <w:rPr>
      <w:rFonts w:ascii="Futura Bk" w:eastAsia="Times New Roman" w:hAnsi="Futura Bk"/>
      <w:sz w:val="20"/>
      <w:lang w:val="pl-PL" w:eastAsia="pl-PL"/>
    </w:rPr>
  </w:style>
  <w:style w:type="paragraph" w:customStyle="1" w:styleId="CharCharCharCharCharCharCharCharCharCharCharCharCharCharCharCharCharCharCharCharCharCharCharCharCharChar">
    <w:name w:val="Знак Знак Char Char Знак Знак Char Char Знак Знак Char Char Знак Знак Char Char Знак Знак Char Char Char Char Char Char Char Char Char Char Char Char Char Char Char Char Char Char"/>
    <w:basedOn w:val="Normal"/>
    <w:semiHidden/>
    <w:rsid w:val="006A543D"/>
    <w:pPr>
      <w:tabs>
        <w:tab w:val="left" w:pos="709"/>
      </w:tabs>
    </w:pPr>
    <w:rPr>
      <w:rFonts w:ascii="Futura Bk" w:eastAsia="Times New Roman" w:hAnsi="Futura Bk"/>
      <w:sz w:val="20"/>
      <w:lang w:val="pl-PL" w:eastAsia="pl-PL"/>
    </w:rPr>
  </w:style>
  <w:style w:type="paragraph" w:customStyle="1" w:styleId="CharCharCharCharCharCharCharChar0">
    <w:name w:val="Знак Знак Char Char Знак Знак Char Char Знак Знак Char Char Char Char"/>
    <w:basedOn w:val="Normal"/>
    <w:semiHidden/>
    <w:rsid w:val="00874FE5"/>
    <w:pPr>
      <w:tabs>
        <w:tab w:val="left" w:pos="709"/>
      </w:tabs>
    </w:pPr>
    <w:rPr>
      <w:rFonts w:ascii="Futura Bk" w:eastAsia="Times New Roman" w:hAnsi="Futura Bk"/>
      <w:sz w:val="20"/>
      <w:lang w:val="pl-PL" w:eastAsia="pl-PL"/>
    </w:rPr>
  </w:style>
  <w:style w:type="paragraph" w:customStyle="1" w:styleId="CharCharCharChar0">
    <w:name w:val="Знак Знак Char Char Знак Знак Char Char Знак Знак"/>
    <w:basedOn w:val="Normal"/>
    <w:semiHidden/>
    <w:rsid w:val="00F802D4"/>
    <w:pPr>
      <w:tabs>
        <w:tab w:val="left" w:pos="709"/>
      </w:tabs>
    </w:pPr>
    <w:rPr>
      <w:rFonts w:ascii="Futura Bk" w:eastAsia="Times New Roman" w:hAnsi="Futura Bk"/>
      <w:sz w:val="20"/>
      <w:lang w:val="pl-PL" w:eastAsia="pl-PL"/>
    </w:rPr>
  </w:style>
  <w:style w:type="character" w:customStyle="1" w:styleId="BodyTextIndentChar">
    <w:name w:val="Body Text Indent Char"/>
    <w:link w:val="BodyTextIndent"/>
    <w:rsid w:val="00590290"/>
    <w:rPr>
      <w:sz w:val="24"/>
      <w:szCs w:val="24"/>
      <w:lang w:eastAsia="zh-CN"/>
    </w:rPr>
  </w:style>
  <w:style w:type="character" w:customStyle="1" w:styleId="Heading1Char">
    <w:name w:val="Heading 1 Char"/>
    <w:link w:val="Heading1"/>
    <w:rsid w:val="00FA5CE0"/>
    <w:rPr>
      <w:rFonts w:ascii="Arial Narrow" w:hAnsi="Arial Narrow"/>
      <w:b/>
      <w:szCs w:val="24"/>
      <w:lang w:eastAsia="zh-CN"/>
    </w:rPr>
  </w:style>
  <w:style w:type="character" w:customStyle="1" w:styleId="FootnoteTextChar">
    <w:name w:val="Footnote Text Char"/>
    <w:link w:val="FootnoteText"/>
    <w:semiHidden/>
    <w:rsid w:val="00FA5CE0"/>
    <w:rPr>
      <w:lang w:eastAsia="zh-CN"/>
    </w:rPr>
  </w:style>
  <w:style w:type="paragraph" w:styleId="TOCHeading">
    <w:name w:val="TOC Heading"/>
    <w:basedOn w:val="Heading1"/>
    <w:next w:val="Normal"/>
    <w:uiPriority w:val="39"/>
    <w:semiHidden/>
    <w:unhideWhenUsed/>
    <w:qFormat/>
    <w:rsid w:val="001A2DC3"/>
    <w:pPr>
      <w:keepLines/>
      <w:spacing w:before="480" w:line="276" w:lineRule="auto"/>
      <w:outlineLvl w:val="9"/>
    </w:pPr>
    <w:rPr>
      <w:rFonts w:ascii="Cambria" w:eastAsia="MS Gothic" w:hAnsi="Cambria"/>
      <w:bCs/>
      <w:color w:val="365F91"/>
      <w:sz w:val="28"/>
      <w:szCs w:val="28"/>
      <w:lang w:val="en-US" w:eastAsia="ja-JP"/>
    </w:rPr>
  </w:style>
  <w:style w:type="paragraph" w:customStyle="1" w:styleId="1">
    <w:name w:val="1"/>
    <w:basedOn w:val="Normal"/>
    <w:semiHidden/>
    <w:rsid w:val="00760855"/>
    <w:pPr>
      <w:tabs>
        <w:tab w:val="left" w:pos="709"/>
      </w:tabs>
    </w:pPr>
    <w:rPr>
      <w:rFonts w:ascii="Futura Bk" w:eastAsia="Times New Roman" w:hAnsi="Futura Bk"/>
      <w:sz w:val="20"/>
      <w:lang w:val="pl-PL" w:eastAsia="pl-PL"/>
    </w:rPr>
  </w:style>
  <w:style w:type="table" w:styleId="TableList7">
    <w:name w:val="Table List 7"/>
    <w:basedOn w:val="TableNormal"/>
    <w:rsid w:val="005E7249"/>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character" w:customStyle="1" w:styleId="BodyTextChar">
    <w:name w:val="Body Text Char"/>
    <w:link w:val="BodyText"/>
    <w:rsid w:val="00B25FBA"/>
    <w:rPr>
      <w:sz w:val="24"/>
      <w:szCs w:val="24"/>
      <w:lang w:eastAsia="zh-CN"/>
    </w:rPr>
  </w:style>
  <w:style w:type="character" w:styleId="CommentReference">
    <w:name w:val="annotation reference"/>
    <w:rsid w:val="0066269C"/>
    <w:rPr>
      <w:sz w:val="16"/>
      <w:szCs w:val="16"/>
    </w:rPr>
  </w:style>
  <w:style w:type="paragraph" w:styleId="CommentText">
    <w:name w:val="annotation text"/>
    <w:basedOn w:val="Normal"/>
    <w:link w:val="CommentTextChar"/>
    <w:rsid w:val="0066269C"/>
    <w:rPr>
      <w:sz w:val="20"/>
      <w:szCs w:val="20"/>
    </w:rPr>
  </w:style>
  <w:style w:type="character" w:customStyle="1" w:styleId="CommentTextChar">
    <w:name w:val="Comment Text Char"/>
    <w:link w:val="CommentText"/>
    <w:rsid w:val="0066269C"/>
    <w:rPr>
      <w:lang w:eastAsia="zh-CN"/>
    </w:rPr>
  </w:style>
  <w:style w:type="paragraph" w:styleId="CommentSubject">
    <w:name w:val="annotation subject"/>
    <w:basedOn w:val="CommentText"/>
    <w:next w:val="CommentText"/>
    <w:link w:val="CommentSubjectChar"/>
    <w:rsid w:val="0066269C"/>
    <w:rPr>
      <w:b/>
      <w:bCs/>
    </w:rPr>
  </w:style>
  <w:style w:type="character" w:customStyle="1" w:styleId="CommentSubjectChar">
    <w:name w:val="Comment Subject Char"/>
    <w:link w:val="CommentSubject"/>
    <w:rsid w:val="0066269C"/>
    <w:rPr>
      <w:b/>
      <w:bCs/>
      <w:lang w:eastAsia="zh-CN"/>
    </w:rPr>
  </w:style>
  <w:style w:type="paragraph" w:styleId="ListParagraph">
    <w:name w:val="List Paragraph"/>
    <w:basedOn w:val="Normal"/>
    <w:uiPriority w:val="34"/>
    <w:qFormat/>
    <w:rsid w:val="006A52D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951587">
      <w:bodyDiv w:val="1"/>
      <w:marLeft w:val="0"/>
      <w:marRight w:val="0"/>
      <w:marTop w:val="0"/>
      <w:marBottom w:val="0"/>
      <w:divBdr>
        <w:top w:val="none" w:sz="0" w:space="0" w:color="auto"/>
        <w:left w:val="none" w:sz="0" w:space="0" w:color="auto"/>
        <w:bottom w:val="none" w:sz="0" w:space="0" w:color="auto"/>
        <w:right w:val="none" w:sz="0" w:space="0" w:color="auto"/>
      </w:divBdr>
    </w:div>
    <w:div w:id="222447158">
      <w:bodyDiv w:val="1"/>
      <w:marLeft w:val="0"/>
      <w:marRight w:val="0"/>
      <w:marTop w:val="0"/>
      <w:marBottom w:val="0"/>
      <w:divBdr>
        <w:top w:val="none" w:sz="0" w:space="0" w:color="auto"/>
        <w:left w:val="none" w:sz="0" w:space="0" w:color="auto"/>
        <w:bottom w:val="none" w:sz="0" w:space="0" w:color="auto"/>
        <w:right w:val="none" w:sz="0" w:space="0" w:color="auto"/>
      </w:divBdr>
    </w:div>
    <w:div w:id="389808941">
      <w:bodyDiv w:val="1"/>
      <w:marLeft w:val="0"/>
      <w:marRight w:val="0"/>
      <w:marTop w:val="0"/>
      <w:marBottom w:val="0"/>
      <w:divBdr>
        <w:top w:val="none" w:sz="0" w:space="0" w:color="auto"/>
        <w:left w:val="none" w:sz="0" w:space="0" w:color="auto"/>
        <w:bottom w:val="none" w:sz="0" w:space="0" w:color="auto"/>
        <w:right w:val="none" w:sz="0" w:space="0" w:color="auto"/>
      </w:divBdr>
    </w:div>
    <w:div w:id="433016077">
      <w:bodyDiv w:val="1"/>
      <w:marLeft w:val="0"/>
      <w:marRight w:val="0"/>
      <w:marTop w:val="0"/>
      <w:marBottom w:val="0"/>
      <w:divBdr>
        <w:top w:val="none" w:sz="0" w:space="0" w:color="auto"/>
        <w:left w:val="none" w:sz="0" w:space="0" w:color="auto"/>
        <w:bottom w:val="none" w:sz="0" w:space="0" w:color="auto"/>
        <w:right w:val="none" w:sz="0" w:space="0" w:color="auto"/>
      </w:divBdr>
    </w:div>
    <w:div w:id="437262296">
      <w:bodyDiv w:val="1"/>
      <w:marLeft w:val="0"/>
      <w:marRight w:val="0"/>
      <w:marTop w:val="0"/>
      <w:marBottom w:val="0"/>
      <w:divBdr>
        <w:top w:val="none" w:sz="0" w:space="0" w:color="auto"/>
        <w:left w:val="none" w:sz="0" w:space="0" w:color="auto"/>
        <w:bottom w:val="none" w:sz="0" w:space="0" w:color="auto"/>
        <w:right w:val="none" w:sz="0" w:space="0" w:color="auto"/>
      </w:divBdr>
    </w:div>
    <w:div w:id="453136861">
      <w:bodyDiv w:val="1"/>
      <w:marLeft w:val="0"/>
      <w:marRight w:val="0"/>
      <w:marTop w:val="0"/>
      <w:marBottom w:val="0"/>
      <w:divBdr>
        <w:top w:val="none" w:sz="0" w:space="0" w:color="auto"/>
        <w:left w:val="none" w:sz="0" w:space="0" w:color="auto"/>
        <w:bottom w:val="none" w:sz="0" w:space="0" w:color="auto"/>
        <w:right w:val="none" w:sz="0" w:space="0" w:color="auto"/>
      </w:divBdr>
    </w:div>
    <w:div w:id="563181656">
      <w:bodyDiv w:val="1"/>
      <w:marLeft w:val="0"/>
      <w:marRight w:val="0"/>
      <w:marTop w:val="0"/>
      <w:marBottom w:val="0"/>
      <w:divBdr>
        <w:top w:val="none" w:sz="0" w:space="0" w:color="auto"/>
        <w:left w:val="none" w:sz="0" w:space="0" w:color="auto"/>
        <w:bottom w:val="none" w:sz="0" w:space="0" w:color="auto"/>
        <w:right w:val="none" w:sz="0" w:space="0" w:color="auto"/>
      </w:divBdr>
    </w:div>
    <w:div w:id="575626989">
      <w:bodyDiv w:val="1"/>
      <w:marLeft w:val="0"/>
      <w:marRight w:val="0"/>
      <w:marTop w:val="0"/>
      <w:marBottom w:val="0"/>
      <w:divBdr>
        <w:top w:val="none" w:sz="0" w:space="0" w:color="auto"/>
        <w:left w:val="none" w:sz="0" w:space="0" w:color="auto"/>
        <w:bottom w:val="none" w:sz="0" w:space="0" w:color="auto"/>
        <w:right w:val="none" w:sz="0" w:space="0" w:color="auto"/>
      </w:divBdr>
    </w:div>
    <w:div w:id="794520493">
      <w:bodyDiv w:val="1"/>
      <w:marLeft w:val="0"/>
      <w:marRight w:val="0"/>
      <w:marTop w:val="0"/>
      <w:marBottom w:val="0"/>
      <w:divBdr>
        <w:top w:val="none" w:sz="0" w:space="0" w:color="auto"/>
        <w:left w:val="none" w:sz="0" w:space="0" w:color="auto"/>
        <w:bottom w:val="none" w:sz="0" w:space="0" w:color="auto"/>
        <w:right w:val="none" w:sz="0" w:space="0" w:color="auto"/>
      </w:divBdr>
    </w:div>
    <w:div w:id="874198545">
      <w:bodyDiv w:val="1"/>
      <w:marLeft w:val="0"/>
      <w:marRight w:val="0"/>
      <w:marTop w:val="0"/>
      <w:marBottom w:val="0"/>
      <w:divBdr>
        <w:top w:val="none" w:sz="0" w:space="0" w:color="auto"/>
        <w:left w:val="none" w:sz="0" w:space="0" w:color="auto"/>
        <w:bottom w:val="none" w:sz="0" w:space="0" w:color="auto"/>
        <w:right w:val="none" w:sz="0" w:space="0" w:color="auto"/>
      </w:divBdr>
    </w:div>
    <w:div w:id="888498546">
      <w:bodyDiv w:val="1"/>
      <w:marLeft w:val="0"/>
      <w:marRight w:val="0"/>
      <w:marTop w:val="0"/>
      <w:marBottom w:val="0"/>
      <w:divBdr>
        <w:top w:val="none" w:sz="0" w:space="0" w:color="auto"/>
        <w:left w:val="none" w:sz="0" w:space="0" w:color="auto"/>
        <w:bottom w:val="none" w:sz="0" w:space="0" w:color="auto"/>
        <w:right w:val="none" w:sz="0" w:space="0" w:color="auto"/>
      </w:divBdr>
    </w:div>
    <w:div w:id="921179692">
      <w:bodyDiv w:val="1"/>
      <w:marLeft w:val="0"/>
      <w:marRight w:val="0"/>
      <w:marTop w:val="0"/>
      <w:marBottom w:val="0"/>
      <w:divBdr>
        <w:top w:val="none" w:sz="0" w:space="0" w:color="auto"/>
        <w:left w:val="none" w:sz="0" w:space="0" w:color="auto"/>
        <w:bottom w:val="none" w:sz="0" w:space="0" w:color="auto"/>
        <w:right w:val="none" w:sz="0" w:space="0" w:color="auto"/>
      </w:divBdr>
    </w:div>
    <w:div w:id="934442857">
      <w:bodyDiv w:val="1"/>
      <w:marLeft w:val="0"/>
      <w:marRight w:val="0"/>
      <w:marTop w:val="0"/>
      <w:marBottom w:val="0"/>
      <w:divBdr>
        <w:top w:val="none" w:sz="0" w:space="0" w:color="auto"/>
        <w:left w:val="none" w:sz="0" w:space="0" w:color="auto"/>
        <w:bottom w:val="none" w:sz="0" w:space="0" w:color="auto"/>
        <w:right w:val="none" w:sz="0" w:space="0" w:color="auto"/>
      </w:divBdr>
    </w:div>
    <w:div w:id="1042443269">
      <w:bodyDiv w:val="1"/>
      <w:marLeft w:val="0"/>
      <w:marRight w:val="0"/>
      <w:marTop w:val="0"/>
      <w:marBottom w:val="0"/>
      <w:divBdr>
        <w:top w:val="none" w:sz="0" w:space="0" w:color="auto"/>
        <w:left w:val="none" w:sz="0" w:space="0" w:color="auto"/>
        <w:bottom w:val="none" w:sz="0" w:space="0" w:color="auto"/>
        <w:right w:val="none" w:sz="0" w:space="0" w:color="auto"/>
      </w:divBdr>
    </w:div>
    <w:div w:id="1096514992">
      <w:bodyDiv w:val="1"/>
      <w:marLeft w:val="0"/>
      <w:marRight w:val="0"/>
      <w:marTop w:val="0"/>
      <w:marBottom w:val="0"/>
      <w:divBdr>
        <w:top w:val="none" w:sz="0" w:space="0" w:color="auto"/>
        <w:left w:val="none" w:sz="0" w:space="0" w:color="auto"/>
        <w:bottom w:val="none" w:sz="0" w:space="0" w:color="auto"/>
        <w:right w:val="none" w:sz="0" w:space="0" w:color="auto"/>
      </w:divBdr>
    </w:div>
    <w:div w:id="1144204737">
      <w:bodyDiv w:val="1"/>
      <w:marLeft w:val="0"/>
      <w:marRight w:val="0"/>
      <w:marTop w:val="0"/>
      <w:marBottom w:val="0"/>
      <w:divBdr>
        <w:top w:val="none" w:sz="0" w:space="0" w:color="auto"/>
        <w:left w:val="none" w:sz="0" w:space="0" w:color="auto"/>
        <w:bottom w:val="none" w:sz="0" w:space="0" w:color="auto"/>
        <w:right w:val="none" w:sz="0" w:space="0" w:color="auto"/>
      </w:divBdr>
    </w:div>
    <w:div w:id="1354722884">
      <w:bodyDiv w:val="1"/>
      <w:marLeft w:val="0"/>
      <w:marRight w:val="0"/>
      <w:marTop w:val="0"/>
      <w:marBottom w:val="0"/>
      <w:divBdr>
        <w:top w:val="none" w:sz="0" w:space="0" w:color="auto"/>
        <w:left w:val="none" w:sz="0" w:space="0" w:color="auto"/>
        <w:bottom w:val="none" w:sz="0" w:space="0" w:color="auto"/>
        <w:right w:val="none" w:sz="0" w:space="0" w:color="auto"/>
      </w:divBdr>
    </w:div>
    <w:div w:id="1440373322">
      <w:bodyDiv w:val="1"/>
      <w:marLeft w:val="0"/>
      <w:marRight w:val="0"/>
      <w:marTop w:val="0"/>
      <w:marBottom w:val="0"/>
      <w:divBdr>
        <w:top w:val="none" w:sz="0" w:space="0" w:color="auto"/>
        <w:left w:val="none" w:sz="0" w:space="0" w:color="auto"/>
        <w:bottom w:val="none" w:sz="0" w:space="0" w:color="auto"/>
        <w:right w:val="none" w:sz="0" w:space="0" w:color="auto"/>
      </w:divBdr>
    </w:div>
    <w:div w:id="1618489213">
      <w:bodyDiv w:val="1"/>
      <w:marLeft w:val="0"/>
      <w:marRight w:val="0"/>
      <w:marTop w:val="0"/>
      <w:marBottom w:val="0"/>
      <w:divBdr>
        <w:top w:val="none" w:sz="0" w:space="0" w:color="auto"/>
        <w:left w:val="none" w:sz="0" w:space="0" w:color="auto"/>
        <w:bottom w:val="none" w:sz="0" w:space="0" w:color="auto"/>
        <w:right w:val="none" w:sz="0" w:space="0" w:color="auto"/>
      </w:divBdr>
    </w:div>
    <w:div w:id="1645230609">
      <w:bodyDiv w:val="1"/>
      <w:marLeft w:val="0"/>
      <w:marRight w:val="0"/>
      <w:marTop w:val="0"/>
      <w:marBottom w:val="0"/>
      <w:divBdr>
        <w:top w:val="none" w:sz="0" w:space="0" w:color="auto"/>
        <w:left w:val="none" w:sz="0" w:space="0" w:color="auto"/>
        <w:bottom w:val="none" w:sz="0" w:space="0" w:color="auto"/>
        <w:right w:val="none" w:sz="0" w:space="0" w:color="auto"/>
      </w:divBdr>
    </w:div>
    <w:div w:id="1662156426">
      <w:bodyDiv w:val="1"/>
      <w:marLeft w:val="0"/>
      <w:marRight w:val="0"/>
      <w:marTop w:val="0"/>
      <w:marBottom w:val="0"/>
      <w:divBdr>
        <w:top w:val="none" w:sz="0" w:space="0" w:color="auto"/>
        <w:left w:val="none" w:sz="0" w:space="0" w:color="auto"/>
        <w:bottom w:val="none" w:sz="0" w:space="0" w:color="auto"/>
        <w:right w:val="none" w:sz="0" w:space="0" w:color="auto"/>
      </w:divBdr>
    </w:div>
    <w:div w:id="1822690413">
      <w:bodyDiv w:val="1"/>
      <w:marLeft w:val="0"/>
      <w:marRight w:val="0"/>
      <w:marTop w:val="0"/>
      <w:marBottom w:val="0"/>
      <w:divBdr>
        <w:top w:val="none" w:sz="0" w:space="0" w:color="auto"/>
        <w:left w:val="none" w:sz="0" w:space="0" w:color="auto"/>
        <w:bottom w:val="none" w:sz="0" w:space="0" w:color="auto"/>
        <w:right w:val="none" w:sz="0" w:space="0" w:color="auto"/>
      </w:divBdr>
    </w:div>
    <w:div w:id="1855921297">
      <w:bodyDiv w:val="1"/>
      <w:marLeft w:val="0"/>
      <w:marRight w:val="0"/>
      <w:marTop w:val="0"/>
      <w:marBottom w:val="0"/>
      <w:divBdr>
        <w:top w:val="none" w:sz="0" w:space="0" w:color="auto"/>
        <w:left w:val="none" w:sz="0" w:space="0" w:color="auto"/>
        <w:bottom w:val="none" w:sz="0" w:space="0" w:color="auto"/>
        <w:right w:val="none" w:sz="0" w:space="0" w:color="auto"/>
      </w:divBdr>
      <w:divsChild>
        <w:div w:id="1172571396">
          <w:marLeft w:val="547"/>
          <w:marRight w:val="0"/>
          <w:marTop w:val="0"/>
          <w:marBottom w:val="0"/>
          <w:divBdr>
            <w:top w:val="none" w:sz="0" w:space="0" w:color="auto"/>
            <w:left w:val="none" w:sz="0" w:space="0" w:color="auto"/>
            <w:bottom w:val="none" w:sz="0" w:space="0" w:color="auto"/>
            <w:right w:val="none" w:sz="0" w:space="0" w:color="auto"/>
          </w:divBdr>
        </w:div>
        <w:div w:id="1452438773">
          <w:marLeft w:val="547"/>
          <w:marRight w:val="0"/>
          <w:marTop w:val="0"/>
          <w:marBottom w:val="0"/>
          <w:divBdr>
            <w:top w:val="none" w:sz="0" w:space="0" w:color="auto"/>
            <w:left w:val="none" w:sz="0" w:space="0" w:color="auto"/>
            <w:bottom w:val="none" w:sz="0" w:space="0" w:color="auto"/>
            <w:right w:val="none" w:sz="0" w:space="0" w:color="auto"/>
          </w:divBdr>
        </w:div>
        <w:div w:id="1588494241">
          <w:marLeft w:val="547"/>
          <w:marRight w:val="0"/>
          <w:marTop w:val="0"/>
          <w:marBottom w:val="0"/>
          <w:divBdr>
            <w:top w:val="none" w:sz="0" w:space="0" w:color="auto"/>
            <w:left w:val="none" w:sz="0" w:space="0" w:color="auto"/>
            <w:bottom w:val="none" w:sz="0" w:space="0" w:color="auto"/>
            <w:right w:val="none" w:sz="0" w:space="0" w:color="auto"/>
          </w:divBdr>
        </w:div>
        <w:div w:id="1974434444">
          <w:marLeft w:val="547"/>
          <w:marRight w:val="0"/>
          <w:marTop w:val="0"/>
          <w:marBottom w:val="0"/>
          <w:divBdr>
            <w:top w:val="none" w:sz="0" w:space="0" w:color="auto"/>
            <w:left w:val="none" w:sz="0" w:space="0" w:color="auto"/>
            <w:bottom w:val="none" w:sz="0" w:space="0" w:color="auto"/>
            <w:right w:val="none" w:sz="0" w:space="0" w:color="auto"/>
          </w:divBdr>
        </w:div>
      </w:divsChild>
    </w:div>
    <w:div w:id="2016836485">
      <w:bodyDiv w:val="1"/>
      <w:marLeft w:val="0"/>
      <w:marRight w:val="0"/>
      <w:marTop w:val="0"/>
      <w:marBottom w:val="0"/>
      <w:divBdr>
        <w:top w:val="none" w:sz="0" w:space="0" w:color="auto"/>
        <w:left w:val="none" w:sz="0" w:space="0" w:color="auto"/>
        <w:bottom w:val="none" w:sz="0" w:space="0" w:color="auto"/>
        <w:right w:val="none" w:sz="0" w:space="0" w:color="auto"/>
      </w:divBdr>
    </w:div>
    <w:div w:id="2093895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chart" Target="charts/chart12.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chart" Target="charts/chart11.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oleObject" Target="embeddings/Microsoft_Excel_97-2003_Worksheet.xls"/><Relationship Id="rId28" Type="http://schemas.openxmlformats.org/officeDocument/2006/relationships/fontTable" Target="fontTable.xml"/><Relationship Id="rId10" Type="http://schemas.openxmlformats.org/officeDocument/2006/relationships/chart" Target="charts/chart1.xml"/><Relationship Id="rId19" Type="http://schemas.openxmlformats.org/officeDocument/2006/relationships/chart" Target="charts/chart10.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chart" Target="charts/chart5.xml"/><Relationship Id="rId22" Type="http://schemas.openxmlformats.org/officeDocument/2006/relationships/image" Target="media/image6.emf"/><Relationship Id="rId27" Type="http://schemas.openxmlformats.org/officeDocument/2006/relationships/header" Target="header2.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5" Type="http://schemas.openxmlformats.org/officeDocument/2006/relationships/oleObject" Target="file:///\\192.168.0.231\pk-ruse\Analizi\2017\&#1047;&#1072;%20&#1043;&#1060;&#1054;%202017\&#1058;&#1072;&#1073;&#1083;&#1080;&#1094;&#1080;-&#1043;&#1060;&#1054;-&#1040;&#1085;&#1072;&#1083;&#1080;&#1079;%20&#1058;&#1098;&#1088;&#1075;.&#1095;&#1072;&#1089;&#1090;.xlsx" TargetMode="External"/><Relationship Id="rId4" Type="http://schemas.openxmlformats.org/officeDocument/2006/relationships/image" Target="../media/image4.JPG"/></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5" Type="http://schemas.openxmlformats.org/officeDocument/2006/relationships/oleObject" Target="file:///\\192.168.0.231\pk-ruse\Analizi\2017\&#1047;&#1072;%20&#1043;&#1060;&#1054;%202017\&#1058;&#1072;&#1073;&#1083;&#1080;&#1094;&#1080;-&#1043;&#1060;&#1054;-&#1040;&#1085;&#1072;&#1083;&#1080;&#1079;%20&#1058;&#1098;&#1088;&#1075;.&#1095;&#1072;&#1089;&#1090;.xlsx" TargetMode="External"/><Relationship Id="rId4" Type="http://schemas.openxmlformats.org/officeDocument/2006/relationships/image" Target="../media/image5.jpg"/></Relationships>
</file>

<file path=word/charts/_rels/chart3.xml.rels><?xml version="1.0" encoding="UTF-8" standalone="yes"?>
<Relationships xmlns="http://schemas.openxmlformats.org/package/2006/relationships"><Relationship Id="rId3" Type="http://schemas.openxmlformats.org/officeDocument/2006/relationships/oleObject" Target="file:///\\192.168.0.231\pk-ruse\Analizi\2017\&#1047;&#1072;%20&#1043;&#1060;&#1054;%202017\&#1058;&#1072;&#1073;&#1083;&#1080;&#1094;&#1080;-&#1043;&#1060;&#1054;-&#1040;&#1085;&#1072;&#1083;&#1080;&#1079;%20&#1058;&#1098;&#1088;&#1075;.&#1095;&#1072;&#1089;&#1090;.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192.168.0.231\pk-ruse\Analizi\2017\&#1047;&#1072;%20&#1043;&#1060;&#1054;%202017\&#1058;&#1072;&#1073;&#1083;&#1080;&#1094;&#1080;-&#1043;&#1060;&#1054;-&#1040;&#1085;&#1072;&#1083;&#1080;&#1079;%20&#1058;&#1098;&#1088;&#1075;.&#1095;&#1072;&#1089;&#1090;.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1" Type="http://schemas.openxmlformats.org/officeDocument/2006/relationships/oleObject" Target="file:///\\192.168.0.231\pk-ruse\Analizi\2017\&#1047;&#1072;%20&#1043;&#1060;&#1054;%202017\&#1058;&#1072;&#1073;&#1083;&#1080;&#1094;&#1080;-&#1043;&#1060;&#1054;-&#1040;&#1085;&#1072;&#1083;&#1080;&#1079;%20&#1058;&#1098;&#1088;&#1075;.&#1095;&#1072;&#1089;&#1090;.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192.168.0.231\pk-ruse\Analizi\2017\&#1047;&#1072;%20&#1043;&#1060;&#1054;%202017\&#1058;&#1072;&#1073;&#1083;&#1080;&#1094;&#1080;-&#1043;&#1060;&#1054;-&#1040;&#1085;&#1072;&#1083;&#1080;&#1079;%20&#1058;&#1098;&#1088;&#1075;.&#1095;&#1072;&#1089;&#1090;.xlsx" TargetMode="External"/></Relationships>
</file>

<file path=word/charts/_rels/chart7.xml.rels><?xml version="1.0" encoding="UTF-8" standalone="yes"?>
<Relationships xmlns="http://schemas.openxmlformats.org/package/2006/relationships"><Relationship Id="rId3" Type="http://schemas.openxmlformats.org/officeDocument/2006/relationships/oleObject" Target="file:///\\192.168.0.231\pk-ruse\Analizi\2017\&#1047;&#1072;%20&#1043;&#1060;&#1054;%202017\&#1058;&#1072;&#1073;&#1083;&#1080;&#1094;&#1080;-&#1043;&#1060;&#1054;-&#1040;&#1085;&#1072;&#1083;&#1080;&#1079;%20&#1058;&#1098;&#1088;&#1075;.&#1095;&#1072;&#1089;&#1090;.xlsx" TargetMode="External"/><Relationship Id="rId2" Type="http://schemas.microsoft.com/office/2011/relationships/chartColorStyle" Target="colors5.xml"/><Relationship Id="rId1" Type="http://schemas.microsoft.com/office/2011/relationships/chartStyle" Target="style5.xm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file:///\\192.168.0.231\pk-ruse\Analizi\2017\&#1047;&#1072;%20&#1043;&#1060;&#1054;%202017\Tables_GFO_2017.xlsx" TargetMode="Externa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file:///\\192.168.0.231\pk-ruse\Analizi\2017\&#1047;&#1072;%20&#1043;&#1060;&#1054;%202017\Tables_GFO_2017.xlsx"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oleObject" Target="file:///\\192.168.0.231\pk-ruse\Analizi\2017\&#1047;&#1072;%20&#1043;&#1060;&#1054;%202017\Tables_GFO_2017.xlsx" TargetMode="External"/></Relationships>
</file>

<file path=word/charts/_rels/chart11.xml.rels><?xml version="1.0" encoding="UTF-8" standalone="yes"?>
<Relationships xmlns="http://schemas.openxmlformats.org/package/2006/relationships"><Relationship Id="rId3" Type="http://schemas.openxmlformats.org/officeDocument/2006/relationships/oleObject" Target="file:///\\192.168.0.231\pk-ruse\Analizi\2017\&#1047;&#1072;%20&#1043;&#1060;&#1054;%202017\Tables_GFO_2017.xlsx" TargetMode="External"/><Relationship Id="rId2" Type="http://schemas.microsoft.com/office/2011/relationships/chartColorStyle" Target="colors9.xml"/><Relationship Id="rId1" Type="http://schemas.microsoft.com/office/2011/relationships/chartStyle" Target="style9.xml"/></Relationships>
</file>

<file path=word/charts/_rels/chart12.xml.rels><?xml version="1.0" encoding="UTF-8" standalone="yes"?>
<Relationships xmlns="http://schemas.openxmlformats.org/package/2006/relationships"><Relationship Id="rId3" Type="http://schemas.openxmlformats.org/officeDocument/2006/relationships/oleObject" Target="file:///\\192.168.0.231\pk-ruse\Analizi\2017\&#1047;&#1072;%20&#1043;&#1060;&#1054;%202017\Tables_GFO_2017.xlsx" TargetMode="External"/><Relationship Id="rId2" Type="http://schemas.microsoft.com/office/2011/relationships/chartColorStyle" Target="colors10.xml"/><Relationship Id="rId1" Type="http://schemas.microsoft.com/office/2011/relationships/chartStyle" Target="style10.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none" spc="50" baseline="0">
                <a:solidFill>
                  <a:sysClr val="windowText" lastClr="000000"/>
                </a:solidFill>
                <a:latin typeface="+mn-lt"/>
                <a:ea typeface="+mn-ea"/>
                <a:cs typeface="+mn-cs"/>
              </a:defRPr>
            </a:pPr>
            <a:r>
              <a:rPr lang="bg-BG" sz="1200" cap="none" baseline="0">
                <a:solidFill>
                  <a:sysClr val="windowText" lastClr="000000"/>
                </a:solidFill>
              </a:rPr>
              <a:t>ТОВАРООБОРОТ 2017г.</a:t>
            </a:r>
          </a:p>
          <a:p>
            <a:pPr>
              <a:defRPr sz="1200" cap="none">
                <a:solidFill>
                  <a:sysClr val="windowText" lastClr="000000"/>
                </a:solidFill>
              </a:defRPr>
            </a:pPr>
            <a:r>
              <a:rPr lang="bg-BG" sz="1200" b="0" cap="none" baseline="0">
                <a:solidFill>
                  <a:sysClr val="windowText" lastClr="000000"/>
                </a:solidFill>
              </a:rPr>
              <a:t>/по месеци/</a:t>
            </a:r>
          </a:p>
        </c:rich>
      </c:tx>
      <c:overlay val="0"/>
      <c:spPr>
        <a:noFill/>
        <a:ln>
          <a:noFill/>
        </a:ln>
        <a:effectLst/>
      </c:spPr>
      <c:txPr>
        <a:bodyPr rot="0" spcFirstLastPara="1" vertOverflow="ellipsis" vert="horz" wrap="square" anchor="ctr" anchorCtr="1"/>
        <a:lstStyle/>
        <a:p>
          <a:pPr>
            <a:defRPr sz="1200" b="1" i="0" u="none" strike="noStrike" kern="1200" cap="none" spc="50" baseline="0">
              <a:solidFill>
                <a:sysClr val="windowText" lastClr="000000"/>
              </a:solidFill>
              <a:latin typeface="+mn-lt"/>
              <a:ea typeface="+mn-ea"/>
              <a:cs typeface="+mn-cs"/>
            </a:defRPr>
          </a:pPr>
          <a:endParaRPr lang="bg-BG"/>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6946961186605229E-2"/>
          <c:y val="0.1344215207520425"/>
          <c:w val="0.87895005540925641"/>
          <c:h val="0.68847026493215302"/>
        </c:manualLayout>
      </c:layout>
      <c:bar3DChart>
        <c:barDir val="col"/>
        <c:grouping val="clustered"/>
        <c:varyColors val="0"/>
        <c:ser>
          <c:idx val="0"/>
          <c:order val="0"/>
          <c:tx>
            <c:strRef>
              <c:f>'[Таблици-ГФО-Анализ Търг.част.xlsx]Лист1'!$B$33</c:f>
              <c:strCache>
                <c:ptCount val="1"/>
                <c:pt idx="0">
                  <c:v>2017 г.</c:v>
                </c:pt>
              </c:strCache>
            </c:strRef>
          </c:tx>
          <c:spPr>
            <a:gradFill>
              <a:gsLst>
                <a:gs pos="100000">
                  <a:schemeClr val="accent1">
                    <a:alpha val="0"/>
                  </a:schemeClr>
                </a:gs>
                <a:gs pos="50000">
                  <a:schemeClr val="accent1"/>
                </a:gs>
              </a:gsLst>
              <a:lin ang="5400000" scaled="0"/>
            </a:gradFill>
            <a:ln>
              <a:solidFill>
                <a:schemeClr val="accent1">
                  <a:lumMod val="75000"/>
                </a:schemeClr>
              </a:solidFill>
            </a:ln>
            <a:effectLst/>
            <a:sp3d>
              <a:contourClr>
                <a:schemeClr val="accent1">
                  <a:lumMod val="75000"/>
                </a:schemeClr>
              </a:contourClr>
            </a:sp3d>
          </c:spPr>
          <c:invertIfNegative val="0"/>
          <c:cat>
            <c:strRef>
              <c:f>'[Таблици-ГФО-Анализ Търг.част.xlsx]Лист1'!$A$34:$A$45</c:f>
              <c:strCache>
                <c:ptCount val="12"/>
                <c:pt idx="0">
                  <c:v>Януари</c:v>
                </c:pt>
                <c:pt idx="1">
                  <c:v>Февруари</c:v>
                </c:pt>
                <c:pt idx="2">
                  <c:v>Март</c:v>
                </c:pt>
                <c:pt idx="3">
                  <c:v>Април</c:v>
                </c:pt>
                <c:pt idx="4">
                  <c:v>Май</c:v>
                </c:pt>
                <c:pt idx="5">
                  <c:v>Юни</c:v>
                </c:pt>
                <c:pt idx="6">
                  <c:v>Юли</c:v>
                </c:pt>
                <c:pt idx="7">
                  <c:v>Август</c:v>
                </c:pt>
                <c:pt idx="8">
                  <c:v>Септември</c:v>
                </c:pt>
                <c:pt idx="9">
                  <c:v>Октомври</c:v>
                </c:pt>
                <c:pt idx="10">
                  <c:v>Ноември</c:v>
                </c:pt>
                <c:pt idx="11">
                  <c:v>Декември</c:v>
                </c:pt>
              </c:strCache>
            </c:strRef>
          </c:cat>
          <c:val>
            <c:numRef>
              <c:f>'[Таблици-ГФО-Анализ Търг.част.xlsx]Лист1'!$B$34:$B$45</c:f>
              <c:numCache>
                <c:formatCode>#,##0</c:formatCode>
                <c:ptCount val="12"/>
                <c:pt idx="0">
                  <c:v>35014</c:v>
                </c:pt>
                <c:pt idx="1">
                  <c:v>30130</c:v>
                </c:pt>
                <c:pt idx="2">
                  <c:v>64969</c:v>
                </c:pt>
                <c:pt idx="3">
                  <c:v>90774</c:v>
                </c:pt>
                <c:pt idx="4">
                  <c:v>92984</c:v>
                </c:pt>
                <c:pt idx="5">
                  <c:v>79660</c:v>
                </c:pt>
                <c:pt idx="6">
                  <c:v>74095</c:v>
                </c:pt>
                <c:pt idx="7">
                  <c:v>36506</c:v>
                </c:pt>
                <c:pt idx="8">
                  <c:v>40271</c:v>
                </c:pt>
                <c:pt idx="9">
                  <c:v>39161</c:v>
                </c:pt>
                <c:pt idx="10">
                  <c:v>58502</c:v>
                </c:pt>
                <c:pt idx="11">
                  <c:v>85494</c:v>
                </c:pt>
              </c:numCache>
            </c:numRef>
          </c:val>
          <c:extLst>
            <c:ext xmlns:c16="http://schemas.microsoft.com/office/drawing/2014/chart" uri="{C3380CC4-5D6E-409C-BE32-E72D297353CC}">
              <c16:uniqueId val="{00000000-B65E-4054-B3A4-4EA9622E3932}"/>
            </c:ext>
          </c:extLst>
        </c:ser>
        <c:ser>
          <c:idx val="1"/>
          <c:order val="1"/>
          <c:tx>
            <c:strRef>
              <c:f>'[Таблици-ГФО-Анализ Търг.част.xlsx]Лист1'!$C$33</c:f>
              <c:strCache>
                <c:ptCount val="1"/>
                <c:pt idx="0">
                  <c:v>БП '17</c:v>
                </c:pt>
              </c:strCache>
            </c:strRef>
          </c:tx>
          <c:spPr>
            <a:gradFill>
              <a:gsLst>
                <a:gs pos="100000">
                  <a:schemeClr val="accent2">
                    <a:alpha val="0"/>
                  </a:schemeClr>
                </a:gs>
                <a:gs pos="50000">
                  <a:schemeClr val="accent2"/>
                </a:gs>
              </a:gsLst>
              <a:lin ang="5400000" scaled="0"/>
            </a:gradFill>
            <a:ln>
              <a:solidFill>
                <a:schemeClr val="accent2">
                  <a:lumMod val="75000"/>
                </a:schemeClr>
              </a:solidFill>
            </a:ln>
            <a:effectLst/>
            <a:sp3d>
              <a:contourClr>
                <a:schemeClr val="accent2">
                  <a:lumMod val="75000"/>
                </a:schemeClr>
              </a:contourClr>
            </a:sp3d>
          </c:spPr>
          <c:invertIfNegative val="0"/>
          <c:cat>
            <c:strRef>
              <c:f>'[Таблици-ГФО-Анализ Търг.част.xlsx]Лист1'!$A$34:$A$45</c:f>
              <c:strCache>
                <c:ptCount val="12"/>
                <c:pt idx="0">
                  <c:v>Януари</c:v>
                </c:pt>
                <c:pt idx="1">
                  <c:v>Февруари</c:v>
                </c:pt>
                <c:pt idx="2">
                  <c:v>Март</c:v>
                </c:pt>
                <c:pt idx="3">
                  <c:v>Април</c:v>
                </c:pt>
                <c:pt idx="4">
                  <c:v>Май</c:v>
                </c:pt>
                <c:pt idx="5">
                  <c:v>Юни</c:v>
                </c:pt>
                <c:pt idx="6">
                  <c:v>Юли</c:v>
                </c:pt>
                <c:pt idx="7">
                  <c:v>Август</c:v>
                </c:pt>
                <c:pt idx="8">
                  <c:v>Септември</c:v>
                </c:pt>
                <c:pt idx="9">
                  <c:v>Октомври</c:v>
                </c:pt>
                <c:pt idx="10">
                  <c:v>Ноември</c:v>
                </c:pt>
                <c:pt idx="11">
                  <c:v>Декември</c:v>
                </c:pt>
              </c:strCache>
            </c:strRef>
          </c:cat>
          <c:val>
            <c:numRef>
              <c:f>'[Таблици-ГФО-Анализ Търг.част.xlsx]Лист1'!$C$34:$C$45</c:f>
              <c:numCache>
                <c:formatCode>#,##0</c:formatCode>
                <c:ptCount val="12"/>
                <c:pt idx="0">
                  <c:v>51000</c:v>
                </c:pt>
                <c:pt idx="1">
                  <c:v>68000</c:v>
                </c:pt>
                <c:pt idx="2">
                  <c:v>65000</c:v>
                </c:pt>
                <c:pt idx="3">
                  <c:v>64000</c:v>
                </c:pt>
                <c:pt idx="4">
                  <c:v>45000</c:v>
                </c:pt>
                <c:pt idx="5">
                  <c:v>42000</c:v>
                </c:pt>
                <c:pt idx="6">
                  <c:v>51000</c:v>
                </c:pt>
                <c:pt idx="7">
                  <c:v>42000</c:v>
                </c:pt>
                <c:pt idx="8">
                  <c:v>47000</c:v>
                </c:pt>
                <c:pt idx="9">
                  <c:v>56000</c:v>
                </c:pt>
                <c:pt idx="10">
                  <c:v>48000</c:v>
                </c:pt>
                <c:pt idx="11">
                  <c:v>44000</c:v>
                </c:pt>
              </c:numCache>
            </c:numRef>
          </c:val>
          <c:extLst>
            <c:ext xmlns:c16="http://schemas.microsoft.com/office/drawing/2014/chart" uri="{C3380CC4-5D6E-409C-BE32-E72D297353CC}">
              <c16:uniqueId val="{00000001-B65E-4054-B3A4-4EA9622E3932}"/>
            </c:ext>
          </c:extLst>
        </c:ser>
        <c:ser>
          <c:idx val="2"/>
          <c:order val="2"/>
          <c:tx>
            <c:strRef>
              <c:f>'[Таблици-ГФО-Анализ Търг.част.xlsx]Лист1'!$D$33</c:f>
              <c:strCache>
                <c:ptCount val="1"/>
                <c:pt idx="0">
                  <c:v>2016 г.</c:v>
                </c:pt>
              </c:strCache>
            </c:strRef>
          </c:tx>
          <c:spPr>
            <a:gradFill flip="none" rotWithShape="1">
              <a:gsLst>
                <a:gs pos="0">
                  <a:schemeClr val="accent3">
                    <a:lumMod val="5000"/>
                    <a:lumOff val="95000"/>
                  </a:schemeClr>
                </a:gs>
                <a:gs pos="53000">
                  <a:schemeClr val="accent3">
                    <a:lumMod val="45000"/>
                    <a:lumOff val="55000"/>
                  </a:schemeClr>
                </a:gs>
                <a:gs pos="83000">
                  <a:schemeClr val="accent3">
                    <a:lumMod val="45000"/>
                    <a:lumOff val="55000"/>
                  </a:schemeClr>
                </a:gs>
                <a:gs pos="100000">
                  <a:schemeClr val="accent3">
                    <a:lumMod val="30000"/>
                    <a:lumOff val="70000"/>
                  </a:schemeClr>
                </a:gs>
              </a:gsLst>
              <a:lin ang="5400000" scaled="1"/>
              <a:tileRect/>
            </a:gradFill>
            <a:ln>
              <a:solidFill>
                <a:schemeClr val="bg1">
                  <a:lumMod val="50000"/>
                </a:schemeClr>
              </a:solidFill>
            </a:ln>
            <a:effectLst/>
            <a:sp3d>
              <a:contourClr>
                <a:schemeClr val="bg1">
                  <a:lumMod val="50000"/>
                </a:schemeClr>
              </a:contourClr>
            </a:sp3d>
          </c:spPr>
          <c:invertIfNegative val="0"/>
          <c:cat>
            <c:strRef>
              <c:f>'[Таблици-ГФО-Анализ Търг.част.xlsx]Лист1'!$A$34:$A$45</c:f>
              <c:strCache>
                <c:ptCount val="12"/>
                <c:pt idx="0">
                  <c:v>Януари</c:v>
                </c:pt>
                <c:pt idx="1">
                  <c:v>Февруари</c:v>
                </c:pt>
                <c:pt idx="2">
                  <c:v>Март</c:v>
                </c:pt>
                <c:pt idx="3">
                  <c:v>Април</c:v>
                </c:pt>
                <c:pt idx="4">
                  <c:v>Май</c:v>
                </c:pt>
                <c:pt idx="5">
                  <c:v>Юни</c:v>
                </c:pt>
                <c:pt idx="6">
                  <c:v>Юли</c:v>
                </c:pt>
                <c:pt idx="7">
                  <c:v>Август</c:v>
                </c:pt>
                <c:pt idx="8">
                  <c:v>Септември</c:v>
                </c:pt>
                <c:pt idx="9">
                  <c:v>Октомври</c:v>
                </c:pt>
                <c:pt idx="10">
                  <c:v>Ноември</c:v>
                </c:pt>
                <c:pt idx="11">
                  <c:v>Декември</c:v>
                </c:pt>
              </c:strCache>
            </c:strRef>
          </c:cat>
          <c:val>
            <c:numRef>
              <c:f>'[Таблици-ГФО-Анализ Търг.част.xlsx]Лист1'!$D$34:$D$45</c:f>
              <c:numCache>
                <c:formatCode>#,##0</c:formatCode>
                <c:ptCount val="12"/>
                <c:pt idx="0">
                  <c:v>57689</c:v>
                </c:pt>
                <c:pt idx="1">
                  <c:v>77713</c:v>
                </c:pt>
                <c:pt idx="2">
                  <c:v>74569</c:v>
                </c:pt>
                <c:pt idx="3">
                  <c:v>74137</c:v>
                </c:pt>
                <c:pt idx="4">
                  <c:v>50909</c:v>
                </c:pt>
                <c:pt idx="5">
                  <c:v>47669</c:v>
                </c:pt>
                <c:pt idx="6">
                  <c:v>56939</c:v>
                </c:pt>
                <c:pt idx="7">
                  <c:v>47349</c:v>
                </c:pt>
                <c:pt idx="8">
                  <c:v>52326</c:v>
                </c:pt>
                <c:pt idx="9">
                  <c:v>63509</c:v>
                </c:pt>
                <c:pt idx="10">
                  <c:v>54178</c:v>
                </c:pt>
                <c:pt idx="11">
                  <c:v>48912</c:v>
                </c:pt>
              </c:numCache>
            </c:numRef>
          </c:val>
          <c:extLst>
            <c:ext xmlns:c16="http://schemas.microsoft.com/office/drawing/2014/chart" uri="{C3380CC4-5D6E-409C-BE32-E72D297353CC}">
              <c16:uniqueId val="{00000002-B65E-4054-B3A4-4EA9622E3932}"/>
            </c:ext>
          </c:extLst>
        </c:ser>
        <c:dLbls>
          <c:showLegendKey val="0"/>
          <c:showVal val="0"/>
          <c:showCatName val="0"/>
          <c:showSerName val="0"/>
          <c:showPercent val="0"/>
          <c:showBubbleSize val="0"/>
        </c:dLbls>
        <c:gapWidth val="150"/>
        <c:gapDepth val="0"/>
        <c:shape val="box"/>
        <c:axId val="33264768"/>
        <c:axId val="33266688"/>
        <c:axId val="0"/>
      </c:bar3DChart>
      <c:catAx>
        <c:axId val="33264768"/>
        <c:scaling>
          <c:orientation val="minMax"/>
        </c:scaling>
        <c:delete val="0"/>
        <c:axPos val="b"/>
        <c:title>
          <c:tx>
            <c:rich>
              <a:bodyPr rot="0" spcFirstLastPara="1" vertOverflow="ellipsis" vert="horz" wrap="square" anchor="ctr" anchorCtr="1"/>
              <a:lstStyle/>
              <a:p>
                <a:pPr>
                  <a:defRPr sz="900" b="0" i="0" u="none" strike="noStrike" kern="1200" cap="none" baseline="0">
                    <a:solidFill>
                      <a:sysClr val="windowText" lastClr="000000"/>
                    </a:solidFill>
                    <a:latin typeface="+mn-lt"/>
                    <a:ea typeface="+mn-ea"/>
                    <a:cs typeface="+mn-cs"/>
                  </a:defRPr>
                </a:pPr>
                <a:r>
                  <a:rPr lang="bg-BG" cap="none" baseline="0">
                    <a:solidFill>
                      <a:sysClr val="windowText" lastClr="000000"/>
                    </a:solidFill>
                  </a:rPr>
                  <a:t>тона</a:t>
                </a:r>
              </a:p>
            </c:rich>
          </c:tx>
          <c:layout>
            <c:manualLayout>
              <c:xMode val="edge"/>
              <c:yMode val="edge"/>
              <c:x val="3.6911838376220828E-2"/>
              <c:y val="7.0609792448376119E-2"/>
            </c:manualLayout>
          </c:layout>
          <c:overlay val="0"/>
          <c:spPr>
            <a:noFill/>
            <a:ln>
              <a:noFill/>
            </a:ln>
            <a:effectLst/>
          </c:spPr>
          <c:txPr>
            <a:bodyPr rot="0" spcFirstLastPara="1" vertOverflow="ellipsis" vert="horz" wrap="square" anchor="ctr" anchorCtr="1"/>
            <a:lstStyle/>
            <a:p>
              <a:pPr>
                <a:defRPr sz="900" b="0" i="0" u="none" strike="noStrike" kern="1200" cap="none" baseline="0">
                  <a:solidFill>
                    <a:sysClr val="windowText" lastClr="000000"/>
                  </a:solidFill>
                  <a:latin typeface="+mn-lt"/>
                  <a:ea typeface="+mn-ea"/>
                  <a:cs typeface="+mn-cs"/>
                </a:defRPr>
              </a:pPr>
              <a:endParaRPr lang="bg-BG"/>
            </a:p>
          </c:txPr>
        </c:title>
        <c:numFmt formatCode="General" sourceLinked="1"/>
        <c:majorTickMark val="cross"/>
        <c:minorTickMark val="none"/>
        <c:tickLblPos val="nextTo"/>
        <c:spPr>
          <a:noFill/>
          <a:ln>
            <a:solidFill>
              <a:schemeClr val="accent1">
                <a:lumMod val="40000"/>
                <a:lumOff val="60000"/>
              </a:schemeClr>
            </a:solidFill>
            <a:headEnd w="med" len="sm"/>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33266688"/>
        <c:crosses val="autoZero"/>
        <c:auto val="1"/>
        <c:lblAlgn val="ctr"/>
        <c:lblOffset val="100"/>
        <c:noMultiLvlLbl val="0"/>
      </c:catAx>
      <c:valAx>
        <c:axId val="33266688"/>
        <c:scaling>
          <c:orientation val="minMax"/>
        </c:scaling>
        <c:delete val="0"/>
        <c:axPos val="l"/>
        <c:majorGridlines>
          <c:spPr>
            <a:ln w="9525" cap="flat" cmpd="sng" algn="ctr">
              <a:solidFill>
                <a:schemeClr val="tx1">
                  <a:lumMod val="5000"/>
                  <a:lumOff val="9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33264768"/>
        <c:crosses val="autoZero"/>
        <c:crossBetween val="between"/>
      </c:valAx>
      <c:spPr>
        <a:noFill/>
        <a:ln>
          <a:noFill/>
        </a:ln>
        <a:effectLst/>
      </c:spPr>
    </c:plotArea>
    <c:legend>
      <c:legendPos val="b"/>
      <c:layout>
        <c:manualLayout>
          <c:xMode val="edge"/>
          <c:yMode val="edge"/>
          <c:x val="0.77014380526583759"/>
          <c:y val="9.7594803616906936E-2"/>
          <c:w val="0.14116929317871768"/>
          <c:h val="0.24958620528517023"/>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blipFill dpi="0" rotWithShape="1">
      <a:blip xmlns:r="http://schemas.openxmlformats.org/officeDocument/2006/relationships" r:embed="rId4">
        <a:alphaModFix amt="28000"/>
      </a:blip>
      <a:srcRect/>
      <a:stretch>
        <a:fillRect/>
      </a:stretch>
    </a:blipFill>
    <a:ln w="9525" cap="flat" cmpd="sng" algn="ctr">
      <a:solidFill>
        <a:schemeClr val="tx1">
          <a:lumMod val="15000"/>
          <a:lumOff val="85000"/>
        </a:schemeClr>
      </a:solidFill>
      <a:round/>
    </a:ln>
    <a:effectLst/>
  </c:spPr>
  <c:txPr>
    <a:bodyPr/>
    <a:lstStyle/>
    <a:p>
      <a:pPr>
        <a:defRPr/>
      </a:pPr>
      <a:endParaRPr lang="bg-BG"/>
    </a:p>
  </c:txPr>
  <c:externalData r:id="rId5">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bg-BG">
                <a:solidFill>
                  <a:sysClr val="windowText" lastClr="000000"/>
                </a:solidFill>
              </a:rPr>
              <a:t>Товарооборот по основни групи товари</a:t>
            </a:r>
          </a:p>
        </c:rich>
      </c:tx>
      <c:layout>
        <c:manualLayout>
          <c:xMode val="edge"/>
          <c:yMode val="edge"/>
          <c:x val="0.15432633420822398"/>
          <c:y val="5.0925925925925923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bg-BG"/>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9247594050743664E-2"/>
          <c:y val="0.15021264291116151"/>
          <c:w val="0.89019685039370078"/>
          <c:h val="0.73121891543218109"/>
        </c:manualLayout>
      </c:layout>
      <c:bar3DChart>
        <c:barDir val="col"/>
        <c:grouping val="clustered"/>
        <c:varyColors val="0"/>
        <c:ser>
          <c:idx val="0"/>
          <c:order val="0"/>
          <c:tx>
            <c:strRef>
              <c:f>'[Таблици-ГФО-Анализ Търг.част.xlsx]Лист1'!$A$2</c:f>
              <c:strCache>
                <c:ptCount val="1"/>
                <c:pt idx="0">
                  <c:v>насипни</c:v>
                </c:pt>
              </c:strCache>
            </c:strRef>
          </c:tx>
          <c:spPr>
            <a:solidFill>
              <a:schemeClr val="accent1"/>
            </a:solidFill>
            <a:ln>
              <a:noFill/>
            </a:ln>
            <a:effectLst/>
            <a:sp3d/>
          </c:spPr>
          <c:invertIfNegative val="0"/>
          <c:dPt>
            <c:idx val="0"/>
            <c:invertIfNegative val="0"/>
            <c:bubble3D val="0"/>
            <c:spPr>
              <a:solidFill>
                <a:schemeClr val="accent1"/>
              </a:solidFill>
              <a:ln>
                <a:noFill/>
              </a:ln>
              <a:effectLst/>
              <a:scene3d>
                <a:camera prst="orthographicFront"/>
                <a:lightRig rig="threePt" dir="t"/>
              </a:scene3d>
              <a:sp3d>
                <a:bevelT/>
              </a:sp3d>
            </c:spPr>
            <c:extLst>
              <c:ext xmlns:c16="http://schemas.microsoft.com/office/drawing/2014/chart" uri="{C3380CC4-5D6E-409C-BE32-E72D297353CC}">
                <c16:uniqueId val="{00000001-D4FB-4AFA-A7A2-CEC569824A21}"/>
              </c:ext>
            </c:extLst>
          </c:dPt>
          <c:dPt>
            <c:idx val="1"/>
            <c:invertIfNegative val="0"/>
            <c:bubble3D val="0"/>
            <c:spPr>
              <a:solidFill>
                <a:schemeClr val="accent1"/>
              </a:solidFill>
              <a:ln>
                <a:noFill/>
              </a:ln>
              <a:effectLst/>
              <a:scene3d>
                <a:camera prst="orthographicFront"/>
                <a:lightRig rig="threePt" dir="t"/>
              </a:scene3d>
              <a:sp3d>
                <a:bevelT/>
              </a:sp3d>
            </c:spPr>
            <c:extLst>
              <c:ext xmlns:c16="http://schemas.microsoft.com/office/drawing/2014/chart" uri="{C3380CC4-5D6E-409C-BE32-E72D297353CC}">
                <c16:uniqueId val="{00000003-D4FB-4AFA-A7A2-CEC569824A21}"/>
              </c:ext>
            </c:extLst>
          </c:dPt>
          <c:cat>
            <c:numRef>
              <c:f>'[Таблици-ГФО-Анализ Търг.част.xlsx]Лист1'!$B$1:$C$1</c:f>
              <c:numCache>
                <c:formatCode>General</c:formatCode>
                <c:ptCount val="2"/>
                <c:pt idx="0">
                  <c:v>2017</c:v>
                </c:pt>
                <c:pt idx="1">
                  <c:v>2016</c:v>
                </c:pt>
              </c:numCache>
            </c:numRef>
          </c:cat>
          <c:val>
            <c:numRef>
              <c:f>'[Таблици-ГФО-Анализ Търг.част.xlsx]Лист1'!$B$2:$C$2</c:f>
              <c:numCache>
                <c:formatCode>General</c:formatCode>
                <c:ptCount val="2"/>
                <c:pt idx="0">
                  <c:v>645</c:v>
                </c:pt>
                <c:pt idx="1">
                  <c:v>480</c:v>
                </c:pt>
              </c:numCache>
            </c:numRef>
          </c:val>
          <c:extLst>
            <c:ext xmlns:c16="http://schemas.microsoft.com/office/drawing/2014/chart" uri="{C3380CC4-5D6E-409C-BE32-E72D297353CC}">
              <c16:uniqueId val="{00000004-D4FB-4AFA-A7A2-CEC569824A21}"/>
            </c:ext>
          </c:extLst>
        </c:ser>
        <c:ser>
          <c:idx val="1"/>
          <c:order val="1"/>
          <c:tx>
            <c:strRef>
              <c:f>'[Таблици-ГФО-Анализ Търг.част.xlsx]Лист1'!$A$3</c:f>
              <c:strCache>
                <c:ptCount val="1"/>
                <c:pt idx="0">
                  <c:v>генерални</c:v>
                </c:pt>
              </c:strCache>
            </c:strRef>
          </c:tx>
          <c:spPr>
            <a:solidFill>
              <a:schemeClr val="accent2"/>
            </a:solidFill>
            <a:ln>
              <a:noFill/>
            </a:ln>
            <a:effectLst/>
            <a:scene3d>
              <a:camera prst="orthographicFront"/>
              <a:lightRig rig="threePt" dir="t"/>
            </a:scene3d>
            <a:sp3d>
              <a:bevelT/>
            </a:sp3d>
          </c:spPr>
          <c:invertIfNegative val="0"/>
          <c:cat>
            <c:numRef>
              <c:f>'[Таблици-ГФО-Анализ Търг.част.xlsx]Лист1'!$B$1:$C$1</c:f>
              <c:numCache>
                <c:formatCode>General</c:formatCode>
                <c:ptCount val="2"/>
                <c:pt idx="0">
                  <c:v>2017</c:v>
                </c:pt>
                <c:pt idx="1">
                  <c:v>2016</c:v>
                </c:pt>
              </c:numCache>
            </c:numRef>
          </c:cat>
          <c:val>
            <c:numRef>
              <c:f>'[Таблици-ГФО-Анализ Търг.част.xlsx]Лист1'!$B$3:$C$3</c:f>
              <c:numCache>
                <c:formatCode>General</c:formatCode>
                <c:ptCount val="2"/>
                <c:pt idx="0">
                  <c:v>82</c:v>
                </c:pt>
                <c:pt idx="1">
                  <c:v>226</c:v>
                </c:pt>
              </c:numCache>
            </c:numRef>
          </c:val>
          <c:extLst>
            <c:ext xmlns:c16="http://schemas.microsoft.com/office/drawing/2014/chart" uri="{C3380CC4-5D6E-409C-BE32-E72D297353CC}">
              <c16:uniqueId val="{00000005-D4FB-4AFA-A7A2-CEC569824A21}"/>
            </c:ext>
          </c:extLst>
        </c:ser>
        <c:dLbls>
          <c:showLegendKey val="0"/>
          <c:showVal val="0"/>
          <c:showCatName val="0"/>
          <c:showSerName val="0"/>
          <c:showPercent val="0"/>
          <c:showBubbleSize val="0"/>
        </c:dLbls>
        <c:gapWidth val="142"/>
        <c:gapDepth val="119"/>
        <c:shape val="box"/>
        <c:axId val="56053760"/>
        <c:axId val="56055680"/>
        <c:axId val="0"/>
      </c:bar3DChart>
      <c:catAx>
        <c:axId val="56053760"/>
        <c:scaling>
          <c:orientation val="minMax"/>
        </c:scaling>
        <c:delete val="0"/>
        <c:axPos val="b"/>
        <c:title>
          <c:tx>
            <c:rich>
              <a:bodyPr rot="0" spcFirstLastPara="1" vertOverflow="ellipsis" vert="horz" wrap="square" anchor="ctr" anchorCtr="1"/>
              <a:lstStyle/>
              <a:p>
                <a:pPr algn="ctr">
                  <a:defRPr sz="800" b="0" i="0" u="none" strike="noStrike" kern="1200" baseline="0">
                    <a:solidFill>
                      <a:sysClr val="windowText" lastClr="000000"/>
                    </a:solidFill>
                    <a:latin typeface="+mn-lt"/>
                    <a:ea typeface="+mn-ea"/>
                    <a:cs typeface="+mn-cs"/>
                  </a:defRPr>
                </a:pPr>
                <a:r>
                  <a:rPr lang="bg-BG" sz="800">
                    <a:solidFill>
                      <a:sysClr val="windowText" lastClr="000000"/>
                    </a:solidFill>
                  </a:rPr>
                  <a:t>хил.физ.</a:t>
                </a:r>
              </a:p>
              <a:p>
                <a:pPr algn="ctr">
                  <a:defRPr sz="800">
                    <a:solidFill>
                      <a:sysClr val="windowText" lastClr="000000"/>
                    </a:solidFill>
                  </a:defRPr>
                </a:pPr>
                <a:r>
                  <a:rPr lang="bg-BG" sz="800">
                    <a:solidFill>
                      <a:sysClr val="windowText" lastClr="000000"/>
                    </a:solidFill>
                  </a:rPr>
                  <a:t>тона</a:t>
                </a:r>
              </a:p>
            </c:rich>
          </c:tx>
          <c:layout>
            <c:manualLayout>
              <c:xMode val="edge"/>
              <c:yMode val="edge"/>
              <c:x val="8.8663996050169312E-3"/>
              <c:y val="0.11520663730592998"/>
            </c:manualLayout>
          </c:layout>
          <c:overlay val="0"/>
          <c:spPr>
            <a:noFill/>
            <a:ln>
              <a:noFill/>
            </a:ln>
            <a:effectLst/>
          </c:spPr>
          <c:txPr>
            <a:bodyPr rot="0" spcFirstLastPara="1" vertOverflow="ellipsis" vert="horz" wrap="square" anchor="ctr" anchorCtr="1"/>
            <a:lstStyle/>
            <a:p>
              <a:pPr algn="ctr">
                <a:defRPr sz="800" b="0" i="0" u="none" strike="noStrike" kern="1200" baseline="0">
                  <a:solidFill>
                    <a:sysClr val="windowText" lastClr="000000"/>
                  </a:solidFill>
                  <a:latin typeface="+mn-lt"/>
                  <a:ea typeface="+mn-ea"/>
                  <a:cs typeface="+mn-cs"/>
                </a:defRPr>
              </a:pPr>
              <a:endParaRPr lang="bg-BG"/>
            </a:p>
          </c:txPr>
        </c:title>
        <c:numFmt formatCode="General" sourceLinked="1"/>
        <c:majorTickMark val="cross"/>
        <c:minorTickMark val="none"/>
        <c:tickLblPos val="nextTo"/>
        <c:spPr>
          <a:noFill/>
          <a:ln>
            <a:solidFill>
              <a:schemeClr val="bg1">
                <a:lumMod val="50000"/>
                <a:alpha val="93000"/>
              </a:schemeClr>
            </a:solidFill>
          </a:ln>
          <a:effectLst/>
        </c:spPr>
        <c:txPr>
          <a:bodyPr rot="-60000000" spcFirstLastPara="1" vertOverflow="ellipsis" vert="horz" wrap="square" anchor="ctr" anchorCtr="1"/>
          <a:lstStyle/>
          <a:p>
            <a:pPr>
              <a:defRPr sz="1050" b="0" i="0" u="none" strike="noStrike" kern="1200" baseline="0">
                <a:ln>
                  <a:noFill/>
                </a:ln>
                <a:solidFill>
                  <a:schemeClr val="dk1"/>
                </a:solidFill>
                <a:effectLst>
                  <a:outerShdw blurRad="50800" dist="12700" dir="5400000" algn="t" rotWithShape="0">
                    <a:prstClr val="black">
                      <a:alpha val="40000"/>
                    </a:prstClr>
                  </a:outerShdw>
                </a:effectLst>
                <a:latin typeface="+mn-lt"/>
                <a:ea typeface="+mn-ea"/>
                <a:cs typeface="+mn-cs"/>
              </a:defRPr>
            </a:pPr>
            <a:endParaRPr lang="bg-BG"/>
          </a:p>
        </c:txPr>
        <c:crossAx val="56055680"/>
        <c:crosses val="autoZero"/>
        <c:auto val="1"/>
        <c:lblAlgn val="ctr"/>
        <c:lblOffset val="100"/>
        <c:noMultiLvlLbl val="0"/>
      </c:catAx>
      <c:valAx>
        <c:axId val="560556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bg-BG"/>
          </a:p>
        </c:txPr>
        <c:crossAx val="56053760"/>
        <c:crosses val="autoZero"/>
        <c:crossBetween val="between"/>
      </c:valAx>
      <c:spPr>
        <a:noFill/>
        <a:ln>
          <a:noFill/>
        </a:ln>
        <a:effectLst/>
      </c:spPr>
    </c:plotArea>
    <c:legend>
      <c:legendPos val="b"/>
      <c:layout>
        <c:manualLayout>
          <c:xMode val="edge"/>
          <c:yMode val="edge"/>
          <c:x val="0.81315310586176726"/>
          <c:y val="0.17650408282298047"/>
          <c:w val="0.17369356955380577"/>
          <c:h val="0.28645888013998244"/>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dk1"/>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blipFill dpi="0" rotWithShape="1">
      <a:blip xmlns:r="http://schemas.openxmlformats.org/officeDocument/2006/relationships" r:embed="rId4">
        <a:alphaModFix amt="23000"/>
        <a:extLst>
          <a:ext uri="{28A0092B-C50C-407E-A947-70E740481C1C}">
            <a14:useLocalDpi xmlns:a14="http://schemas.microsoft.com/office/drawing/2010/main" val="0"/>
          </a:ext>
        </a:extLst>
      </a:blip>
      <a:srcRect/>
      <a:stretch>
        <a:fillRect/>
      </a:stretch>
    </a:blipFill>
    <a:ln w="12700" cap="flat" cmpd="sng" algn="ctr">
      <a:noFill/>
      <a:prstDash val="solid"/>
      <a:miter lim="800000"/>
    </a:ln>
    <a:effectLst/>
  </c:spPr>
  <c:txPr>
    <a:bodyPr/>
    <a:lstStyle/>
    <a:p>
      <a:pPr>
        <a:defRPr>
          <a:solidFill>
            <a:schemeClr val="dk1"/>
          </a:solidFill>
          <a:latin typeface="+mn-lt"/>
          <a:ea typeface="+mn-ea"/>
          <a:cs typeface="+mn-cs"/>
        </a:defRPr>
      </a:pPr>
      <a:endParaRPr lang="bg-BG"/>
    </a:p>
  </c:txPr>
  <c:externalData r:id="rId5">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cap="none" spc="0" baseline="0">
                <a:ln w="10160">
                  <a:gradFill>
                    <a:gsLst>
                      <a:gs pos="0">
                        <a:schemeClr val="accent1">
                          <a:lumMod val="5000"/>
                          <a:lumOff val="95000"/>
                        </a:schemeClr>
                      </a:gs>
                      <a:gs pos="86000">
                        <a:schemeClr val="accent1">
                          <a:lumMod val="45000"/>
                          <a:lumOff val="55000"/>
                        </a:schemeClr>
                      </a:gs>
                      <a:gs pos="93000">
                        <a:schemeClr val="accent1">
                          <a:lumMod val="45000"/>
                          <a:lumOff val="55000"/>
                        </a:schemeClr>
                      </a:gs>
                      <a:gs pos="100000">
                        <a:schemeClr val="accent1">
                          <a:lumMod val="30000"/>
                          <a:lumOff val="70000"/>
                        </a:schemeClr>
                      </a:gs>
                    </a:gsLst>
                    <a:lin ang="5400000" scaled="1"/>
                  </a:gradFill>
                  <a:prstDash val="solid"/>
                </a:ln>
                <a:solidFill>
                  <a:srgbClr val="FFFFFF"/>
                </a:solidFill>
                <a:effectLst>
                  <a:outerShdw blurRad="38100" dist="22860" dir="5400000" algn="tl" rotWithShape="0">
                    <a:srgbClr val="000000">
                      <a:alpha val="30000"/>
                    </a:srgbClr>
                  </a:outerShdw>
                  <a:reflection blurRad="6350" stA="50000" endA="300" endPos="50000" dist="60007" dir="5400000" sy="-100000" algn="bl" rotWithShape="0"/>
                </a:effectLst>
                <a:latin typeface="+mn-lt"/>
                <a:ea typeface="+mn-ea"/>
                <a:cs typeface="+mn-cs"/>
              </a:defRPr>
            </a:pPr>
            <a:r>
              <a:rPr lang="bg-BG" b="1" cap="none" spc="0">
                <a:ln w="10160">
                  <a:gradFill>
                    <a:gsLst>
                      <a:gs pos="0">
                        <a:schemeClr val="accent1">
                          <a:lumMod val="5000"/>
                          <a:lumOff val="95000"/>
                        </a:schemeClr>
                      </a:gs>
                      <a:gs pos="86000">
                        <a:schemeClr val="accent1">
                          <a:lumMod val="45000"/>
                          <a:lumOff val="55000"/>
                        </a:schemeClr>
                      </a:gs>
                      <a:gs pos="93000">
                        <a:schemeClr val="accent1">
                          <a:lumMod val="45000"/>
                          <a:lumOff val="55000"/>
                        </a:schemeClr>
                      </a:gs>
                      <a:gs pos="100000">
                        <a:schemeClr val="accent1">
                          <a:lumMod val="30000"/>
                          <a:lumOff val="70000"/>
                        </a:schemeClr>
                      </a:gs>
                    </a:gsLst>
                    <a:lin ang="5400000" scaled="1"/>
                  </a:gradFill>
                  <a:prstDash val="solid"/>
                </a:ln>
                <a:solidFill>
                  <a:srgbClr val="FFFFFF"/>
                </a:solidFill>
                <a:effectLst>
                  <a:outerShdw blurRad="38100" dist="22860" dir="5400000" algn="tl" rotWithShape="0">
                    <a:srgbClr val="000000">
                      <a:alpha val="30000"/>
                    </a:srgbClr>
                  </a:outerShdw>
                  <a:reflection blurRad="6350" stA="50000" endA="300" endPos="50000" dist="60007" dir="5400000" sy="-100000" algn="bl" rotWithShape="0"/>
                </a:effectLst>
              </a:rPr>
              <a:t>Основни насипни товари</a:t>
            </a:r>
          </a:p>
          <a:p>
            <a:pPr>
              <a:defRPr b="1" cap="none">
                <a:ln w="10160">
                  <a:gradFill>
                    <a:gsLst>
                      <a:gs pos="0">
                        <a:schemeClr val="accent1">
                          <a:lumMod val="5000"/>
                          <a:lumOff val="95000"/>
                        </a:schemeClr>
                      </a:gs>
                      <a:gs pos="86000">
                        <a:schemeClr val="accent1">
                          <a:lumMod val="45000"/>
                          <a:lumOff val="55000"/>
                        </a:schemeClr>
                      </a:gs>
                      <a:gs pos="93000">
                        <a:schemeClr val="accent1">
                          <a:lumMod val="45000"/>
                          <a:lumOff val="55000"/>
                        </a:schemeClr>
                      </a:gs>
                      <a:gs pos="100000">
                        <a:schemeClr val="accent1">
                          <a:lumMod val="30000"/>
                          <a:lumOff val="70000"/>
                        </a:schemeClr>
                      </a:gs>
                    </a:gsLst>
                    <a:lin ang="5400000" scaled="1"/>
                  </a:gradFill>
                  <a:prstDash val="solid"/>
                </a:ln>
                <a:solidFill>
                  <a:srgbClr val="FFFFFF"/>
                </a:solidFill>
                <a:effectLst>
                  <a:outerShdw blurRad="38100" dist="22860" dir="5400000" algn="tl" rotWithShape="0">
                    <a:srgbClr val="000000">
                      <a:alpha val="30000"/>
                    </a:srgbClr>
                  </a:outerShdw>
                  <a:reflection blurRad="6350" stA="50000" endA="300" endPos="50000" dist="60007" dir="5400000" sy="-100000" algn="bl" rotWithShape="0"/>
                </a:effectLst>
              </a:defRPr>
            </a:pPr>
            <a:r>
              <a:rPr lang="bg-BG" b="1" cap="none" spc="0">
                <a:ln w="10160">
                  <a:gradFill>
                    <a:gsLst>
                      <a:gs pos="0">
                        <a:schemeClr val="accent1">
                          <a:lumMod val="5000"/>
                          <a:lumOff val="95000"/>
                        </a:schemeClr>
                      </a:gs>
                      <a:gs pos="86000">
                        <a:schemeClr val="accent1">
                          <a:lumMod val="45000"/>
                          <a:lumOff val="55000"/>
                        </a:schemeClr>
                      </a:gs>
                      <a:gs pos="93000">
                        <a:schemeClr val="accent1">
                          <a:lumMod val="45000"/>
                          <a:lumOff val="55000"/>
                        </a:schemeClr>
                      </a:gs>
                      <a:gs pos="100000">
                        <a:schemeClr val="accent1">
                          <a:lumMod val="30000"/>
                          <a:lumOff val="70000"/>
                        </a:schemeClr>
                      </a:gs>
                    </a:gsLst>
                    <a:lin ang="5400000" scaled="1"/>
                  </a:gradFill>
                  <a:prstDash val="solid"/>
                </a:ln>
                <a:solidFill>
                  <a:srgbClr val="FFFFFF"/>
                </a:solidFill>
                <a:effectLst>
                  <a:outerShdw blurRad="38100" dist="22860" dir="5400000" algn="tl" rotWithShape="0">
                    <a:srgbClr val="000000">
                      <a:alpha val="30000"/>
                    </a:srgbClr>
                  </a:outerShdw>
                  <a:reflection blurRad="6350" stA="50000" endA="300" endPos="50000" dist="60007" dir="5400000" sy="-100000" algn="bl" rotWithShape="0"/>
                </a:effectLst>
              </a:rPr>
              <a:t>2017г.</a:t>
            </a:r>
          </a:p>
        </c:rich>
      </c:tx>
      <c:layout>
        <c:manualLayout>
          <c:xMode val="edge"/>
          <c:yMode val="edge"/>
          <c:x val="0.28312903823050845"/>
          <c:y val="1.8518518518518517E-2"/>
        </c:manualLayout>
      </c:layout>
      <c:overlay val="0"/>
      <c:spPr>
        <a:noFill/>
        <a:ln>
          <a:noFill/>
        </a:ln>
        <a:effectLst/>
      </c:spPr>
      <c:txPr>
        <a:bodyPr rot="0" spcFirstLastPara="1" vertOverflow="ellipsis" vert="horz" wrap="square" anchor="ctr" anchorCtr="1"/>
        <a:lstStyle/>
        <a:p>
          <a:pPr>
            <a:defRPr sz="1400" b="1" i="0" u="none" strike="noStrike" kern="1200" cap="none" spc="0" baseline="0">
              <a:ln w="10160">
                <a:gradFill>
                  <a:gsLst>
                    <a:gs pos="0">
                      <a:schemeClr val="accent1">
                        <a:lumMod val="5000"/>
                        <a:lumOff val="95000"/>
                      </a:schemeClr>
                    </a:gs>
                    <a:gs pos="86000">
                      <a:schemeClr val="accent1">
                        <a:lumMod val="45000"/>
                        <a:lumOff val="55000"/>
                      </a:schemeClr>
                    </a:gs>
                    <a:gs pos="93000">
                      <a:schemeClr val="accent1">
                        <a:lumMod val="45000"/>
                        <a:lumOff val="55000"/>
                      </a:schemeClr>
                    </a:gs>
                    <a:gs pos="100000">
                      <a:schemeClr val="accent1">
                        <a:lumMod val="30000"/>
                        <a:lumOff val="70000"/>
                      </a:schemeClr>
                    </a:gs>
                  </a:gsLst>
                  <a:lin ang="5400000" scaled="1"/>
                </a:gradFill>
                <a:prstDash val="solid"/>
              </a:ln>
              <a:solidFill>
                <a:srgbClr val="FFFFFF"/>
              </a:solidFill>
              <a:effectLst>
                <a:outerShdw blurRad="38100" dist="22860" dir="5400000" algn="tl" rotWithShape="0">
                  <a:srgbClr val="000000">
                    <a:alpha val="30000"/>
                  </a:srgbClr>
                </a:outerShdw>
                <a:reflection blurRad="6350" stA="50000" endA="300" endPos="50000" dist="60007" dir="5400000" sy="-100000" algn="bl" rotWithShape="0"/>
              </a:effectLst>
              <a:latin typeface="+mn-lt"/>
              <a:ea typeface="+mn-ea"/>
              <a:cs typeface="+mn-cs"/>
            </a:defRPr>
          </a:pPr>
          <a:endParaRPr lang="bg-BG"/>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355314960629921"/>
          <c:y val="7.4907407407407409E-2"/>
          <c:w val="0.8674676290463692"/>
          <c:h val="0.78593358121901424"/>
        </c:manualLayout>
      </c:layout>
      <c:bar3DChart>
        <c:barDir val="col"/>
        <c:grouping val="standard"/>
        <c:varyColors val="0"/>
        <c:ser>
          <c:idx val="0"/>
          <c:order val="0"/>
          <c:tx>
            <c:strRef>
              <c:f>'[Таблици-ГФО-Анализ Търг.част.xlsx]Лист1'!$A$54</c:f>
              <c:strCache>
                <c:ptCount val="1"/>
                <c:pt idx="0">
                  <c:v>2017</c:v>
                </c:pt>
              </c:strCache>
            </c:strRef>
          </c:tx>
          <c:spPr>
            <a:solidFill>
              <a:schemeClr val="accent1"/>
            </a:solidFill>
            <a:ln>
              <a:solidFill>
                <a:schemeClr val="accent1">
                  <a:lumMod val="75000"/>
                </a:schemeClr>
              </a:solidFill>
            </a:ln>
            <a:effectLst/>
            <a:sp3d>
              <a:contourClr>
                <a:schemeClr val="accent1">
                  <a:lumMod val="75000"/>
                </a:schemeClr>
              </a:contourClr>
            </a:sp3d>
          </c:spPr>
          <c:invertIfNegative val="0"/>
          <c:cat>
            <c:strRef>
              <c:f>'[Таблици-ГФО-Анализ Търг.част.xlsx]Лист1'!$B$53:$G$53</c:f>
              <c:strCache>
                <c:ptCount val="6"/>
                <c:pt idx="0">
                  <c:v>Общо</c:v>
                </c:pt>
                <c:pt idx="1">
                  <c:v>Въглища</c:v>
                </c:pt>
                <c:pt idx="2">
                  <c:v>Зърнени храни</c:v>
                </c:pt>
                <c:pt idx="3">
                  <c:v>Химикали и торове</c:v>
                </c:pt>
                <c:pt idx="4">
                  <c:v>Глина</c:v>
                </c:pt>
                <c:pt idx="5">
                  <c:v>Кокс</c:v>
                </c:pt>
              </c:strCache>
            </c:strRef>
          </c:cat>
          <c:val>
            <c:numRef>
              <c:f>'[Таблици-ГФО-Анализ Търг.част.xlsx]Лист1'!$B$54:$G$54</c:f>
              <c:numCache>
                <c:formatCode>General</c:formatCode>
                <c:ptCount val="6"/>
                <c:pt idx="0" formatCode="0.000">
                  <c:v>645.41</c:v>
                </c:pt>
                <c:pt idx="1">
                  <c:v>276.86200000000002</c:v>
                </c:pt>
                <c:pt idx="2">
                  <c:v>214.09200000000001</c:v>
                </c:pt>
                <c:pt idx="3">
                  <c:v>46.658999999999999</c:v>
                </c:pt>
                <c:pt idx="4">
                  <c:v>35.238</c:v>
                </c:pt>
                <c:pt idx="5">
                  <c:v>20.931000000000001</c:v>
                </c:pt>
              </c:numCache>
            </c:numRef>
          </c:val>
          <c:extLst>
            <c:ext xmlns:c16="http://schemas.microsoft.com/office/drawing/2014/chart" uri="{C3380CC4-5D6E-409C-BE32-E72D297353CC}">
              <c16:uniqueId val="{00000000-DF60-4B04-83B5-00CFAF743F05}"/>
            </c:ext>
          </c:extLst>
        </c:ser>
        <c:ser>
          <c:idx val="1"/>
          <c:order val="1"/>
          <c:tx>
            <c:strRef>
              <c:f>'[Таблици-ГФО-Анализ Търг.част.xlsx]Лист1'!$A$55</c:f>
              <c:strCache>
                <c:ptCount val="1"/>
                <c:pt idx="0">
                  <c:v>2016</c:v>
                </c:pt>
              </c:strCache>
            </c:strRef>
          </c:tx>
          <c:spPr>
            <a:solidFill>
              <a:srgbClr val="FFFF00"/>
            </a:solidFill>
            <a:ln>
              <a:noFill/>
            </a:ln>
            <a:effectLst/>
            <a:sp3d/>
          </c:spPr>
          <c:invertIfNegative val="0"/>
          <c:cat>
            <c:strRef>
              <c:f>'[Таблици-ГФО-Анализ Търг.част.xlsx]Лист1'!$B$53:$G$53</c:f>
              <c:strCache>
                <c:ptCount val="6"/>
                <c:pt idx="0">
                  <c:v>Общо</c:v>
                </c:pt>
                <c:pt idx="1">
                  <c:v>Въглища</c:v>
                </c:pt>
                <c:pt idx="2">
                  <c:v>Зърнени храни</c:v>
                </c:pt>
                <c:pt idx="3">
                  <c:v>Химикали и торове</c:v>
                </c:pt>
                <c:pt idx="4">
                  <c:v>Глина</c:v>
                </c:pt>
                <c:pt idx="5">
                  <c:v>Кокс</c:v>
                </c:pt>
              </c:strCache>
            </c:strRef>
          </c:cat>
          <c:val>
            <c:numRef>
              <c:f>'[Таблици-ГФО-Анализ Търг.част.xlsx]Лист1'!$B$55:$G$55</c:f>
              <c:numCache>
                <c:formatCode>General</c:formatCode>
                <c:ptCount val="6"/>
                <c:pt idx="0" formatCode="0.000">
                  <c:v>480.31099999999998</c:v>
                </c:pt>
                <c:pt idx="1">
                  <c:v>214.43600000000001</c:v>
                </c:pt>
                <c:pt idx="2">
                  <c:v>138.04499999999999</c:v>
                </c:pt>
                <c:pt idx="3">
                  <c:v>39.901000000000003</c:v>
                </c:pt>
                <c:pt idx="4">
                  <c:v>21.773</c:v>
                </c:pt>
                <c:pt idx="5">
                  <c:v>37.765999999999998</c:v>
                </c:pt>
              </c:numCache>
            </c:numRef>
          </c:val>
          <c:extLst>
            <c:ext xmlns:c16="http://schemas.microsoft.com/office/drawing/2014/chart" uri="{C3380CC4-5D6E-409C-BE32-E72D297353CC}">
              <c16:uniqueId val="{00000001-DF60-4B04-83B5-00CFAF743F05}"/>
            </c:ext>
          </c:extLst>
        </c:ser>
        <c:dLbls>
          <c:showLegendKey val="0"/>
          <c:showVal val="0"/>
          <c:showCatName val="0"/>
          <c:showSerName val="0"/>
          <c:showPercent val="0"/>
          <c:showBubbleSize val="0"/>
        </c:dLbls>
        <c:gapWidth val="150"/>
        <c:shape val="box"/>
        <c:axId val="56111872"/>
        <c:axId val="56113792"/>
        <c:axId val="23361728"/>
      </c:bar3DChart>
      <c:catAx>
        <c:axId val="56111872"/>
        <c:scaling>
          <c:orientation val="minMax"/>
        </c:scaling>
        <c:delete val="0"/>
        <c:axPos val="b"/>
        <c:title>
          <c:tx>
            <c:rich>
              <a:bodyPr rot="0" spcFirstLastPara="1" vertOverflow="ellipsis" vert="horz" wrap="square" anchor="ctr" anchorCtr="1"/>
              <a:lstStyle/>
              <a:p>
                <a:pPr>
                  <a:defRPr sz="900" b="0" i="1" u="none" strike="noStrike" kern="1200" baseline="0">
                    <a:solidFill>
                      <a:sysClr val="windowText" lastClr="000000"/>
                    </a:solidFill>
                    <a:latin typeface="+mn-lt"/>
                    <a:ea typeface="+mn-ea"/>
                    <a:cs typeface="+mn-cs"/>
                  </a:defRPr>
                </a:pPr>
                <a:r>
                  <a:rPr lang="bg-BG" sz="900" i="1">
                    <a:solidFill>
                      <a:sysClr val="windowText" lastClr="000000"/>
                    </a:solidFill>
                  </a:rPr>
                  <a:t>хил.физ.</a:t>
                </a:r>
              </a:p>
              <a:p>
                <a:pPr>
                  <a:defRPr sz="900" i="1">
                    <a:solidFill>
                      <a:sysClr val="windowText" lastClr="000000"/>
                    </a:solidFill>
                  </a:defRPr>
                </a:pPr>
                <a:r>
                  <a:rPr lang="bg-BG" sz="900" i="1">
                    <a:solidFill>
                      <a:sysClr val="windowText" lastClr="000000"/>
                    </a:solidFill>
                  </a:rPr>
                  <a:t>тона</a:t>
                </a:r>
              </a:p>
            </c:rich>
          </c:tx>
          <c:layout>
            <c:manualLayout>
              <c:xMode val="edge"/>
              <c:yMode val="edge"/>
              <c:x val="1.3888888888888888E-2"/>
              <c:y val="0.14255139982502188"/>
            </c:manualLayout>
          </c:layout>
          <c:overlay val="0"/>
          <c:spPr>
            <a:noFill/>
            <a:ln>
              <a:noFill/>
            </a:ln>
            <a:effectLst/>
          </c:spPr>
          <c:txPr>
            <a:bodyPr rot="0" spcFirstLastPara="1" vertOverflow="ellipsis" vert="horz" wrap="square" anchor="ctr" anchorCtr="1"/>
            <a:lstStyle/>
            <a:p>
              <a:pPr>
                <a:defRPr sz="900" b="0" i="1" u="none" strike="noStrike" kern="1200" baseline="0">
                  <a:solidFill>
                    <a:sysClr val="windowText" lastClr="000000"/>
                  </a:solidFill>
                  <a:latin typeface="+mn-lt"/>
                  <a:ea typeface="+mn-ea"/>
                  <a:cs typeface="+mn-cs"/>
                </a:defRPr>
              </a:pPr>
              <a:endParaRPr lang="bg-BG"/>
            </a:p>
          </c:txPr>
        </c:title>
        <c:numFmt formatCode="General" sourceLinked="1"/>
        <c:majorTickMark val="cross"/>
        <c:minorTickMark val="none"/>
        <c:tickLblPos val="nextTo"/>
        <c:spPr>
          <a:noFill/>
          <a:ln>
            <a:solidFill>
              <a:schemeClr val="bg1">
                <a:lumMod val="50000"/>
              </a:schemeClr>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56113792"/>
        <c:crosses val="autoZero"/>
        <c:auto val="1"/>
        <c:lblAlgn val="ctr"/>
        <c:lblOffset val="100"/>
        <c:noMultiLvlLbl val="0"/>
      </c:catAx>
      <c:valAx>
        <c:axId val="56113792"/>
        <c:scaling>
          <c:orientation val="minMax"/>
        </c:scaling>
        <c:delete val="0"/>
        <c:axPos val="l"/>
        <c:majorGridlines>
          <c:spPr>
            <a:ln w="9525" cap="flat" cmpd="sng" algn="ctr">
              <a:solidFill>
                <a:schemeClr val="tx1">
                  <a:lumMod val="15000"/>
                  <a:lumOff val="85000"/>
                </a:schemeClr>
              </a:solidFill>
              <a:round/>
            </a:ln>
            <a:effectLst/>
          </c:spPr>
        </c:majorGridlines>
        <c:numFmt formatCode="0.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56111872"/>
        <c:crosses val="autoZero"/>
        <c:crossBetween val="between"/>
      </c:valAx>
      <c:serAx>
        <c:axId val="23361728"/>
        <c:scaling>
          <c:orientation val="minMax"/>
        </c:scaling>
        <c:delete val="1"/>
        <c:axPos val="b"/>
        <c:majorTickMark val="none"/>
        <c:minorTickMark val="none"/>
        <c:tickLblPos val="nextTo"/>
        <c:crossAx val="56113792"/>
        <c:crosses val="autoZero"/>
      </c:serAx>
      <c:spPr>
        <a:noFill/>
        <a:ln>
          <a:noFill/>
        </a:ln>
        <a:effectLst/>
      </c:spPr>
    </c:plotArea>
    <c:legend>
      <c:legendPos val="b"/>
      <c:layout>
        <c:manualLayout>
          <c:xMode val="edge"/>
          <c:yMode val="edge"/>
          <c:x val="0.81435926338929443"/>
          <c:y val="0.24594852726742492"/>
          <c:w val="0.15208832751734944"/>
          <c:h val="0.230903324584427"/>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gradFill flip="none" rotWithShape="1">
      <a:gsLst>
        <a:gs pos="0">
          <a:schemeClr val="accent1">
            <a:lumMod val="0"/>
            <a:lumOff val="100000"/>
          </a:schemeClr>
        </a:gs>
        <a:gs pos="28000">
          <a:schemeClr val="accent1">
            <a:lumMod val="0"/>
            <a:lumOff val="100000"/>
          </a:schemeClr>
        </a:gs>
        <a:gs pos="100000">
          <a:schemeClr val="accent1">
            <a:lumMod val="100000"/>
          </a:schemeClr>
        </a:gs>
      </a:gsLst>
      <a:lin ang="16200000" scaled="1"/>
      <a:tileRect/>
    </a:gradFill>
    <a:ln w="9525" cap="flat" cmpd="sng" algn="ctr">
      <a:solidFill>
        <a:schemeClr val="tx1">
          <a:lumMod val="15000"/>
          <a:lumOff val="85000"/>
        </a:schemeClr>
      </a:solidFill>
      <a:round/>
    </a:ln>
    <a:effectLst/>
  </c:spPr>
  <c:txPr>
    <a:bodyPr/>
    <a:lstStyle/>
    <a:p>
      <a:pPr>
        <a:defRPr/>
      </a:pPr>
      <a:endParaRPr lang="bg-BG"/>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cap="none" spc="0" baseline="0">
                <a:ln w="0">
                  <a:solidFill>
                    <a:schemeClr val="accent1">
                      <a:lumMod val="75000"/>
                    </a:schemeClr>
                  </a:solidFill>
                </a:ln>
                <a:solidFill>
                  <a:schemeClr val="accent1">
                    <a:lumMod val="50000"/>
                  </a:schemeClr>
                </a:solidFill>
                <a:effectLst>
                  <a:outerShdw blurRad="38100" dist="25400" dir="5400000" algn="ctr" rotWithShape="0">
                    <a:srgbClr val="6E747A">
                      <a:alpha val="43000"/>
                    </a:srgbClr>
                  </a:outerShdw>
                  <a:reflection blurRad="6350" stA="50000" endA="300" endPos="50000" dist="60007" dir="5400000" sy="-100000" algn="bl" rotWithShape="0"/>
                </a:effectLst>
                <a:latin typeface="+mn-lt"/>
                <a:ea typeface="+mn-ea"/>
                <a:cs typeface="+mn-cs"/>
              </a:defRPr>
            </a:pPr>
            <a:r>
              <a:rPr lang="bg-BG" b="0" cap="none" spc="0">
                <a:ln w="0">
                  <a:solidFill>
                    <a:schemeClr val="accent1">
                      <a:lumMod val="75000"/>
                    </a:schemeClr>
                  </a:solidFill>
                </a:ln>
                <a:solidFill>
                  <a:schemeClr val="accent1">
                    <a:lumMod val="50000"/>
                  </a:schemeClr>
                </a:solidFill>
                <a:effectLst>
                  <a:outerShdw blurRad="38100" dist="25400" dir="5400000" algn="ctr" rotWithShape="0">
                    <a:srgbClr val="6E747A">
                      <a:alpha val="43000"/>
                    </a:srgbClr>
                  </a:outerShdw>
                  <a:reflection blurRad="6350" stA="50000" endA="300" endPos="50000" dist="60007" dir="5400000" sy="-100000" algn="bl" rotWithShape="0"/>
                </a:effectLst>
              </a:rPr>
              <a:t>Основни генерални товари</a:t>
            </a:r>
          </a:p>
          <a:p>
            <a:pPr>
              <a:defRPr cap="none">
                <a:ln w="0">
                  <a:solidFill>
                    <a:schemeClr val="accent1">
                      <a:lumMod val="75000"/>
                    </a:schemeClr>
                  </a:solidFill>
                </a:ln>
                <a:solidFill>
                  <a:schemeClr val="accent1">
                    <a:lumMod val="50000"/>
                  </a:schemeClr>
                </a:solidFill>
                <a:effectLst>
                  <a:outerShdw blurRad="38100" dist="25400" dir="5400000" algn="ctr" rotWithShape="0">
                    <a:srgbClr val="6E747A">
                      <a:alpha val="43000"/>
                    </a:srgbClr>
                  </a:outerShdw>
                  <a:reflection blurRad="6350" stA="50000" endA="300" endPos="50000" dist="60007" dir="5400000" sy="-100000" algn="bl" rotWithShape="0"/>
                </a:effectLst>
              </a:defRPr>
            </a:pPr>
            <a:r>
              <a:rPr lang="bg-BG" b="0" cap="none" spc="0">
                <a:ln w="0">
                  <a:solidFill>
                    <a:schemeClr val="accent1">
                      <a:lumMod val="75000"/>
                    </a:schemeClr>
                  </a:solidFill>
                </a:ln>
                <a:solidFill>
                  <a:schemeClr val="accent1">
                    <a:lumMod val="50000"/>
                  </a:schemeClr>
                </a:solidFill>
                <a:effectLst>
                  <a:outerShdw blurRad="38100" dist="25400" dir="5400000" algn="ctr" rotWithShape="0">
                    <a:srgbClr val="6E747A">
                      <a:alpha val="43000"/>
                    </a:srgbClr>
                  </a:outerShdw>
                  <a:reflection blurRad="6350" stA="50000" endA="300" endPos="50000" dist="60007" dir="5400000" sy="-100000" algn="bl" rotWithShape="0"/>
                </a:effectLst>
              </a:rPr>
              <a:t>2017г.</a:t>
            </a:r>
          </a:p>
        </c:rich>
      </c:tx>
      <c:overlay val="0"/>
      <c:spPr>
        <a:noFill/>
        <a:ln>
          <a:noFill/>
        </a:ln>
        <a:effectLst/>
      </c:spPr>
      <c:txPr>
        <a:bodyPr rot="0" spcFirstLastPara="1" vertOverflow="ellipsis" vert="horz" wrap="square" anchor="ctr" anchorCtr="1"/>
        <a:lstStyle/>
        <a:p>
          <a:pPr>
            <a:defRPr sz="1400" b="0" i="0" u="none" strike="noStrike" kern="1200" cap="none" spc="0" baseline="0">
              <a:ln w="0">
                <a:solidFill>
                  <a:schemeClr val="accent1">
                    <a:lumMod val="75000"/>
                  </a:schemeClr>
                </a:solidFill>
              </a:ln>
              <a:solidFill>
                <a:schemeClr val="accent1">
                  <a:lumMod val="50000"/>
                </a:schemeClr>
              </a:solidFill>
              <a:effectLst>
                <a:outerShdw blurRad="38100" dist="25400" dir="5400000" algn="ctr" rotWithShape="0">
                  <a:srgbClr val="6E747A">
                    <a:alpha val="43000"/>
                  </a:srgbClr>
                </a:outerShdw>
                <a:reflection blurRad="6350" stA="50000" endA="300" endPos="50000" dist="60007" dir="5400000" sy="-100000" algn="bl" rotWithShape="0"/>
              </a:effectLst>
              <a:latin typeface="+mn-lt"/>
              <a:ea typeface="+mn-ea"/>
              <a:cs typeface="+mn-cs"/>
            </a:defRPr>
          </a:pPr>
          <a:endParaRPr lang="bg-BG"/>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355314960629921"/>
          <c:y val="6.564814814814815E-2"/>
          <c:w val="0.85913429571303579"/>
          <c:h val="0.83216025080198308"/>
        </c:manualLayout>
      </c:layout>
      <c:bar3DChart>
        <c:barDir val="col"/>
        <c:grouping val="standard"/>
        <c:varyColors val="0"/>
        <c:ser>
          <c:idx val="0"/>
          <c:order val="0"/>
          <c:tx>
            <c:strRef>
              <c:f>'[Таблици-ГФО-Анализ Търг.част.xlsx]Лист1'!$A$71</c:f>
              <c:strCache>
                <c:ptCount val="1"/>
                <c:pt idx="0">
                  <c:v>2017</c:v>
                </c:pt>
              </c:strCache>
            </c:strRef>
          </c:tx>
          <c:spPr>
            <a:solidFill>
              <a:schemeClr val="accent1"/>
            </a:solidFill>
            <a:ln>
              <a:noFill/>
            </a:ln>
            <a:effectLst/>
            <a:sp3d/>
          </c:spPr>
          <c:invertIfNegative val="0"/>
          <c:val>
            <c:numRef>
              <c:f>'[Таблици-ГФО-Анализ Търг.част.xlsx]Лист1'!$B$71:$F$71</c:f>
              <c:numCache>
                <c:formatCode>General</c:formatCode>
                <c:ptCount val="5"/>
                <c:pt idx="0" formatCode="0.000">
                  <c:v>82.15</c:v>
                </c:pt>
                <c:pt idx="1">
                  <c:v>29.704000000000001</c:v>
                </c:pt>
                <c:pt idx="2" formatCode="0.000">
                  <c:v>20.381</c:v>
                </c:pt>
                <c:pt idx="3">
                  <c:v>16.571999999999999</c:v>
                </c:pt>
                <c:pt idx="4" formatCode="0.000">
                  <c:v>7.2350000000000003</c:v>
                </c:pt>
              </c:numCache>
            </c:numRef>
          </c:val>
          <c:extLst>
            <c:ext xmlns:c16="http://schemas.microsoft.com/office/drawing/2014/chart" uri="{C3380CC4-5D6E-409C-BE32-E72D297353CC}">
              <c16:uniqueId val="{00000000-A108-4109-BB48-E5379356B32D}"/>
            </c:ext>
          </c:extLst>
        </c:ser>
        <c:ser>
          <c:idx val="1"/>
          <c:order val="1"/>
          <c:tx>
            <c:strRef>
              <c:f>'[Таблици-ГФО-Анализ Търг.част.xlsx]Лист1'!$A$72</c:f>
              <c:strCache>
                <c:ptCount val="1"/>
                <c:pt idx="0">
                  <c:v>2016</c:v>
                </c:pt>
              </c:strCache>
            </c:strRef>
          </c:tx>
          <c:spPr>
            <a:solidFill>
              <a:srgbClr val="FFFF00"/>
            </a:solidFill>
            <a:ln>
              <a:solidFill>
                <a:schemeClr val="bg1">
                  <a:lumMod val="50000"/>
                </a:schemeClr>
              </a:solidFill>
            </a:ln>
            <a:effectLst/>
            <a:sp3d>
              <a:contourClr>
                <a:schemeClr val="bg1">
                  <a:lumMod val="50000"/>
                </a:schemeClr>
              </a:contourClr>
            </a:sp3d>
          </c:spPr>
          <c:invertIfNegative val="0"/>
          <c:cat>
            <c:strRef>
              <c:f>'[Таблици-ГФО-Анализ Търг.част.xlsx]Лист1'!$B$70:$F$70</c:f>
              <c:strCache>
                <c:ptCount val="5"/>
                <c:pt idx="0">
                  <c:v>Общо</c:v>
                </c:pt>
                <c:pt idx="1">
                  <c:v>Метали</c:v>
                </c:pt>
                <c:pt idx="2">
                  <c:v>Трейлери</c:v>
                </c:pt>
                <c:pt idx="3">
                  <c:v>Машини</c:v>
                </c:pt>
                <c:pt idx="4">
                  <c:v>Ро-ро</c:v>
                </c:pt>
              </c:strCache>
            </c:strRef>
          </c:cat>
          <c:val>
            <c:numRef>
              <c:f>'[Таблици-ГФО-Анализ Търг.част.xlsx]Лист1'!$B$72:$F$72</c:f>
              <c:numCache>
                <c:formatCode>General</c:formatCode>
                <c:ptCount val="5"/>
                <c:pt idx="0" formatCode="0.000">
                  <c:v>225.59399999999999</c:v>
                </c:pt>
                <c:pt idx="1">
                  <c:v>90.031000000000006</c:v>
                </c:pt>
                <c:pt idx="2">
                  <c:v>82.369</c:v>
                </c:pt>
                <c:pt idx="3">
                  <c:v>13.215999999999999</c:v>
                </c:pt>
                <c:pt idx="4" formatCode="0.000">
                  <c:v>6.5289999999999999</c:v>
                </c:pt>
              </c:numCache>
            </c:numRef>
          </c:val>
          <c:extLst>
            <c:ext xmlns:c16="http://schemas.microsoft.com/office/drawing/2014/chart" uri="{C3380CC4-5D6E-409C-BE32-E72D297353CC}">
              <c16:uniqueId val="{00000001-A108-4109-BB48-E5379356B32D}"/>
            </c:ext>
          </c:extLst>
        </c:ser>
        <c:dLbls>
          <c:showLegendKey val="0"/>
          <c:showVal val="0"/>
          <c:showCatName val="0"/>
          <c:showSerName val="0"/>
          <c:showPercent val="0"/>
          <c:showBubbleSize val="0"/>
        </c:dLbls>
        <c:gapWidth val="150"/>
        <c:shape val="box"/>
        <c:axId val="56150272"/>
        <c:axId val="56160640"/>
        <c:axId val="23375872"/>
      </c:bar3DChart>
      <c:catAx>
        <c:axId val="56150272"/>
        <c:scaling>
          <c:orientation val="minMax"/>
        </c:scaling>
        <c:delete val="0"/>
        <c:axPos val="b"/>
        <c:title>
          <c:tx>
            <c:rich>
              <a:bodyPr rot="0" spcFirstLastPara="1" vertOverflow="ellipsis" vert="horz" wrap="square" anchor="ctr" anchorCtr="1"/>
              <a:lstStyle/>
              <a:p>
                <a:pPr>
                  <a:defRPr sz="900" b="0" i="1" u="none" strike="noStrike" kern="1200" baseline="0">
                    <a:solidFill>
                      <a:sysClr val="windowText" lastClr="000000"/>
                    </a:solidFill>
                    <a:latin typeface="+mn-lt"/>
                    <a:ea typeface="+mn-ea"/>
                    <a:cs typeface="+mn-cs"/>
                  </a:defRPr>
                </a:pPr>
                <a:r>
                  <a:rPr lang="bg-BG" sz="900" i="1">
                    <a:solidFill>
                      <a:sysClr val="windowText" lastClr="000000"/>
                    </a:solidFill>
                  </a:rPr>
                  <a:t>хил.физ.</a:t>
                </a:r>
              </a:p>
              <a:p>
                <a:pPr>
                  <a:defRPr sz="900" i="1">
                    <a:solidFill>
                      <a:sysClr val="windowText" lastClr="000000"/>
                    </a:solidFill>
                  </a:defRPr>
                </a:pPr>
                <a:r>
                  <a:rPr lang="bg-BG" sz="900" i="1">
                    <a:solidFill>
                      <a:sysClr val="windowText" lastClr="000000"/>
                    </a:solidFill>
                  </a:rPr>
                  <a:t>тона</a:t>
                </a:r>
              </a:p>
            </c:rich>
          </c:tx>
          <c:layout>
            <c:manualLayout>
              <c:xMode val="edge"/>
              <c:yMode val="edge"/>
              <c:x val="1.3888888888888888E-2"/>
              <c:y val="0.18414734616506268"/>
            </c:manualLayout>
          </c:layout>
          <c:overlay val="0"/>
          <c:spPr>
            <a:noFill/>
            <a:ln>
              <a:noFill/>
            </a:ln>
            <a:effectLst/>
          </c:spPr>
          <c:txPr>
            <a:bodyPr rot="0" spcFirstLastPara="1" vertOverflow="ellipsis" vert="horz" wrap="square" anchor="ctr" anchorCtr="1"/>
            <a:lstStyle/>
            <a:p>
              <a:pPr>
                <a:defRPr sz="900" b="0" i="1" u="none" strike="noStrike" kern="1200" baseline="0">
                  <a:solidFill>
                    <a:sysClr val="windowText" lastClr="000000"/>
                  </a:solidFill>
                  <a:latin typeface="+mn-lt"/>
                  <a:ea typeface="+mn-ea"/>
                  <a:cs typeface="+mn-cs"/>
                </a:defRPr>
              </a:pPr>
              <a:endParaRPr lang="bg-BG"/>
            </a:p>
          </c:txPr>
        </c:title>
        <c:numFmt formatCode="General" sourceLinked="1"/>
        <c:majorTickMark val="cross"/>
        <c:minorTickMark val="none"/>
        <c:tickLblPos val="nextTo"/>
        <c:spPr>
          <a:noFill/>
          <a:ln>
            <a:solidFill>
              <a:schemeClr val="bg1">
                <a:lumMod val="50000"/>
              </a:schemeClr>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56160640"/>
        <c:crosses val="autoZero"/>
        <c:auto val="1"/>
        <c:lblAlgn val="ctr"/>
        <c:lblOffset val="100"/>
        <c:noMultiLvlLbl val="0"/>
      </c:catAx>
      <c:valAx>
        <c:axId val="56160640"/>
        <c:scaling>
          <c:orientation val="minMax"/>
        </c:scaling>
        <c:delete val="0"/>
        <c:axPos val="l"/>
        <c:majorGridlines>
          <c:spPr>
            <a:ln w="9525" cap="flat" cmpd="sng" algn="ctr">
              <a:solidFill>
                <a:schemeClr val="tx1">
                  <a:lumMod val="15000"/>
                  <a:lumOff val="85000"/>
                </a:schemeClr>
              </a:solidFill>
              <a:round/>
            </a:ln>
            <a:effectLst/>
          </c:spPr>
        </c:majorGridlines>
        <c:numFmt formatCode="0.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56150272"/>
        <c:crosses val="autoZero"/>
        <c:crossBetween val="between"/>
      </c:valAx>
      <c:serAx>
        <c:axId val="23375872"/>
        <c:scaling>
          <c:orientation val="minMax"/>
        </c:scaling>
        <c:delete val="1"/>
        <c:axPos val="b"/>
        <c:majorTickMark val="none"/>
        <c:minorTickMark val="none"/>
        <c:tickLblPos val="nextTo"/>
        <c:crossAx val="56160640"/>
        <c:crosses val="autoZero"/>
      </c:serAx>
      <c:spPr>
        <a:noFill/>
        <a:ln>
          <a:noFill/>
        </a:ln>
        <a:effectLst/>
      </c:spPr>
    </c:plotArea>
    <c:legend>
      <c:legendPos val="b"/>
      <c:layout>
        <c:manualLayout>
          <c:xMode val="edge"/>
          <c:yMode val="edge"/>
          <c:x val="0.7838037231226147"/>
          <c:y val="0.29687445319335076"/>
          <c:w val="0.18264398275172394"/>
          <c:h val="7.8125546806649182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gradFill flip="none" rotWithShape="1">
      <a:gsLst>
        <a:gs pos="0">
          <a:schemeClr val="accent2">
            <a:lumMod val="5000"/>
            <a:lumOff val="95000"/>
          </a:schemeClr>
        </a:gs>
        <a:gs pos="76000">
          <a:schemeClr val="accent2">
            <a:lumMod val="45000"/>
            <a:lumOff val="55000"/>
          </a:schemeClr>
        </a:gs>
        <a:gs pos="100000">
          <a:schemeClr val="accent2">
            <a:lumMod val="60000"/>
            <a:lumOff val="40000"/>
          </a:schemeClr>
        </a:gs>
      </a:gsLst>
      <a:lin ang="5400000" scaled="1"/>
      <a:tileRect/>
    </a:gradFill>
    <a:ln w="9525" cap="flat" cmpd="sng" algn="ctr">
      <a:solidFill>
        <a:schemeClr val="tx1">
          <a:lumMod val="15000"/>
          <a:lumOff val="85000"/>
        </a:schemeClr>
      </a:solidFill>
      <a:round/>
    </a:ln>
    <a:effectLst/>
  </c:spPr>
  <c:txPr>
    <a:bodyPr/>
    <a:lstStyle/>
    <a:p>
      <a:pPr>
        <a:defRPr/>
      </a:pPr>
      <a:endParaRPr lang="bg-BG"/>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ysClr val="windowText" lastClr="000000"/>
                </a:solidFill>
                <a:latin typeface="+mn-lt"/>
                <a:ea typeface="+mn-ea"/>
                <a:cs typeface="+mn-cs"/>
              </a:defRPr>
            </a:pPr>
            <a:r>
              <a:rPr lang="en-US"/>
              <a:t>2017</a:t>
            </a:r>
          </a:p>
        </c:rich>
      </c:tx>
      <c:overlay val="0"/>
      <c:spPr>
        <a:noFill/>
        <a:ln w="25400">
          <a:noFill/>
        </a:ln>
      </c:spPr>
    </c:title>
    <c:autoTitleDeleted val="0"/>
    <c:view3D>
      <c:rotX val="30"/>
      <c:rotY val="0"/>
      <c:rAngAx val="0"/>
      <c:perspective val="0"/>
    </c:view3D>
    <c:floor>
      <c:thickness val="0"/>
    </c:floor>
    <c:sideWall>
      <c:thickness val="0"/>
    </c:sideWall>
    <c:backWall>
      <c:thickness val="0"/>
    </c:backWall>
    <c:plotArea>
      <c:layout>
        <c:manualLayout>
          <c:layoutTarget val="inner"/>
          <c:xMode val="edge"/>
          <c:yMode val="edge"/>
          <c:x val="7.6198540250961774E-2"/>
          <c:y val="0.33314827172027223"/>
          <c:w val="0.85673533958940062"/>
          <c:h val="0.55949508430090311"/>
        </c:manualLayout>
      </c:layout>
      <c:pie3DChart>
        <c:varyColors val="1"/>
        <c:ser>
          <c:idx val="0"/>
          <c:order val="0"/>
          <c:tx>
            <c:strRef>
              <c:f>'[Таблици-ГФО-Анализ Търг.част.xlsx]Лист1'!$A$25</c:f>
              <c:strCache>
                <c:ptCount val="1"/>
                <c:pt idx="0">
                  <c:v>2017</c:v>
                </c:pt>
              </c:strCache>
            </c:strRef>
          </c:tx>
          <c:spPr>
            <a:ln>
              <a:solidFill>
                <a:schemeClr val="bg1"/>
              </a:solidFill>
            </a:ln>
          </c:spPr>
          <c:dPt>
            <c:idx val="0"/>
            <c:bubble3D val="0"/>
            <c:spPr>
              <a:solidFill>
                <a:schemeClr val="accent1"/>
              </a:solidFill>
              <a:ln w="9525">
                <a:solidFill>
                  <a:schemeClr val="bg1"/>
                </a:solidFill>
              </a:ln>
              <a:effectLst/>
              <a:sp3d contourW="25400">
                <a:contourClr>
                  <a:schemeClr val="lt1"/>
                </a:contourClr>
              </a:sp3d>
            </c:spPr>
            <c:extLst>
              <c:ext xmlns:c16="http://schemas.microsoft.com/office/drawing/2014/chart" uri="{C3380CC4-5D6E-409C-BE32-E72D297353CC}">
                <c16:uniqueId val="{00000001-4718-4735-99D5-3AFC41083D46}"/>
              </c:ext>
            </c:extLst>
          </c:dPt>
          <c:dPt>
            <c:idx val="1"/>
            <c:bubble3D val="0"/>
            <c:spPr>
              <a:solidFill>
                <a:schemeClr val="accent2"/>
              </a:solidFill>
              <a:ln w="12700">
                <a:solidFill>
                  <a:schemeClr val="bg1"/>
                </a:solidFill>
              </a:ln>
              <a:effectLst/>
              <a:sp3d contourW="25400">
                <a:contourClr>
                  <a:schemeClr val="lt1"/>
                </a:contourClr>
              </a:sp3d>
            </c:spPr>
            <c:extLst>
              <c:ext xmlns:c16="http://schemas.microsoft.com/office/drawing/2014/chart" uri="{C3380CC4-5D6E-409C-BE32-E72D297353CC}">
                <c16:uniqueId val="{00000003-4718-4735-99D5-3AFC41083D46}"/>
              </c:ext>
            </c:extLst>
          </c:dPt>
          <c:dPt>
            <c:idx val="2"/>
            <c:bubble3D val="0"/>
            <c:spPr>
              <a:solidFill>
                <a:schemeClr val="accent3"/>
              </a:solidFill>
              <a:ln w="12700">
                <a:solidFill>
                  <a:schemeClr val="bg1"/>
                </a:solidFill>
              </a:ln>
              <a:effectLst/>
              <a:sp3d contourW="25400">
                <a:contourClr>
                  <a:schemeClr val="lt1"/>
                </a:contourClr>
              </a:sp3d>
            </c:spPr>
            <c:extLst>
              <c:ext xmlns:c16="http://schemas.microsoft.com/office/drawing/2014/chart" uri="{C3380CC4-5D6E-409C-BE32-E72D297353CC}">
                <c16:uniqueId val="{00000005-4718-4735-99D5-3AFC41083D46}"/>
              </c:ext>
            </c:extLst>
          </c:dPt>
          <c:dLbls>
            <c:dLbl>
              <c:idx val="0"/>
              <c:tx>
                <c:rich>
                  <a:bodyPr/>
                  <a:lstStyle/>
                  <a:p>
                    <a:r>
                      <a:rPr lang="en-US"/>
                      <a:t>81%</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718-4735-99D5-3AFC41083D46}"/>
                </c:ext>
              </c:extLst>
            </c:dLbl>
            <c:dLbl>
              <c:idx val="1"/>
              <c:tx>
                <c:rich>
                  <a:bodyPr/>
                  <a:lstStyle/>
                  <a:p>
                    <a:r>
                      <a:rPr lang="en-US"/>
                      <a:t>11%</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718-4735-99D5-3AFC41083D46}"/>
                </c:ext>
              </c:extLst>
            </c:dLbl>
            <c:dLbl>
              <c:idx val="2"/>
              <c:tx>
                <c:rich>
                  <a:bodyPr/>
                  <a:lstStyle/>
                  <a:p>
                    <a:r>
                      <a:rPr lang="en-US"/>
                      <a:t>8%</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718-4735-99D5-3AFC41083D46}"/>
                </c:ext>
              </c:extLst>
            </c:dLbl>
            <c:spPr>
              <a:noFill/>
              <a:ln w="25400">
                <a:noFill/>
              </a:ln>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bg-BG"/>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'[Таблици-ГФО-Анализ Търг.част.xlsx]Лист1'!$B$24:$D$24</c:f>
              <c:strCache>
                <c:ptCount val="3"/>
                <c:pt idx="0">
                  <c:v>Внос</c:v>
                </c:pt>
                <c:pt idx="1">
                  <c:v>Износ</c:v>
                </c:pt>
                <c:pt idx="2">
                  <c:v>Крайбр./транс.</c:v>
                </c:pt>
              </c:strCache>
            </c:strRef>
          </c:cat>
          <c:val>
            <c:numRef>
              <c:f>'[Таблици-ГФО-Анализ Търг.част.xlsx]Лист1'!$B$25:$D$25</c:f>
              <c:numCache>
                <c:formatCode>General</c:formatCode>
                <c:ptCount val="3"/>
                <c:pt idx="0">
                  <c:v>81</c:v>
                </c:pt>
                <c:pt idx="1">
                  <c:v>11</c:v>
                </c:pt>
                <c:pt idx="2">
                  <c:v>8</c:v>
                </c:pt>
              </c:numCache>
            </c:numRef>
          </c:val>
          <c:extLst>
            <c:ext xmlns:c16="http://schemas.microsoft.com/office/drawing/2014/chart" uri="{C3380CC4-5D6E-409C-BE32-E72D297353CC}">
              <c16:uniqueId val="{00000006-4718-4735-99D5-3AFC41083D46}"/>
            </c:ext>
          </c:extLst>
        </c:ser>
        <c:dLbls>
          <c:showLegendKey val="0"/>
          <c:showVal val="0"/>
          <c:showCatName val="0"/>
          <c:showSerName val="0"/>
          <c:showPercent val="0"/>
          <c:showBubbleSize val="0"/>
          <c:showLeaderLines val="1"/>
        </c:dLbls>
      </c:pie3DChart>
      <c:spPr>
        <a:noFill/>
        <a:ln w="25400">
          <a:noFill/>
        </a:ln>
      </c:spPr>
    </c:plotArea>
    <c:legend>
      <c:legendPos val="t"/>
      <c:overlay val="0"/>
      <c:spPr>
        <a:noFill/>
        <a:ln w="25400">
          <a:noFill/>
        </a:ln>
      </c:spPr>
      <c:txPr>
        <a:bodyPr rot="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bg-BG"/>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ysClr val="windowText" lastClr="000000"/>
                </a:solidFill>
                <a:latin typeface="+mn-lt"/>
                <a:ea typeface="+mn-ea"/>
                <a:cs typeface="+mn-cs"/>
              </a:defRPr>
            </a:pPr>
            <a:r>
              <a:rPr lang="en-US"/>
              <a:t>2016</a:t>
            </a:r>
          </a:p>
        </c:rich>
      </c:tx>
      <c:overlay val="0"/>
      <c:spPr>
        <a:noFill/>
        <a:ln w="25400">
          <a:noFill/>
        </a:ln>
      </c:spPr>
    </c:title>
    <c:autoTitleDeleted val="0"/>
    <c:view3D>
      <c:rotX val="30"/>
      <c:rotY val="27"/>
      <c:rAngAx val="0"/>
      <c:perspective val="0"/>
    </c:view3D>
    <c:floor>
      <c:thickness val="0"/>
    </c:floor>
    <c:sideWall>
      <c:thickness val="0"/>
    </c:sideWall>
    <c:backWall>
      <c:thickness val="0"/>
    </c:backWall>
    <c:plotArea>
      <c:layout>
        <c:manualLayout>
          <c:layoutTarget val="inner"/>
          <c:xMode val="edge"/>
          <c:yMode val="edge"/>
          <c:x val="9.8414415369795949E-2"/>
          <c:y val="0.35009742426264512"/>
          <c:w val="0.82561785837376389"/>
          <c:h val="0.54254593175853016"/>
        </c:manualLayout>
      </c:layout>
      <c:pie3DChart>
        <c:varyColors val="1"/>
        <c:ser>
          <c:idx val="0"/>
          <c:order val="0"/>
          <c:tx>
            <c:strRef>
              <c:f>'[Таблици-ГФО-Анализ Търг.част.xlsx]Лист1'!$A$20</c:f>
              <c:strCache>
                <c:ptCount val="1"/>
                <c:pt idx="0">
                  <c:v>2016</c:v>
                </c:pt>
              </c:strCache>
            </c:strRef>
          </c:tx>
          <c:spPr>
            <a:ln>
              <a:solidFill>
                <a:schemeClr val="bg1"/>
              </a:solidFill>
            </a:ln>
          </c:spPr>
          <c:dPt>
            <c:idx val="0"/>
            <c:bubble3D val="0"/>
            <c:extLst>
              <c:ext xmlns:c16="http://schemas.microsoft.com/office/drawing/2014/chart" uri="{C3380CC4-5D6E-409C-BE32-E72D297353CC}">
                <c16:uniqueId val="{00000000-E670-41D2-ACBE-FBB98DB5A2EC}"/>
              </c:ext>
            </c:extLst>
          </c:dPt>
          <c:dPt>
            <c:idx val="1"/>
            <c:bubble3D val="0"/>
            <c:extLst>
              <c:ext xmlns:c16="http://schemas.microsoft.com/office/drawing/2014/chart" uri="{C3380CC4-5D6E-409C-BE32-E72D297353CC}">
                <c16:uniqueId val="{00000001-E670-41D2-ACBE-FBB98DB5A2EC}"/>
              </c:ext>
            </c:extLst>
          </c:dPt>
          <c:dPt>
            <c:idx val="2"/>
            <c:bubble3D val="0"/>
            <c:extLst>
              <c:ext xmlns:c16="http://schemas.microsoft.com/office/drawing/2014/chart" uri="{C3380CC4-5D6E-409C-BE32-E72D297353CC}">
                <c16:uniqueId val="{00000002-E670-41D2-ACBE-FBB98DB5A2EC}"/>
              </c:ext>
            </c:extLst>
          </c:dPt>
          <c:dLbls>
            <c:dLbl>
              <c:idx val="0"/>
              <c:tx>
                <c:rich>
                  <a:bodyPr/>
                  <a:lstStyle/>
                  <a:p>
                    <a:r>
                      <a:rPr lang="en-US"/>
                      <a:t>66%</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670-41D2-ACBE-FBB98DB5A2EC}"/>
                </c:ext>
              </c:extLst>
            </c:dLbl>
            <c:dLbl>
              <c:idx val="1"/>
              <c:tx>
                <c:rich>
                  <a:bodyPr/>
                  <a:lstStyle/>
                  <a:p>
                    <a:r>
                      <a:rPr lang="en-US"/>
                      <a:t>30%</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670-41D2-ACBE-FBB98DB5A2EC}"/>
                </c:ext>
              </c:extLst>
            </c:dLbl>
            <c:spPr>
              <a:noFill/>
              <a:ln w="25400">
                <a:noFill/>
              </a:ln>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bg-BG"/>
              </a:p>
            </c:txPr>
            <c:showLegendKey val="0"/>
            <c:showVal val="0"/>
            <c:showCatName val="0"/>
            <c:showSerName val="0"/>
            <c:showPercent val="1"/>
            <c:showBubbleSize val="0"/>
            <c:showLeaderLines val="1"/>
            <c:extLst>
              <c:ext xmlns:c15="http://schemas.microsoft.com/office/drawing/2012/chart" uri="{CE6537A1-D6FC-4f65-9D91-7224C49458BB}"/>
            </c:extLst>
          </c:dLbls>
          <c:cat>
            <c:strRef>
              <c:f>'[Таблици-ГФО-Анализ Търг.част.xlsx]Лист1'!$B$19:$D$19</c:f>
              <c:strCache>
                <c:ptCount val="3"/>
                <c:pt idx="0">
                  <c:v>Внос</c:v>
                </c:pt>
                <c:pt idx="1">
                  <c:v>Износ</c:v>
                </c:pt>
                <c:pt idx="2">
                  <c:v>Крайбр./транс.</c:v>
                </c:pt>
              </c:strCache>
            </c:strRef>
          </c:cat>
          <c:val>
            <c:numRef>
              <c:f>'[Таблици-ГФО-Анализ Търг.част.xlsx]Лист1'!$B$20:$D$20</c:f>
              <c:numCache>
                <c:formatCode>General</c:formatCode>
                <c:ptCount val="3"/>
                <c:pt idx="0">
                  <c:v>66</c:v>
                </c:pt>
                <c:pt idx="1">
                  <c:v>30</c:v>
                </c:pt>
                <c:pt idx="2">
                  <c:v>4</c:v>
                </c:pt>
              </c:numCache>
            </c:numRef>
          </c:val>
          <c:extLst>
            <c:ext xmlns:c16="http://schemas.microsoft.com/office/drawing/2014/chart" uri="{C3380CC4-5D6E-409C-BE32-E72D297353CC}">
              <c16:uniqueId val="{00000003-E670-41D2-ACBE-FBB98DB5A2EC}"/>
            </c:ext>
          </c:extLst>
        </c:ser>
        <c:dLbls>
          <c:showLegendKey val="0"/>
          <c:showVal val="0"/>
          <c:showCatName val="0"/>
          <c:showSerName val="0"/>
          <c:showPercent val="0"/>
          <c:showBubbleSize val="0"/>
          <c:showLeaderLines val="1"/>
        </c:dLbls>
      </c:pie3DChart>
      <c:spPr>
        <a:noFill/>
        <a:ln w="25400">
          <a:noFill/>
        </a:ln>
      </c:spPr>
    </c:plotArea>
    <c:legend>
      <c:legendPos val="t"/>
      <c:overlay val="0"/>
      <c:spPr>
        <a:noFill/>
        <a:ln w="25400">
          <a:noFill/>
        </a:ln>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bg-BG"/>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none" spc="50" normalizeH="0" baseline="0">
                <a:solidFill>
                  <a:schemeClr val="accent1">
                    <a:lumMod val="50000"/>
                  </a:schemeClr>
                </a:solidFill>
                <a:latin typeface="+mj-lt"/>
                <a:ea typeface="+mj-ea"/>
                <a:cs typeface="+mj-cs"/>
              </a:defRPr>
            </a:pPr>
            <a:r>
              <a:rPr lang="bg-BG" b="1">
                <a:solidFill>
                  <a:schemeClr val="accent1">
                    <a:lumMod val="50000"/>
                  </a:schemeClr>
                </a:solidFill>
              </a:rPr>
              <a:t>Товарооборот по клиенти</a:t>
            </a:r>
          </a:p>
        </c:rich>
      </c:tx>
      <c:overlay val="0"/>
      <c:spPr>
        <a:noFill/>
        <a:ln>
          <a:noFill/>
        </a:ln>
        <a:effectLst/>
      </c:spPr>
      <c:txPr>
        <a:bodyPr rot="0" spcFirstLastPara="1" vertOverflow="ellipsis" vert="horz" wrap="square" anchor="ctr" anchorCtr="1"/>
        <a:lstStyle/>
        <a:p>
          <a:pPr>
            <a:defRPr sz="1600" b="1" i="0" u="none" strike="noStrike" kern="1200" cap="none" spc="50" normalizeH="0" baseline="0">
              <a:solidFill>
                <a:schemeClr val="accent1">
                  <a:lumMod val="50000"/>
                </a:schemeClr>
              </a:solidFill>
              <a:latin typeface="+mj-lt"/>
              <a:ea typeface="+mj-ea"/>
              <a:cs typeface="+mj-cs"/>
            </a:defRPr>
          </a:pPr>
          <a:endParaRPr lang="bg-BG"/>
        </a:p>
      </c:txPr>
    </c:title>
    <c:autoTitleDeleted val="0"/>
    <c:plotArea>
      <c:layout>
        <c:manualLayout>
          <c:layoutTarget val="inner"/>
          <c:xMode val="edge"/>
          <c:yMode val="edge"/>
          <c:x val="5.9402875845338612E-2"/>
          <c:y val="0.11412037037037037"/>
          <c:w val="0.91616951495520893"/>
          <c:h val="0.53011300670749495"/>
        </c:manualLayout>
      </c:layout>
      <c:barChart>
        <c:barDir val="col"/>
        <c:grouping val="clustered"/>
        <c:varyColors val="0"/>
        <c:ser>
          <c:idx val="0"/>
          <c:order val="0"/>
          <c:tx>
            <c:strRef>
              <c:f>'\\192.168.0.231\pk-ruse\Analizi\Албена\Public\Biznes plan_2018\BP 2018 text\Таблици\[Tables-BP 2017-Fin. a-z.xls]Sheet1'!$B$169</c:f>
              <c:strCache>
                <c:ptCount val="1"/>
                <c:pt idx="0">
                  <c:v>2017</c:v>
                </c:pt>
              </c:strCache>
            </c:strRef>
          </c:tx>
          <c:spPr>
            <a:solidFill>
              <a:schemeClr val="accent1">
                <a:alpha val="70000"/>
              </a:schemeClr>
            </a:solidFill>
            <a:ln>
              <a:noFill/>
            </a:ln>
            <a:effectLst/>
          </c:spPr>
          <c:invertIfNegative val="0"/>
          <c:cat>
            <c:strRef>
              <c:f>'\\192.168.0.231\pk-ruse\Analizi\Албена\Public\Biznes plan_2018\BP 2018 text\Таблици\[Tables-BP 2017-Fin. a-z.xls]Sheet1'!$A$170:$A$182</c:f>
              <c:strCache>
                <c:ptCount val="13"/>
                <c:pt idx="0">
                  <c:v>ТЕЦ-РУСЕ ЕАД</c:v>
                </c:pt>
                <c:pt idx="1">
                  <c:v>РТ ООД</c:v>
                </c:pt>
                <c:pt idx="2">
                  <c:v>ПИМК ООД</c:v>
                </c:pt>
                <c:pt idx="3">
                  <c:v>Промет стиил ЕАД</c:v>
                </c:pt>
                <c:pt idx="4">
                  <c:v>Каолин ЕАД</c:v>
                </c:pt>
                <c:pt idx="5">
                  <c:v>Октопод С ЕООД</c:v>
                </c:pt>
                <c:pt idx="6">
                  <c:v>Ритъм-4-ТБ ЕООД</c:v>
                </c:pt>
                <c:pt idx="7">
                  <c:v>Юнитранс ООД</c:v>
                </c:pt>
                <c:pt idx="8">
                  <c:v>Еконт транс ООД</c:v>
                </c:pt>
                <c:pt idx="9">
                  <c:v>ЕТ Л. Стоянов-Автоман</c:v>
                </c:pt>
                <c:pt idx="10">
                  <c:v>Деспред АД</c:v>
                </c:pt>
                <c:pt idx="11">
                  <c:v>Интралок ЕООД</c:v>
                </c:pt>
                <c:pt idx="12">
                  <c:v>Холлеман България ООД</c:v>
                </c:pt>
              </c:strCache>
            </c:strRef>
          </c:cat>
          <c:val>
            <c:numRef>
              <c:f>'\\192.168.0.231\pk-ruse\Analizi\Албена\Public\Biznes plan_2018\BP 2018 text\Таблици\[Tables-BP 2017-Fin. a-z.xls]Sheet1'!$B$170:$B$182</c:f>
              <c:numCache>
                <c:formatCode>General</c:formatCode>
                <c:ptCount val="13"/>
                <c:pt idx="0">
                  <c:v>140</c:v>
                </c:pt>
                <c:pt idx="1">
                  <c:v>60</c:v>
                </c:pt>
                <c:pt idx="2">
                  <c:v>20</c:v>
                </c:pt>
                <c:pt idx="3">
                  <c:v>13</c:v>
                </c:pt>
                <c:pt idx="4">
                  <c:v>45</c:v>
                </c:pt>
                <c:pt idx="5">
                  <c:v>0</c:v>
                </c:pt>
                <c:pt idx="6">
                  <c:v>90</c:v>
                </c:pt>
                <c:pt idx="7">
                  <c:v>169</c:v>
                </c:pt>
                <c:pt idx="8">
                  <c:v>10</c:v>
                </c:pt>
                <c:pt idx="9">
                  <c:v>45</c:v>
                </c:pt>
                <c:pt idx="10">
                  <c:v>29</c:v>
                </c:pt>
                <c:pt idx="11">
                  <c:v>15</c:v>
                </c:pt>
                <c:pt idx="12">
                  <c:v>12</c:v>
                </c:pt>
              </c:numCache>
            </c:numRef>
          </c:val>
          <c:extLst>
            <c:ext xmlns:c16="http://schemas.microsoft.com/office/drawing/2014/chart" uri="{C3380CC4-5D6E-409C-BE32-E72D297353CC}">
              <c16:uniqueId val="{00000000-599F-4065-AB08-7663068A4B7B}"/>
            </c:ext>
          </c:extLst>
        </c:ser>
        <c:ser>
          <c:idx val="1"/>
          <c:order val="1"/>
          <c:tx>
            <c:strRef>
              <c:f>'\\192.168.0.231\pk-ruse\Analizi\Албена\Public\Biznes plan_2018\BP 2018 text\Таблици\[Tables-BP 2017-Fin. a-z.xls]Sheet1'!$C$169</c:f>
              <c:strCache>
                <c:ptCount val="1"/>
                <c:pt idx="0">
                  <c:v>2016</c:v>
                </c:pt>
              </c:strCache>
            </c:strRef>
          </c:tx>
          <c:spPr>
            <a:solidFill>
              <a:schemeClr val="accent2">
                <a:alpha val="70000"/>
              </a:schemeClr>
            </a:solidFill>
            <a:ln>
              <a:noFill/>
            </a:ln>
            <a:effectLst/>
          </c:spPr>
          <c:invertIfNegative val="0"/>
          <c:cat>
            <c:strRef>
              <c:f>'\\192.168.0.231\pk-ruse\Analizi\Албена\Public\Biznes plan_2018\BP 2018 text\Таблици\[Tables-BP 2017-Fin. a-z.xls]Sheet1'!$A$170:$A$182</c:f>
              <c:strCache>
                <c:ptCount val="13"/>
                <c:pt idx="0">
                  <c:v>ТЕЦ-РУСЕ ЕАД</c:v>
                </c:pt>
                <c:pt idx="1">
                  <c:v>РТ ООД</c:v>
                </c:pt>
                <c:pt idx="2">
                  <c:v>ПИМК ООД</c:v>
                </c:pt>
                <c:pt idx="3">
                  <c:v>Промет стиил ЕАД</c:v>
                </c:pt>
                <c:pt idx="4">
                  <c:v>Каолин ЕАД</c:v>
                </c:pt>
                <c:pt idx="5">
                  <c:v>Октопод С ЕООД</c:v>
                </c:pt>
                <c:pt idx="6">
                  <c:v>Ритъм-4-ТБ ЕООД</c:v>
                </c:pt>
                <c:pt idx="7">
                  <c:v>Юнитранс ООД</c:v>
                </c:pt>
                <c:pt idx="8">
                  <c:v>Еконт транс ООД</c:v>
                </c:pt>
                <c:pt idx="9">
                  <c:v>ЕТ Л. Стоянов-Автоман</c:v>
                </c:pt>
                <c:pt idx="10">
                  <c:v>Деспред АД</c:v>
                </c:pt>
                <c:pt idx="11">
                  <c:v>Интралок ЕООД</c:v>
                </c:pt>
                <c:pt idx="12">
                  <c:v>Холлеман България ООД</c:v>
                </c:pt>
              </c:strCache>
            </c:strRef>
          </c:cat>
          <c:val>
            <c:numRef>
              <c:f>'\\192.168.0.231\pk-ruse\Analizi\Албена\Public\Biznes plan_2018\BP 2018 text\Таблици\[Tables-BP 2017-Fin. a-z.xls]Sheet1'!$C$170:$C$182</c:f>
              <c:numCache>
                <c:formatCode>General</c:formatCode>
                <c:ptCount val="13"/>
                <c:pt idx="0">
                  <c:v>162</c:v>
                </c:pt>
                <c:pt idx="1">
                  <c:v>86</c:v>
                </c:pt>
                <c:pt idx="2">
                  <c:v>82</c:v>
                </c:pt>
                <c:pt idx="3">
                  <c:v>59</c:v>
                </c:pt>
                <c:pt idx="4">
                  <c:v>42</c:v>
                </c:pt>
                <c:pt idx="5">
                  <c:v>38</c:v>
                </c:pt>
                <c:pt idx="6">
                  <c:v>36</c:v>
                </c:pt>
                <c:pt idx="7">
                  <c:v>29</c:v>
                </c:pt>
                <c:pt idx="8">
                  <c:v>25</c:v>
                </c:pt>
                <c:pt idx="9">
                  <c:v>19</c:v>
                </c:pt>
                <c:pt idx="10">
                  <c:v>3</c:v>
                </c:pt>
                <c:pt idx="11">
                  <c:v>6</c:v>
                </c:pt>
                <c:pt idx="12">
                  <c:v>10</c:v>
                </c:pt>
              </c:numCache>
            </c:numRef>
          </c:val>
          <c:extLst>
            <c:ext xmlns:c16="http://schemas.microsoft.com/office/drawing/2014/chart" uri="{C3380CC4-5D6E-409C-BE32-E72D297353CC}">
              <c16:uniqueId val="{00000001-599F-4065-AB08-7663068A4B7B}"/>
            </c:ext>
          </c:extLst>
        </c:ser>
        <c:ser>
          <c:idx val="2"/>
          <c:order val="2"/>
          <c:tx>
            <c:strRef>
              <c:f>'\\192.168.0.231\pk-ruse\Analizi\Албена\Public\Biznes plan_2018\BP 2018 text\Таблици\[Tables-BP 2017-Fin. a-z.xls]Sheet1'!$D$169</c:f>
              <c:strCache>
                <c:ptCount val="1"/>
                <c:pt idx="0">
                  <c:v>2015</c:v>
                </c:pt>
              </c:strCache>
            </c:strRef>
          </c:tx>
          <c:spPr>
            <a:solidFill>
              <a:schemeClr val="accent3">
                <a:alpha val="70000"/>
              </a:schemeClr>
            </a:solidFill>
            <a:ln>
              <a:noFill/>
            </a:ln>
            <a:effectLst/>
          </c:spPr>
          <c:invertIfNegative val="0"/>
          <c:cat>
            <c:strRef>
              <c:f>'\\192.168.0.231\pk-ruse\Analizi\Албена\Public\Biznes plan_2018\BP 2018 text\Таблици\[Tables-BP 2017-Fin. a-z.xls]Sheet1'!$A$170:$A$182</c:f>
              <c:strCache>
                <c:ptCount val="13"/>
                <c:pt idx="0">
                  <c:v>ТЕЦ-РУСЕ ЕАД</c:v>
                </c:pt>
                <c:pt idx="1">
                  <c:v>РТ ООД</c:v>
                </c:pt>
                <c:pt idx="2">
                  <c:v>ПИМК ООД</c:v>
                </c:pt>
                <c:pt idx="3">
                  <c:v>Промет стиил ЕАД</c:v>
                </c:pt>
                <c:pt idx="4">
                  <c:v>Каолин ЕАД</c:v>
                </c:pt>
                <c:pt idx="5">
                  <c:v>Октопод С ЕООД</c:v>
                </c:pt>
                <c:pt idx="6">
                  <c:v>Ритъм-4-ТБ ЕООД</c:v>
                </c:pt>
                <c:pt idx="7">
                  <c:v>Юнитранс ООД</c:v>
                </c:pt>
                <c:pt idx="8">
                  <c:v>Еконт транс ООД</c:v>
                </c:pt>
                <c:pt idx="9">
                  <c:v>ЕТ Л. Стоянов-Автоман</c:v>
                </c:pt>
                <c:pt idx="10">
                  <c:v>Деспред АД</c:v>
                </c:pt>
                <c:pt idx="11">
                  <c:v>Интралок ЕООД</c:v>
                </c:pt>
                <c:pt idx="12">
                  <c:v>Холлеман България ООД</c:v>
                </c:pt>
              </c:strCache>
            </c:strRef>
          </c:cat>
          <c:val>
            <c:numRef>
              <c:f>'\\192.168.0.231\pk-ruse\Analizi\Албена\Public\Biznes plan_2018\BP 2018 text\Таблици\[Tables-BP 2017-Fin. a-z.xls]Sheet1'!$D$170:$D$182</c:f>
              <c:numCache>
                <c:formatCode>General</c:formatCode>
                <c:ptCount val="13"/>
                <c:pt idx="0">
                  <c:v>132</c:v>
                </c:pt>
                <c:pt idx="1">
                  <c:v>76</c:v>
                </c:pt>
                <c:pt idx="2">
                  <c:v>71</c:v>
                </c:pt>
                <c:pt idx="3">
                  <c:v>20</c:v>
                </c:pt>
                <c:pt idx="4">
                  <c:v>35</c:v>
                </c:pt>
                <c:pt idx="5">
                  <c:v>4</c:v>
                </c:pt>
                <c:pt idx="6">
                  <c:v>69</c:v>
                </c:pt>
                <c:pt idx="7">
                  <c:v>41</c:v>
                </c:pt>
                <c:pt idx="8">
                  <c:v>38</c:v>
                </c:pt>
                <c:pt idx="9">
                  <c:v>34</c:v>
                </c:pt>
                <c:pt idx="10">
                  <c:v>20</c:v>
                </c:pt>
                <c:pt idx="11">
                  <c:v>0</c:v>
                </c:pt>
                <c:pt idx="12">
                  <c:v>0</c:v>
                </c:pt>
              </c:numCache>
            </c:numRef>
          </c:val>
          <c:extLst>
            <c:ext xmlns:c16="http://schemas.microsoft.com/office/drawing/2014/chart" uri="{C3380CC4-5D6E-409C-BE32-E72D297353CC}">
              <c16:uniqueId val="{00000002-599F-4065-AB08-7663068A4B7B}"/>
            </c:ext>
          </c:extLst>
        </c:ser>
        <c:dLbls>
          <c:showLegendKey val="0"/>
          <c:showVal val="0"/>
          <c:showCatName val="0"/>
          <c:showSerName val="0"/>
          <c:showPercent val="0"/>
          <c:showBubbleSize val="0"/>
        </c:dLbls>
        <c:gapWidth val="80"/>
        <c:overlap val="25"/>
        <c:axId val="83875328"/>
        <c:axId val="83877248"/>
      </c:barChart>
      <c:catAx>
        <c:axId val="83875328"/>
        <c:scaling>
          <c:orientation val="minMax"/>
        </c:scaling>
        <c:delete val="0"/>
        <c:axPos val="b"/>
        <c:title>
          <c:tx>
            <c:rich>
              <a:bodyPr rot="0" spcFirstLastPara="1" vertOverflow="ellipsis" vert="horz" wrap="square" anchor="ctr" anchorCtr="1"/>
              <a:lstStyle/>
              <a:p>
                <a:pPr algn="r">
                  <a:defRPr sz="900" b="0" i="0" u="none" strike="noStrike" kern="1200" cap="none" baseline="0">
                    <a:solidFill>
                      <a:schemeClr val="tx1">
                        <a:lumMod val="65000"/>
                        <a:lumOff val="35000"/>
                      </a:schemeClr>
                    </a:solidFill>
                    <a:latin typeface="+mn-lt"/>
                    <a:ea typeface="+mn-ea"/>
                    <a:cs typeface="+mn-cs"/>
                  </a:defRPr>
                </a:pPr>
                <a:r>
                  <a:rPr lang="bg-BG" cap="none" baseline="0"/>
                  <a:t>хил.физ.</a:t>
                </a:r>
              </a:p>
              <a:p>
                <a:pPr algn="r">
                  <a:defRPr cap="none"/>
                </a:pPr>
                <a:r>
                  <a:rPr lang="bg-BG" cap="none" baseline="0"/>
                  <a:t>тона</a:t>
                </a:r>
              </a:p>
            </c:rich>
          </c:tx>
          <c:layout>
            <c:manualLayout>
              <c:xMode val="edge"/>
              <c:yMode val="edge"/>
              <c:x val="1.0346967834584818E-2"/>
              <c:y val="2.5603543743078626E-2"/>
            </c:manualLayout>
          </c:layout>
          <c:overlay val="0"/>
          <c:spPr>
            <a:noFill/>
            <a:ln>
              <a:noFill/>
            </a:ln>
            <a:effectLst/>
          </c:spPr>
          <c:txPr>
            <a:bodyPr rot="0" spcFirstLastPara="1" vertOverflow="ellipsis" vert="horz" wrap="square" anchor="ctr" anchorCtr="1"/>
            <a:lstStyle/>
            <a:p>
              <a:pPr algn="r">
                <a:defRPr sz="900" b="0" i="0" u="none" strike="noStrike" kern="1200" cap="none" baseline="0">
                  <a:solidFill>
                    <a:schemeClr val="tx1">
                      <a:lumMod val="65000"/>
                      <a:lumOff val="35000"/>
                    </a:schemeClr>
                  </a:solidFill>
                  <a:latin typeface="+mn-lt"/>
                  <a:ea typeface="+mn-ea"/>
                  <a:cs typeface="+mn-cs"/>
                </a:defRPr>
              </a:pPr>
              <a:endParaRPr lang="bg-BG"/>
            </a:p>
          </c:txPr>
        </c:title>
        <c:numFmt formatCode="General" sourceLinked="1"/>
        <c:majorTickMark val="none"/>
        <c:minorTickMark val="none"/>
        <c:tickLblPos val="nextTo"/>
        <c:spPr>
          <a:noFill/>
          <a:ln w="15875" cap="flat" cmpd="sng" algn="ctr">
            <a:solidFill>
              <a:schemeClr val="tx1">
                <a:lumMod val="25000"/>
                <a:lumOff val="75000"/>
              </a:schemeClr>
            </a:solidFill>
            <a:round/>
          </a:ln>
          <a:effectLst/>
        </c:spPr>
        <c:txPr>
          <a:bodyPr rot="-2700000" spcFirstLastPara="1" vertOverflow="ellipsis" wrap="square" anchor="ctr" anchorCtr="1"/>
          <a:lstStyle/>
          <a:p>
            <a:pPr>
              <a:defRPr sz="900" b="0" i="0" u="none" strike="noStrike" kern="1200" cap="none" spc="20" normalizeH="0" baseline="0">
                <a:solidFill>
                  <a:schemeClr val="tx1">
                    <a:lumMod val="65000"/>
                    <a:lumOff val="35000"/>
                  </a:schemeClr>
                </a:solidFill>
                <a:latin typeface="+mn-lt"/>
                <a:ea typeface="+mn-ea"/>
                <a:cs typeface="+mn-cs"/>
              </a:defRPr>
            </a:pPr>
            <a:endParaRPr lang="bg-BG"/>
          </a:p>
        </c:txPr>
        <c:crossAx val="83877248"/>
        <c:crosses val="autoZero"/>
        <c:auto val="1"/>
        <c:lblAlgn val="ctr"/>
        <c:lblOffset val="100"/>
        <c:noMultiLvlLbl val="0"/>
      </c:catAx>
      <c:valAx>
        <c:axId val="83877248"/>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spc="20" baseline="0">
                <a:solidFill>
                  <a:schemeClr val="tx1">
                    <a:lumMod val="65000"/>
                    <a:lumOff val="35000"/>
                  </a:schemeClr>
                </a:solidFill>
                <a:latin typeface="+mn-lt"/>
                <a:ea typeface="+mn-ea"/>
                <a:cs typeface="+mn-cs"/>
              </a:defRPr>
            </a:pPr>
            <a:endParaRPr lang="bg-BG"/>
          </a:p>
        </c:txPr>
        <c:crossAx val="83875328"/>
        <c:crosses val="autoZero"/>
        <c:crossBetween val="between"/>
      </c:valAx>
      <c:spPr>
        <a:noFill/>
        <a:ln>
          <a:noFill/>
        </a:ln>
        <a:effectLst/>
      </c:spPr>
    </c:plotArea>
    <c:legend>
      <c:legendPos val="b"/>
      <c:layout>
        <c:manualLayout>
          <c:xMode val="edge"/>
          <c:yMode val="edge"/>
          <c:x val="0.75424470704685875"/>
          <c:y val="0.1810625997331729"/>
          <c:w val="0.20866669100674626"/>
          <c:h val="7.4751353755199215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bg-BG"/>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00" b="1" i="0" u="none" strike="noStrike" kern="1200" baseline="0">
                <a:solidFill>
                  <a:schemeClr val="dk1">
                    <a:lumMod val="75000"/>
                    <a:lumOff val="25000"/>
                  </a:schemeClr>
                </a:solidFill>
                <a:latin typeface="+mn-lt"/>
                <a:ea typeface="+mn-ea"/>
                <a:cs typeface="+mn-cs"/>
              </a:defRPr>
            </a:pPr>
            <a:r>
              <a:rPr lang="bg-BG" sz="1300"/>
              <a:t>Основни резултати от дейността</a:t>
            </a:r>
          </a:p>
        </c:rich>
      </c:tx>
      <c:overlay val="0"/>
      <c:spPr>
        <a:noFill/>
        <a:ln>
          <a:noFill/>
        </a:ln>
        <a:effectLst/>
      </c:spPr>
      <c:txPr>
        <a:bodyPr rot="0" spcFirstLastPara="1" vertOverflow="ellipsis" vert="horz" wrap="square" anchor="ctr" anchorCtr="1"/>
        <a:lstStyle/>
        <a:p>
          <a:pPr>
            <a:defRPr sz="1300" b="1" i="0" u="none" strike="noStrike" kern="1200" baseline="0">
              <a:solidFill>
                <a:schemeClr val="dk1">
                  <a:lumMod val="75000"/>
                  <a:lumOff val="25000"/>
                </a:schemeClr>
              </a:solidFill>
              <a:latin typeface="+mn-lt"/>
              <a:ea typeface="+mn-ea"/>
              <a:cs typeface="+mn-cs"/>
            </a:defRPr>
          </a:pPr>
          <a:endParaRPr lang="bg-BG"/>
        </a:p>
      </c:txPr>
    </c:title>
    <c:autoTitleDeleted val="0"/>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9929445956958463E-2"/>
          <c:y val="0.131116492296173"/>
          <c:w val="0.86685046704303415"/>
          <c:h val="0.68200059031008109"/>
        </c:manualLayout>
      </c:layout>
      <c:bar3DChart>
        <c:barDir val="col"/>
        <c:grouping val="clustered"/>
        <c:varyColors val="0"/>
        <c:ser>
          <c:idx val="0"/>
          <c:order val="0"/>
          <c:tx>
            <c:strRef>
              <c:f>[Tables_GFO_2017.xlsx]Sheet1!$B$1</c:f>
              <c:strCache>
                <c:ptCount val="1"/>
                <c:pt idx="0">
                  <c:v>2017</c:v>
                </c:pt>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cat>
            <c:strRef>
              <c:f>[Tables_GFO_2017.xlsx]Sheet1!$A$2:$A$5</c:f>
              <c:strCache>
                <c:ptCount val="4"/>
                <c:pt idx="0">
                  <c:v>Товари хил.физ.тона</c:v>
                </c:pt>
                <c:pt idx="1">
                  <c:v>Нет.приходи хил.лв.</c:v>
                </c:pt>
                <c:pt idx="2">
                  <c:v>Разходи за дейността хил.лв.</c:v>
                </c:pt>
                <c:pt idx="3">
                  <c:v>Сч.Печалба хил.лв.</c:v>
                </c:pt>
              </c:strCache>
            </c:strRef>
          </c:cat>
          <c:val>
            <c:numRef>
              <c:f>[Tables_GFO_2017.xlsx]Sheet1!$B$2:$B$5</c:f>
              <c:numCache>
                <c:formatCode>General</c:formatCode>
                <c:ptCount val="4"/>
                <c:pt idx="0">
                  <c:v>728</c:v>
                </c:pt>
                <c:pt idx="1">
                  <c:v>5414</c:v>
                </c:pt>
                <c:pt idx="2">
                  <c:v>4784</c:v>
                </c:pt>
                <c:pt idx="3">
                  <c:v>600</c:v>
                </c:pt>
              </c:numCache>
            </c:numRef>
          </c:val>
          <c:extLst>
            <c:ext xmlns:c16="http://schemas.microsoft.com/office/drawing/2014/chart" uri="{C3380CC4-5D6E-409C-BE32-E72D297353CC}">
              <c16:uniqueId val="{00000000-59FF-4ED2-B60E-2A642529E2E9}"/>
            </c:ext>
          </c:extLst>
        </c:ser>
        <c:ser>
          <c:idx val="1"/>
          <c:order val="1"/>
          <c:tx>
            <c:strRef>
              <c:f>[Tables_GFO_2017.xlsx]Sheet1!$C$1</c:f>
              <c:strCache>
                <c:ptCount val="1"/>
                <c:pt idx="0">
                  <c:v>БП 2017</c:v>
                </c:pt>
              </c:strCache>
            </c:strRef>
          </c:tx>
          <c:spPr>
            <a:solidFill>
              <a:schemeClr val="accent2">
                <a:alpha val="85000"/>
              </a:schemeClr>
            </a:solidFill>
            <a:ln w="9525" cap="flat" cmpd="sng" algn="ctr">
              <a:solidFill>
                <a:schemeClr val="accent2">
                  <a:lumMod val="75000"/>
                </a:schemeClr>
              </a:solidFill>
              <a:round/>
            </a:ln>
            <a:effectLst/>
            <a:sp3d contourW="9525">
              <a:contourClr>
                <a:schemeClr val="accent2">
                  <a:lumMod val="75000"/>
                </a:schemeClr>
              </a:contourClr>
            </a:sp3d>
          </c:spPr>
          <c:invertIfNegative val="0"/>
          <c:cat>
            <c:strRef>
              <c:f>[Tables_GFO_2017.xlsx]Sheet1!$A$2:$A$5</c:f>
              <c:strCache>
                <c:ptCount val="4"/>
                <c:pt idx="0">
                  <c:v>Товари хил.физ.тона</c:v>
                </c:pt>
                <c:pt idx="1">
                  <c:v>Нет.приходи хил.лв.</c:v>
                </c:pt>
                <c:pt idx="2">
                  <c:v>Разходи за дейността хил.лв.</c:v>
                </c:pt>
                <c:pt idx="3">
                  <c:v>Сч.Печалба хил.лв.</c:v>
                </c:pt>
              </c:strCache>
            </c:strRef>
          </c:cat>
          <c:val>
            <c:numRef>
              <c:f>[Tables_GFO_2017.xlsx]Sheet1!$C$2:$C$5</c:f>
              <c:numCache>
                <c:formatCode>General</c:formatCode>
                <c:ptCount val="4"/>
                <c:pt idx="0">
                  <c:v>623</c:v>
                </c:pt>
                <c:pt idx="1">
                  <c:v>5496</c:v>
                </c:pt>
                <c:pt idx="2">
                  <c:v>4964</c:v>
                </c:pt>
                <c:pt idx="3">
                  <c:v>572</c:v>
                </c:pt>
              </c:numCache>
            </c:numRef>
          </c:val>
          <c:extLst>
            <c:ext xmlns:c16="http://schemas.microsoft.com/office/drawing/2014/chart" uri="{C3380CC4-5D6E-409C-BE32-E72D297353CC}">
              <c16:uniqueId val="{00000001-59FF-4ED2-B60E-2A642529E2E9}"/>
            </c:ext>
          </c:extLst>
        </c:ser>
        <c:ser>
          <c:idx val="2"/>
          <c:order val="2"/>
          <c:tx>
            <c:strRef>
              <c:f>[Tables_GFO_2017.xlsx]Sheet1!$D$1</c:f>
              <c:strCache>
                <c:ptCount val="1"/>
                <c:pt idx="0">
                  <c:v>2016</c:v>
                </c:pt>
              </c:strCache>
            </c:strRef>
          </c:tx>
          <c:spPr>
            <a:solidFill>
              <a:srgbClr val="FFFF00">
                <a:alpha val="85000"/>
              </a:srgbClr>
            </a:solidFill>
            <a:ln w="9525" cap="flat" cmpd="sng" algn="ctr">
              <a:solidFill>
                <a:schemeClr val="accent3">
                  <a:lumMod val="75000"/>
                </a:schemeClr>
              </a:solidFill>
              <a:round/>
            </a:ln>
            <a:effectLst/>
            <a:sp3d contourW="9525">
              <a:contourClr>
                <a:schemeClr val="accent3">
                  <a:lumMod val="75000"/>
                </a:schemeClr>
              </a:contourClr>
            </a:sp3d>
          </c:spPr>
          <c:invertIfNegative val="0"/>
          <c:cat>
            <c:strRef>
              <c:f>[Tables_GFO_2017.xlsx]Sheet1!$A$2:$A$5</c:f>
              <c:strCache>
                <c:ptCount val="4"/>
                <c:pt idx="0">
                  <c:v>Товари хил.физ.тона</c:v>
                </c:pt>
                <c:pt idx="1">
                  <c:v>Нет.приходи хил.лв.</c:v>
                </c:pt>
                <c:pt idx="2">
                  <c:v>Разходи за дейността хил.лв.</c:v>
                </c:pt>
                <c:pt idx="3">
                  <c:v>Сч.Печалба хил.лв.</c:v>
                </c:pt>
              </c:strCache>
            </c:strRef>
          </c:cat>
          <c:val>
            <c:numRef>
              <c:f>[Tables_GFO_2017.xlsx]Sheet1!$D$2:$D$5</c:f>
              <c:numCache>
                <c:formatCode>General</c:formatCode>
                <c:ptCount val="4"/>
                <c:pt idx="0">
                  <c:v>706</c:v>
                </c:pt>
                <c:pt idx="1">
                  <c:v>6360</c:v>
                </c:pt>
                <c:pt idx="2">
                  <c:v>5150</c:v>
                </c:pt>
                <c:pt idx="3">
                  <c:v>926</c:v>
                </c:pt>
              </c:numCache>
            </c:numRef>
          </c:val>
          <c:extLst>
            <c:ext xmlns:c16="http://schemas.microsoft.com/office/drawing/2014/chart" uri="{C3380CC4-5D6E-409C-BE32-E72D297353CC}">
              <c16:uniqueId val="{00000002-59FF-4ED2-B60E-2A642529E2E9}"/>
            </c:ext>
          </c:extLst>
        </c:ser>
        <c:dLbls>
          <c:showLegendKey val="0"/>
          <c:showVal val="0"/>
          <c:showCatName val="0"/>
          <c:showSerName val="0"/>
          <c:showPercent val="0"/>
          <c:showBubbleSize val="0"/>
        </c:dLbls>
        <c:gapWidth val="65"/>
        <c:shape val="box"/>
        <c:axId val="83927424"/>
        <c:axId val="83928960"/>
        <c:axId val="0"/>
      </c:bar3DChart>
      <c:catAx>
        <c:axId val="83927424"/>
        <c:scaling>
          <c:orientation val="minMax"/>
        </c:scaling>
        <c:delete val="0"/>
        <c:axPos val="b"/>
        <c:numFmt formatCode="General" sourceLinked="0"/>
        <c:majorTickMark val="cross"/>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1" i="0" u="none" strike="noStrike" kern="1200" cap="all" baseline="0">
                <a:solidFill>
                  <a:schemeClr val="dk1">
                    <a:lumMod val="75000"/>
                    <a:lumOff val="25000"/>
                  </a:schemeClr>
                </a:solidFill>
                <a:latin typeface="+mn-lt"/>
                <a:ea typeface="+mn-ea"/>
                <a:cs typeface="+mn-cs"/>
              </a:defRPr>
            </a:pPr>
            <a:endParaRPr lang="bg-BG"/>
          </a:p>
        </c:txPr>
        <c:crossAx val="83928960"/>
        <c:crosses val="autoZero"/>
        <c:auto val="1"/>
        <c:lblAlgn val="ctr"/>
        <c:lblOffset val="100"/>
        <c:noMultiLvlLbl val="0"/>
      </c:catAx>
      <c:valAx>
        <c:axId val="83928960"/>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75000"/>
                    <a:lumOff val="25000"/>
                  </a:schemeClr>
                </a:solidFill>
                <a:latin typeface="+mn-lt"/>
                <a:ea typeface="+mn-ea"/>
                <a:cs typeface="+mn-cs"/>
              </a:defRPr>
            </a:pPr>
            <a:endParaRPr lang="bg-BG"/>
          </a:p>
        </c:txPr>
        <c:crossAx val="83927424"/>
        <c:crosses val="autoZero"/>
        <c:crossBetween val="between"/>
      </c:valAx>
      <c:spPr>
        <a:noFill/>
        <a:ln>
          <a:noFill/>
        </a:ln>
        <a:effectLst/>
      </c:spPr>
    </c:plotArea>
    <c:legend>
      <c:legendPos val="b"/>
      <c:layout>
        <c:manualLayout>
          <c:xMode val="edge"/>
          <c:yMode val="edge"/>
          <c:x val="0.84695880424355618"/>
          <c:y val="0.17696122111459237"/>
          <c:w val="0.14372303841558767"/>
          <c:h val="0.24874839540118998"/>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1" i="0" u="none" strike="noStrike" kern="1200" baseline="0">
              <a:solidFill>
                <a:schemeClr val="dk1">
                  <a:lumMod val="75000"/>
                  <a:lumOff val="25000"/>
                </a:schemeClr>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solidFill>
        <a:schemeClr val="dk1">
          <a:lumMod val="25000"/>
          <a:lumOff val="75000"/>
        </a:schemeClr>
      </a:solidFill>
      <a:round/>
    </a:ln>
    <a:effectLst/>
  </c:spPr>
  <c:txPr>
    <a:bodyPr/>
    <a:lstStyle/>
    <a:p>
      <a:pPr>
        <a:defRPr/>
      </a:pPr>
      <a:endParaRPr lang="bg-BG"/>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a:t>Структура на приходите</a:t>
            </a:r>
          </a:p>
        </c:rich>
      </c:tx>
      <c:layout>
        <c:manualLayout>
          <c:xMode val="edge"/>
          <c:yMode val="edge"/>
          <c:x val="0.31042042909773893"/>
          <c:y val="3.059274036679973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bg-BG"/>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961520864937754"/>
          <c:y val="7.1841951961368028E-2"/>
          <c:w val="0.8567456476197356"/>
          <c:h val="0.88800447408790872"/>
        </c:manualLayout>
      </c:layout>
      <c:bar3DChart>
        <c:barDir val="col"/>
        <c:grouping val="standard"/>
        <c:varyColors val="0"/>
        <c:ser>
          <c:idx val="0"/>
          <c:order val="0"/>
          <c:tx>
            <c:strRef>
              <c:f>[Tables_GFO_2017.xlsx]Sheet1!$B$21</c:f>
              <c:strCache>
                <c:ptCount val="1"/>
                <c:pt idx="0">
                  <c:v>2017</c:v>
                </c:pt>
              </c:strCache>
            </c:strRef>
          </c:tx>
          <c:spPr>
            <a:solidFill>
              <a:schemeClr val="accent1"/>
            </a:solidFill>
            <a:ln>
              <a:noFill/>
            </a:ln>
            <a:effectLst/>
            <a:sp3d/>
          </c:spPr>
          <c:invertIfNegative val="0"/>
          <c:dLbls>
            <c:dLbl>
              <c:idx val="0"/>
              <c:layout>
                <c:manualLayout>
                  <c:x val="-9.3169377157231777E-3"/>
                  <c:y val="-4.56295404280940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757-408D-B875-602DEFC94475}"/>
                </c:ext>
              </c:extLst>
            </c:dLbl>
            <c:dLbl>
              <c:idx val="1"/>
              <c:layout>
                <c:manualLayout>
                  <c:x val="2.88378350716572E-2"/>
                  <c:y val="-2.357804616250384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757-408D-B875-602DEFC94475}"/>
                </c:ext>
              </c:extLst>
            </c:dLbl>
            <c:dLbl>
              <c:idx val="2"/>
              <c:layout>
                <c:manualLayout>
                  <c:x val="0.11159884681317983"/>
                  <c:y val="6.33641374130743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757-408D-B875-602DEFC94475}"/>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noFill/>
                      <a:round/>
                    </a:ln>
                    <a:effectLst/>
                  </c:spPr>
                </c15:leaderLines>
              </c:ext>
            </c:extLst>
          </c:dLbls>
          <c:cat>
            <c:strRef>
              <c:f>[Tables_GFO_2017.xlsx]Sheet1!$A$22:$A$24</c:f>
              <c:strCache>
                <c:ptCount val="3"/>
                <c:pt idx="0">
                  <c:v>Продажби</c:v>
                </c:pt>
                <c:pt idx="1">
                  <c:v>Финансирания</c:v>
                </c:pt>
                <c:pt idx="2">
                  <c:v>Нетни фин. пр-ди/р-ди</c:v>
                </c:pt>
              </c:strCache>
            </c:strRef>
          </c:cat>
          <c:val>
            <c:numRef>
              <c:f>[Tables_GFO_2017.xlsx]Sheet1!$B$22:$B$24</c:f>
              <c:numCache>
                <c:formatCode>General</c:formatCode>
                <c:ptCount val="3"/>
                <c:pt idx="0">
                  <c:v>5414</c:v>
                </c:pt>
                <c:pt idx="1">
                  <c:v>0</c:v>
                </c:pt>
                <c:pt idx="2">
                  <c:v>-30</c:v>
                </c:pt>
              </c:numCache>
            </c:numRef>
          </c:val>
          <c:extLst>
            <c:ext xmlns:c16="http://schemas.microsoft.com/office/drawing/2014/chart" uri="{C3380CC4-5D6E-409C-BE32-E72D297353CC}">
              <c16:uniqueId val="{00000003-1757-408D-B875-602DEFC94475}"/>
            </c:ext>
          </c:extLst>
        </c:ser>
        <c:ser>
          <c:idx val="1"/>
          <c:order val="1"/>
          <c:tx>
            <c:strRef>
              <c:f>[Tables_GFO_2017.xlsx]Sheet1!$C$21</c:f>
              <c:strCache>
                <c:ptCount val="1"/>
                <c:pt idx="0">
                  <c:v>2016</c:v>
                </c:pt>
              </c:strCache>
            </c:strRef>
          </c:tx>
          <c:spPr>
            <a:solidFill>
              <a:srgbClr val="FFFF00"/>
            </a:solidFill>
            <a:ln>
              <a:noFill/>
            </a:ln>
            <a:effectLst/>
            <a:sp3d/>
          </c:spPr>
          <c:invertIfNegative val="0"/>
          <c:dLbls>
            <c:dLbl>
              <c:idx val="0"/>
              <c:layout>
                <c:manualLayout>
                  <c:x val="5.1485470131825688E-2"/>
                  <c:y val="-3.721807990621549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757-408D-B875-602DEFC94475}"/>
                </c:ext>
              </c:extLst>
            </c:dLbl>
            <c:dLbl>
              <c:idx val="1"/>
              <c:layout>
                <c:manualLayout>
                  <c:x val="4.859463010573413E-2"/>
                  <c:y val="-6.09259095749378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757-408D-B875-602DEFC94475}"/>
                </c:ext>
              </c:extLst>
            </c:dLbl>
            <c:dLbl>
              <c:idx val="2"/>
              <c:layout>
                <c:manualLayout>
                  <c:x val="8.3046480007161486E-2"/>
                  <c:y val="3.62122577330225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757-408D-B875-602DEFC94475}"/>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12700" cap="flat" cmpd="sng" algn="ctr">
                      <a:noFill/>
                      <a:round/>
                    </a:ln>
                    <a:effectLst/>
                  </c:spPr>
                </c15:leaderLines>
              </c:ext>
            </c:extLst>
          </c:dLbls>
          <c:cat>
            <c:strRef>
              <c:f>[Tables_GFO_2017.xlsx]Sheet1!$A$22:$A$24</c:f>
              <c:strCache>
                <c:ptCount val="3"/>
                <c:pt idx="0">
                  <c:v>Продажби</c:v>
                </c:pt>
                <c:pt idx="1">
                  <c:v>Финансирания</c:v>
                </c:pt>
                <c:pt idx="2">
                  <c:v>Нетни фин. пр-ди/р-ди</c:v>
                </c:pt>
              </c:strCache>
            </c:strRef>
          </c:cat>
          <c:val>
            <c:numRef>
              <c:f>[Tables_GFO_2017.xlsx]Sheet1!$C$22:$C$24</c:f>
              <c:numCache>
                <c:formatCode>General</c:formatCode>
                <c:ptCount val="3"/>
                <c:pt idx="0">
                  <c:v>6360</c:v>
                </c:pt>
                <c:pt idx="1">
                  <c:v>15</c:v>
                </c:pt>
                <c:pt idx="2">
                  <c:v>-197</c:v>
                </c:pt>
              </c:numCache>
            </c:numRef>
          </c:val>
          <c:extLst>
            <c:ext xmlns:c16="http://schemas.microsoft.com/office/drawing/2014/chart" uri="{C3380CC4-5D6E-409C-BE32-E72D297353CC}">
              <c16:uniqueId val="{00000007-1757-408D-B875-602DEFC94475}"/>
            </c:ext>
          </c:extLst>
        </c:ser>
        <c:dLbls>
          <c:showLegendKey val="0"/>
          <c:showVal val="0"/>
          <c:showCatName val="0"/>
          <c:showSerName val="0"/>
          <c:showPercent val="0"/>
          <c:showBubbleSize val="0"/>
        </c:dLbls>
        <c:gapWidth val="100"/>
        <c:gapDepth val="100"/>
        <c:shape val="box"/>
        <c:axId val="83254656"/>
        <c:axId val="83273216"/>
        <c:axId val="83881024"/>
      </c:bar3DChart>
      <c:catAx>
        <c:axId val="83254656"/>
        <c:scaling>
          <c:orientation val="minMax"/>
        </c:scaling>
        <c:delete val="0"/>
        <c:axPos val="b"/>
        <c:title>
          <c:tx>
            <c:rich>
              <a:bodyPr rot="0" spcFirstLastPara="1" vertOverflow="ellipsis" vert="horz" wrap="square" anchor="ctr" anchorCtr="1"/>
              <a:lstStyle/>
              <a:p>
                <a:pPr>
                  <a:defRPr sz="800" b="1" i="0" u="none" strike="noStrike" kern="1200" baseline="0">
                    <a:solidFill>
                      <a:schemeClr val="tx1">
                        <a:lumMod val="65000"/>
                        <a:lumOff val="35000"/>
                      </a:schemeClr>
                    </a:solidFill>
                    <a:latin typeface="+mn-lt"/>
                    <a:ea typeface="+mn-ea"/>
                    <a:cs typeface="+mn-cs"/>
                  </a:defRPr>
                </a:pPr>
                <a:r>
                  <a:rPr lang="bg-BG" sz="800" b="1"/>
                  <a:t>хил.лв.</a:t>
                </a:r>
              </a:p>
            </c:rich>
          </c:tx>
          <c:layout>
            <c:manualLayout>
              <c:xMode val="edge"/>
              <c:yMode val="edge"/>
              <c:x val="1.7344338654791385E-2"/>
              <c:y val="0.30231885676812154"/>
            </c:manualLayout>
          </c:layout>
          <c:overlay val="0"/>
          <c:spPr>
            <a:noFill/>
            <a:ln>
              <a:noFill/>
            </a:ln>
            <a:effectLst/>
          </c:spPr>
          <c:txPr>
            <a:bodyPr rot="0" spcFirstLastPara="1" vertOverflow="ellipsis" vert="horz" wrap="square" anchor="ctr" anchorCtr="1"/>
            <a:lstStyle/>
            <a:p>
              <a:pPr>
                <a:defRPr sz="800" b="1" i="0" u="none" strike="noStrike" kern="1200" baseline="0">
                  <a:solidFill>
                    <a:schemeClr val="tx1">
                      <a:lumMod val="65000"/>
                      <a:lumOff val="35000"/>
                    </a:schemeClr>
                  </a:solidFill>
                  <a:latin typeface="+mn-lt"/>
                  <a:ea typeface="+mn-ea"/>
                  <a:cs typeface="+mn-cs"/>
                </a:defRPr>
              </a:pPr>
              <a:endParaRPr lang="bg-BG"/>
            </a:p>
          </c:txPr>
        </c:title>
        <c:numFmt formatCode="General" sourceLinked="1"/>
        <c:majorTickMark val="cross"/>
        <c:minorTickMark val="none"/>
        <c:tickLblPos val="nextTo"/>
        <c:spPr>
          <a:noFill/>
          <a:ln>
            <a:solidFill>
              <a:schemeClr val="tx1">
                <a:lumMod val="35000"/>
                <a:lumOff val="65000"/>
              </a:schemeClr>
            </a:solidFill>
          </a:ln>
          <a:effectLst/>
        </c:spPr>
        <c:txPr>
          <a:bodyPr rot="-60000000" spcFirstLastPara="1" vertOverflow="ellipsis" vert="horz" wrap="square" anchor="b" anchorCtr="0"/>
          <a:lstStyle/>
          <a:p>
            <a:pPr>
              <a:defRPr sz="800" b="1" i="0" u="none" strike="noStrike" kern="1200" baseline="0">
                <a:solidFill>
                  <a:schemeClr val="tx1">
                    <a:lumMod val="65000"/>
                    <a:lumOff val="35000"/>
                  </a:schemeClr>
                </a:solidFill>
                <a:latin typeface="+mn-lt"/>
                <a:ea typeface="+mn-ea"/>
                <a:cs typeface="+mn-cs"/>
              </a:defRPr>
            </a:pPr>
            <a:endParaRPr lang="bg-BG"/>
          </a:p>
        </c:txPr>
        <c:crossAx val="83273216"/>
        <c:crosses val="autoZero"/>
        <c:auto val="1"/>
        <c:lblAlgn val="ctr"/>
        <c:lblOffset val="100"/>
        <c:noMultiLvlLbl val="0"/>
      </c:catAx>
      <c:valAx>
        <c:axId val="832732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1" i="0" u="none" strike="noStrike" kern="1200" baseline="0">
                <a:solidFill>
                  <a:schemeClr val="tx1">
                    <a:lumMod val="65000"/>
                    <a:lumOff val="35000"/>
                  </a:schemeClr>
                </a:solidFill>
                <a:latin typeface="+mn-lt"/>
                <a:ea typeface="+mn-ea"/>
                <a:cs typeface="+mn-cs"/>
              </a:defRPr>
            </a:pPr>
            <a:endParaRPr lang="bg-BG"/>
          </a:p>
        </c:txPr>
        <c:crossAx val="83254656"/>
        <c:crosses val="autoZero"/>
        <c:crossBetween val="between"/>
      </c:valAx>
      <c:serAx>
        <c:axId val="83881024"/>
        <c:scaling>
          <c:orientation val="minMax"/>
        </c:scaling>
        <c:delete val="1"/>
        <c:axPos val="b"/>
        <c:majorTickMark val="none"/>
        <c:minorTickMark val="none"/>
        <c:tickLblPos val="nextTo"/>
        <c:crossAx val="83273216"/>
        <c:crosses val="autoZero"/>
      </c:serAx>
      <c:spPr>
        <a:noFill/>
        <a:ln>
          <a:noFill/>
        </a:ln>
        <a:effectLst/>
      </c:spPr>
    </c:plotArea>
    <c:legend>
      <c:legendPos val="b"/>
      <c:layout>
        <c:manualLayout>
          <c:xMode val="edge"/>
          <c:yMode val="edge"/>
          <c:x val="0.7605381069723689"/>
          <c:y val="0.22682380863553198"/>
          <c:w val="0.17395527200878877"/>
          <c:h val="7.8971181819264241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00" b="1" i="0" u="none" strike="noStrike" kern="1200" baseline="0">
                <a:solidFill>
                  <a:schemeClr val="dk1">
                    <a:lumMod val="75000"/>
                    <a:lumOff val="25000"/>
                  </a:schemeClr>
                </a:solidFill>
                <a:latin typeface="+mn-lt"/>
                <a:ea typeface="+mn-ea"/>
                <a:cs typeface="+mn-cs"/>
              </a:defRPr>
            </a:pPr>
            <a:r>
              <a:rPr lang="bg-BG" sz="1300"/>
              <a:t>Разходи по икономически елементи</a:t>
            </a:r>
          </a:p>
        </c:rich>
      </c:tx>
      <c:overlay val="0"/>
      <c:spPr>
        <a:noFill/>
        <a:ln>
          <a:noFill/>
        </a:ln>
        <a:effectLst/>
      </c:spPr>
      <c:txPr>
        <a:bodyPr rot="0" spcFirstLastPara="1" vertOverflow="ellipsis" vert="horz" wrap="square" anchor="ctr" anchorCtr="1"/>
        <a:lstStyle/>
        <a:p>
          <a:pPr>
            <a:defRPr sz="1300" b="1" i="0" u="none" strike="noStrike" kern="1200" baseline="0">
              <a:solidFill>
                <a:schemeClr val="dk1">
                  <a:lumMod val="75000"/>
                  <a:lumOff val="25000"/>
                </a:schemeClr>
              </a:solidFill>
              <a:latin typeface="+mn-lt"/>
              <a:ea typeface="+mn-ea"/>
              <a:cs typeface="+mn-cs"/>
            </a:defRPr>
          </a:pPr>
          <a:endParaRPr lang="bg-BG"/>
        </a:p>
      </c:txPr>
    </c:title>
    <c:autoTitleDeleted val="0"/>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8056714785651792"/>
          <c:y val="0.10226859308004745"/>
          <c:w val="0.77492963791802405"/>
          <c:h val="0.81348010606598575"/>
        </c:manualLayout>
      </c:layout>
      <c:bar3DChart>
        <c:barDir val="bar"/>
        <c:grouping val="clustered"/>
        <c:varyColors val="0"/>
        <c:ser>
          <c:idx val="0"/>
          <c:order val="0"/>
          <c:tx>
            <c:strRef>
              <c:f>[Tables_GFO_2017.xlsx]Sheet1!$B$36</c:f>
              <c:strCache>
                <c:ptCount val="1"/>
                <c:pt idx="0">
                  <c:v>2017</c:v>
                </c:pt>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cat>
            <c:strRef>
              <c:f>[Tables_GFO_2017.xlsx]Sheet1!$A$37:$A$43</c:f>
              <c:strCache>
                <c:ptCount val="7"/>
                <c:pt idx="0">
                  <c:v>Общо разх.</c:v>
                </c:pt>
                <c:pt idx="1">
                  <c:v>Материали</c:v>
                </c:pt>
                <c:pt idx="2">
                  <c:v>Външни у-ги</c:v>
                </c:pt>
                <c:pt idx="3">
                  <c:v>Аморт.</c:v>
                </c:pt>
                <c:pt idx="4">
                  <c:v>Възнагражд-я</c:v>
                </c:pt>
                <c:pt idx="5">
                  <c:v>Осиг. и надб.</c:v>
                </c:pt>
                <c:pt idx="6">
                  <c:v>Други</c:v>
                </c:pt>
              </c:strCache>
            </c:strRef>
          </c:cat>
          <c:val>
            <c:numRef>
              <c:f>[Tables_GFO_2017.xlsx]Sheet1!$B$37:$B$43</c:f>
              <c:numCache>
                <c:formatCode>General</c:formatCode>
                <c:ptCount val="7"/>
                <c:pt idx="0">
                  <c:v>4784</c:v>
                </c:pt>
                <c:pt idx="1">
                  <c:v>580</c:v>
                </c:pt>
                <c:pt idx="2">
                  <c:v>863</c:v>
                </c:pt>
                <c:pt idx="3">
                  <c:v>433</c:v>
                </c:pt>
                <c:pt idx="4">
                  <c:v>1890</c:v>
                </c:pt>
                <c:pt idx="5">
                  <c:v>871</c:v>
                </c:pt>
                <c:pt idx="6">
                  <c:v>147</c:v>
                </c:pt>
              </c:numCache>
            </c:numRef>
          </c:val>
          <c:extLst>
            <c:ext xmlns:c16="http://schemas.microsoft.com/office/drawing/2014/chart" uri="{C3380CC4-5D6E-409C-BE32-E72D297353CC}">
              <c16:uniqueId val="{00000000-3E21-49FC-99F4-95A9BD7EFB8E}"/>
            </c:ext>
          </c:extLst>
        </c:ser>
        <c:ser>
          <c:idx val="1"/>
          <c:order val="1"/>
          <c:tx>
            <c:strRef>
              <c:f>[Tables_GFO_2017.xlsx]Sheet1!$C$36</c:f>
              <c:strCache>
                <c:ptCount val="1"/>
                <c:pt idx="0">
                  <c:v>2016</c:v>
                </c:pt>
              </c:strCache>
            </c:strRef>
          </c:tx>
          <c:spPr>
            <a:solidFill>
              <a:srgbClr val="FFFF00">
                <a:alpha val="85000"/>
              </a:srgbClr>
            </a:solidFill>
            <a:ln w="9525" cap="flat" cmpd="sng" algn="ctr">
              <a:noFill/>
              <a:round/>
            </a:ln>
            <a:effectLst/>
            <a:sp3d/>
          </c:spPr>
          <c:invertIfNegative val="0"/>
          <c:cat>
            <c:strRef>
              <c:f>[Tables_GFO_2017.xlsx]Sheet1!$A$37:$A$43</c:f>
              <c:strCache>
                <c:ptCount val="7"/>
                <c:pt idx="0">
                  <c:v>Общо разх.</c:v>
                </c:pt>
                <c:pt idx="1">
                  <c:v>Материали</c:v>
                </c:pt>
                <c:pt idx="2">
                  <c:v>Външни у-ги</c:v>
                </c:pt>
                <c:pt idx="3">
                  <c:v>Аморт.</c:v>
                </c:pt>
                <c:pt idx="4">
                  <c:v>Възнагражд-я</c:v>
                </c:pt>
                <c:pt idx="5">
                  <c:v>Осиг. и надб.</c:v>
                </c:pt>
                <c:pt idx="6">
                  <c:v>Други</c:v>
                </c:pt>
              </c:strCache>
            </c:strRef>
          </c:cat>
          <c:val>
            <c:numRef>
              <c:f>[Tables_GFO_2017.xlsx]Sheet1!$C$37:$C$43</c:f>
              <c:numCache>
                <c:formatCode>General</c:formatCode>
                <c:ptCount val="7"/>
                <c:pt idx="0">
                  <c:v>5150</c:v>
                </c:pt>
                <c:pt idx="1">
                  <c:v>609</c:v>
                </c:pt>
                <c:pt idx="2">
                  <c:v>734</c:v>
                </c:pt>
                <c:pt idx="3">
                  <c:v>436</c:v>
                </c:pt>
                <c:pt idx="4">
                  <c:v>2116</c:v>
                </c:pt>
                <c:pt idx="5">
                  <c:v>933</c:v>
                </c:pt>
                <c:pt idx="6">
                  <c:v>322</c:v>
                </c:pt>
              </c:numCache>
            </c:numRef>
          </c:val>
          <c:extLst>
            <c:ext xmlns:c16="http://schemas.microsoft.com/office/drawing/2014/chart" uri="{C3380CC4-5D6E-409C-BE32-E72D297353CC}">
              <c16:uniqueId val="{00000001-3E21-49FC-99F4-95A9BD7EFB8E}"/>
            </c:ext>
          </c:extLst>
        </c:ser>
        <c:dLbls>
          <c:showLegendKey val="0"/>
          <c:showVal val="0"/>
          <c:showCatName val="0"/>
          <c:showSerName val="0"/>
          <c:showPercent val="0"/>
          <c:showBubbleSize val="0"/>
        </c:dLbls>
        <c:gapWidth val="65"/>
        <c:shape val="box"/>
        <c:axId val="83310080"/>
        <c:axId val="83311616"/>
        <c:axId val="0"/>
      </c:bar3DChart>
      <c:catAx>
        <c:axId val="83310080"/>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800" b="1" i="0" u="none" strike="noStrike" kern="1200" cap="all" baseline="0">
                <a:solidFill>
                  <a:schemeClr val="dk1">
                    <a:lumMod val="75000"/>
                    <a:lumOff val="25000"/>
                  </a:schemeClr>
                </a:solidFill>
                <a:latin typeface="+mn-lt"/>
                <a:ea typeface="+mn-ea"/>
                <a:cs typeface="+mn-cs"/>
              </a:defRPr>
            </a:pPr>
            <a:endParaRPr lang="bg-BG"/>
          </a:p>
        </c:txPr>
        <c:crossAx val="83311616"/>
        <c:crosses val="autoZero"/>
        <c:auto val="1"/>
        <c:lblAlgn val="ctr"/>
        <c:lblOffset val="100"/>
        <c:noMultiLvlLbl val="0"/>
      </c:catAx>
      <c:valAx>
        <c:axId val="83311616"/>
        <c:scaling>
          <c:orientation val="minMax"/>
        </c:scaling>
        <c:delete val="0"/>
        <c:axPos val="b"/>
        <c:majorGridlines>
          <c:spPr>
            <a:ln w="9525" cap="flat" cmpd="sng" algn="ctr">
              <a:solidFill>
                <a:schemeClr val="dk1">
                  <a:lumMod val="15000"/>
                  <a:lumOff val="85000"/>
                </a:schemeClr>
              </a:solidFill>
              <a:round/>
            </a:ln>
            <a:effectLst/>
          </c:spPr>
        </c:majorGridlines>
        <c:title>
          <c:tx>
            <c:rich>
              <a:bodyPr rot="0" spcFirstLastPara="1" vertOverflow="ellipsis" vert="horz" wrap="square" anchor="ctr" anchorCtr="1"/>
              <a:lstStyle/>
              <a:p>
                <a:pPr algn="r">
                  <a:defRPr sz="900" b="1" i="0" u="none" strike="noStrike" kern="1200" baseline="0">
                    <a:solidFill>
                      <a:schemeClr val="dk1">
                        <a:lumMod val="75000"/>
                        <a:lumOff val="25000"/>
                      </a:schemeClr>
                    </a:solidFill>
                    <a:latin typeface="+mn-lt"/>
                    <a:ea typeface="+mn-ea"/>
                    <a:cs typeface="+mn-cs"/>
                  </a:defRPr>
                </a:pPr>
                <a:r>
                  <a:rPr lang="bg-BG"/>
                  <a:t>хил.</a:t>
                </a:r>
              </a:p>
              <a:p>
                <a:pPr algn="r">
                  <a:defRPr/>
                </a:pPr>
                <a:r>
                  <a:rPr lang="bg-BG"/>
                  <a:t>лв.</a:t>
                </a:r>
              </a:p>
            </c:rich>
          </c:tx>
          <c:layout>
            <c:manualLayout>
              <c:xMode val="edge"/>
              <c:yMode val="edge"/>
              <c:x val="0.91418390311273989"/>
              <c:y val="0.80483982563416856"/>
            </c:manualLayout>
          </c:layout>
          <c:overlay val="0"/>
          <c:spPr>
            <a:noFill/>
            <a:ln>
              <a:noFill/>
            </a:ln>
            <a:effectLst/>
          </c:spPr>
          <c:txPr>
            <a:bodyPr rot="0" spcFirstLastPara="1" vertOverflow="ellipsis" vert="horz" wrap="square" anchor="ctr" anchorCtr="1"/>
            <a:lstStyle/>
            <a:p>
              <a:pPr algn="r">
                <a:defRPr sz="900" b="1" i="0" u="none" strike="noStrike" kern="1200" baseline="0">
                  <a:solidFill>
                    <a:schemeClr val="dk1">
                      <a:lumMod val="75000"/>
                      <a:lumOff val="25000"/>
                    </a:schemeClr>
                  </a:solidFill>
                  <a:latin typeface="+mn-lt"/>
                  <a:ea typeface="+mn-ea"/>
                  <a:cs typeface="+mn-cs"/>
                </a:defRPr>
              </a:pPr>
              <a:endParaRPr lang="bg-BG"/>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75000"/>
                    <a:lumOff val="25000"/>
                  </a:schemeClr>
                </a:solidFill>
                <a:latin typeface="+mn-lt"/>
                <a:ea typeface="+mn-ea"/>
                <a:cs typeface="+mn-cs"/>
              </a:defRPr>
            </a:pPr>
            <a:endParaRPr lang="bg-BG"/>
          </a:p>
        </c:txPr>
        <c:crossAx val="83310080"/>
        <c:crosses val="autoZero"/>
        <c:crossBetween val="between"/>
      </c:valAx>
      <c:spPr>
        <a:noFill/>
        <a:ln>
          <a:noFill/>
        </a:ln>
        <a:effectLst/>
      </c:spPr>
    </c:plotArea>
    <c:legend>
      <c:legendPos val="b"/>
      <c:layout>
        <c:manualLayout>
          <c:xMode val="edge"/>
          <c:yMode val="edge"/>
          <c:x val="0.84417780879883086"/>
          <c:y val="0.14819276597205591"/>
          <c:w val="0.11773856522782297"/>
          <c:h val="0.2247403647680689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bg-BG"/>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all" spc="50" baseline="0">
                <a:solidFill>
                  <a:sysClr val="windowText" lastClr="000000"/>
                </a:solidFill>
                <a:latin typeface="+mn-lt"/>
                <a:ea typeface="+mn-ea"/>
                <a:cs typeface="+mn-cs"/>
              </a:defRPr>
            </a:pPr>
            <a:r>
              <a:rPr lang="bg-BG" sz="1200">
                <a:solidFill>
                  <a:sysClr val="windowText" lastClr="000000"/>
                </a:solidFill>
              </a:rPr>
              <a:t>Приходи по видове дейности</a:t>
            </a:r>
          </a:p>
        </c:rich>
      </c:tx>
      <c:overlay val="0"/>
      <c:spPr>
        <a:noFill/>
        <a:ln>
          <a:noFill/>
        </a:ln>
        <a:effectLst/>
      </c:spPr>
      <c:txPr>
        <a:bodyPr rot="0" spcFirstLastPara="1" vertOverflow="ellipsis" vert="horz" wrap="square" anchor="ctr" anchorCtr="1"/>
        <a:lstStyle/>
        <a:p>
          <a:pPr>
            <a:defRPr sz="1200" b="1" i="0" u="none" strike="noStrike" kern="1200" cap="all" spc="50" baseline="0">
              <a:solidFill>
                <a:sysClr val="windowText" lastClr="000000"/>
              </a:solidFill>
              <a:latin typeface="+mn-lt"/>
              <a:ea typeface="+mn-ea"/>
              <a:cs typeface="+mn-cs"/>
            </a:defRPr>
          </a:pPr>
          <a:endParaRPr lang="bg-BG"/>
        </a:p>
      </c:txPr>
    </c:title>
    <c:autoTitleDeleted val="0"/>
    <c:view3D>
      <c:rotX val="15"/>
      <c:rotY val="20"/>
      <c:depthPercent val="100"/>
      <c:rAngAx val="1"/>
    </c:view3D>
    <c:floor>
      <c:thickness val="0"/>
      <c:spPr>
        <a:solidFill>
          <a:schemeClr val="bg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158835351654796"/>
          <c:y val="0.18282197016742013"/>
          <c:w val="0.86659675132799285"/>
          <c:h val="0.71229359692483485"/>
        </c:manualLayout>
      </c:layout>
      <c:bar3DChart>
        <c:barDir val="col"/>
        <c:grouping val="clustered"/>
        <c:varyColors val="0"/>
        <c:ser>
          <c:idx val="0"/>
          <c:order val="0"/>
          <c:tx>
            <c:strRef>
              <c:f>[Tables_GFO_2017.xlsx]Sheet1!$B$53</c:f>
              <c:strCache>
                <c:ptCount val="1"/>
                <c:pt idx="0">
                  <c:v>2017</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5.7845263919016369E-3"/>
                  <c:y val="-4.929144517859804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182-4FE5-8463-E01A478E3FCE}"/>
                </c:ext>
              </c:extLst>
            </c:dLbl>
            <c:dLbl>
              <c:idx val="1"/>
              <c:layout>
                <c:manualLayout>
                  <c:x val="-2.8922631959508844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182-4FE5-8463-E01A478E3FCE}"/>
                </c:ext>
              </c:extLst>
            </c:dLbl>
            <c:dLbl>
              <c:idx val="2"/>
              <c:layout>
                <c:manualLayout>
                  <c:x val="2.6030368763557483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182-4FE5-8463-E01A478E3FC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noFill/>
                    </a:ln>
                    <a:effectLst/>
                  </c:spPr>
                </c15:leaderLines>
              </c:ext>
            </c:extLst>
          </c:dLbls>
          <c:cat>
            <c:strRef>
              <c:f>[Tables_GFO_2017.xlsx]Sheet1!$A$54:$A$56</c:f>
              <c:strCache>
                <c:ptCount val="3"/>
                <c:pt idx="0">
                  <c:v>От претоварна д-ст</c:v>
                </c:pt>
                <c:pt idx="1">
                  <c:v>От складова д-ст</c:v>
                </c:pt>
                <c:pt idx="2">
                  <c:v>Други приходи</c:v>
                </c:pt>
              </c:strCache>
            </c:strRef>
          </c:cat>
          <c:val>
            <c:numRef>
              <c:f>[Tables_GFO_2017.xlsx]Sheet1!$B$54:$B$56</c:f>
              <c:numCache>
                <c:formatCode>#,##0</c:formatCode>
                <c:ptCount val="3"/>
                <c:pt idx="0">
                  <c:v>3095</c:v>
                </c:pt>
                <c:pt idx="1">
                  <c:v>1631</c:v>
                </c:pt>
                <c:pt idx="2">
                  <c:v>688</c:v>
                </c:pt>
              </c:numCache>
            </c:numRef>
          </c:val>
          <c:extLst>
            <c:ext xmlns:c16="http://schemas.microsoft.com/office/drawing/2014/chart" uri="{C3380CC4-5D6E-409C-BE32-E72D297353CC}">
              <c16:uniqueId val="{00000003-4182-4FE5-8463-E01A478E3FCE}"/>
            </c:ext>
          </c:extLst>
        </c:ser>
        <c:ser>
          <c:idx val="1"/>
          <c:order val="1"/>
          <c:tx>
            <c:strRef>
              <c:f>[Tables_GFO_2017.xlsx]Sheet1!$C$53</c:f>
              <c:strCache>
                <c:ptCount val="1"/>
                <c:pt idx="0">
                  <c:v>БП 2017</c:v>
                </c:pt>
              </c:strCache>
            </c:strRef>
          </c:tx>
          <c:spPr>
            <a:gradFill>
              <a:gsLst>
                <a:gs pos="100000">
                  <a:schemeClr val="accent2">
                    <a:alpha val="0"/>
                  </a:schemeClr>
                </a:gs>
                <a:gs pos="50000">
                  <a:schemeClr val="accent2"/>
                </a:gs>
              </a:gsLst>
              <a:lin ang="5400000" scaled="0"/>
            </a:gradFill>
            <a:ln>
              <a:noFill/>
            </a:ln>
            <a:effectLst/>
            <a:sp3d/>
          </c:spPr>
          <c:invertIfNegative val="0"/>
          <c:dLbls>
            <c:dLbl>
              <c:idx val="0"/>
              <c:layout>
                <c:manualLayout>
                  <c:x val="5.7845263919016629E-3"/>
                  <c:y val="-9.858289035719608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182-4FE5-8463-E01A478E3FCE}"/>
                </c:ext>
              </c:extLst>
            </c:dLbl>
            <c:dLbl>
              <c:idx val="1"/>
              <c:layout>
                <c:manualLayout>
                  <c:x val="0"/>
                  <c:y val="-1.47874335535794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182-4FE5-8463-E01A478E3FCE}"/>
                </c:ext>
              </c:extLst>
            </c:dLbl>
            <c:dLbl>
              <c:idx val="2"/>
              <c:layout>
                <c:manualLayout>
                  <c:x val="2.8922631959508102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182-4FE5-8463-E01A478E3FC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noFill/>
                    </a:ln>
                    <a:effectLst/>
                  </c:spPr>
                </c15:leaderLines>
              </c:ext>
            </c:extLst>
          </c:dLbls>
          <c:cat>
            <c:strRef>
              <c:f>[Tables_GFO_2017.xlsx]Sheet1!$A$54:$A$56</c:f>
              <c:strCache>
                <c:ptCount val="3"/>
                <c:pt idx="0">
                  <c:v>От претоварна д-ст</c:v>
                </c:pt>
                <c:pt idx="1">
                  <c:v>От складова д-ст</c:v>
                </c:pt>
                <c:pt idx="2">
                  <c:v>Други приходи</c:v>
                </c:pt>
              </c:strCache>
            </c:strRef>
          </c:cat>
          <c:val>
            <c:numRef>
              <c:f>[Tables_GFO_2017.xlsx]Sheet1!$C$54:$C$56</c:f>
              <c:numCache>
                <c:formatCode>#,##0</c:formatCode>
                <c:ptCount val="3"/>
                <c:pt idx="0">
                  <c:v>3066</c:v>
                </c:pt>
                <c:pt idx="1">
                  <c:v>1935</c:v>
                </c:pt>
                <c:pt idx="2">
                  <c:v>495</c:v>
                </c:pt>
              </c:numCache>
            </c:numRef>
          </c:val>
          <c:extLst>
            <c:ext xmlns:c16="http://schemas.microsoft.com/office/drawing/2014/chart" uri="{C3380CC4-5D6E-409C-BE32-E72D297353CC}">
              <c16:uniqueId val="{00000007-4182-4FE5-8463-E01A478E3FCE}"/>
            </c:ext>
          </c:extLst>
        </c:ser>
        <c:ser>
          <c:idx val="2"/>
          <c:order val="2"/>
          <c:tx>
            <c:strRef>
              <c:f>[Tables_GFO_2017.xlsx]Sheet1!$D$53</c:f>
              <c:strCache>
                <c:ptCount val="1"/>
                <c:pt idx="0">
                  <c:v>2016</c:v>
                </c:pt>
              </c:strCache>
            </c:strRef>
          </c:tx>
          <c:spPr>
            <a:gradFill flip="none" rotWithShape="1">
              <a:gsLst>
                <a:gs pos="0">
                  <a:schemeClr val="bg1">
                    <a:alpha val="53000"/>
                  </a:schemeClr>
                </a:gs>
                <a:gs pos="63000">
                  <a:srgbClr val="FFFF00">
                    <a:shade val="67500"/>
                    <a:satMod val="115000"/>
                    <a:alpha val="64000"/>
                  </a:srgbClr>
                </a:gs>
                <a:gs pos="100000">
                  <a:srgbClr val="FFFF00">
                    <a:shade val="100000"/>
                    <a:satMod val="115000"/>
                  </a:srgbClr>
                </a:gs>
              </a:gsLst>
              <a:lin ang="16200000" scaled="1"/>
              <a:tileRect/>
            </a:gradFill>
            <a:ln>
              <a:noFill/>
            </a:ln>
            <a:effectLst/>
            <a:sp3d/>
          </c:spPr>
          <c:invertIfNegative val="0"/>
          <c:dLbls>
            <c:dLbl>
              <c:idx val="0"/>
              <c:layout>
                <c:manualLayout>
                  <c:x val="1.7353579175704938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182-4FE5-8463-E01A478E3FCE}"/>
                </c:ext>
              </c:extLst>
            </c:dLbl>
            <c:dLbl>
              <c:idx val="1"/>
              <c:layout>
                <c:manualLayout>
                  <c:x val="1.735357917570499E-2"/>
                  <c:y val="-1.47874335535794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182-4FE5-8463-E01A478E3FCE}"/>
                </c:ext>
              </c:extLst>
            </c:dLbl>
            <c:dLbl>
              <c:idx val="2"/>
              <c:layout>
                <c:manualLayout>
                  <c:x val="2.3138105567606548E-2"/>
                  <c:y val="-4.929144517859804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4182-4FE5-8463-E01A478E3FC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noFill/>
                    </a:ln>
                    <a:effectLst/>
                  </c:spPr>
                </c15:leaderLines>
              </c:ext>
            </c:extLst>
          </c:dLbls>
          <c:cat>
            <c:strRef>
              <c:f>[Tables_GFO_2017.xlsx]Sheet1!$A$54:$A$56</c:f>
              <c:strCache>
                <c:ptCount val="3"/>
                <c:pt idx="0">
                  <c:v>От претоварна д-ст</c:v>
                </c:pt>
                <c:pt idx="1">
                  <c:v>От складова д-ст</c:v>
                </c:pt>
                <c:pt idx="2">
                  <c:v>Други приходи</c:v>
                </c:pt>
              </c:strCache>
            </c:strRef>
          </c:cat>
          <c:val>
            <c:numRef>
              <c:f>[Tables_GFO_2017.xlsx]Sheet1!$D$54:$D$56</c:f>
              <c:numCache>
                <c:formatCode>#,##0</c:formatCode>
                <c:ptCount val="3"/>
                <c:pt idx="0">
                  <c:v>3700</c:v>
                </c:pt>
                <c:pt idx="1">
                  <c:v>2086</c:v>
                </c:pt>
                <c:pt idx="2">
                  <c:v>574</c:v>
                </c:pt>
              </c:numCache>
            </c:numRef>
          </c:val>
          <c:extLst>
            <c:ext xmlns:c16="http://schemas.microsoft.com/office/drawing/2014/chart" uri="{C3380CC4-5D6E-409C-BE32-E72D297353CC}">
              <c16:uniqueId val="{0000000B-4182-4FE5-8463-E01A478E3FCE}"/>
            </c:ext>
          </c:extLst>
        </c:ser>
        <c:dLbls>
          <c:showLegendKey val="0"/>
          <c:showVal val="1"/>
          <c:showCatName val="0"/>
          <c:showSerName val="0"/>
          <c:showPercent val="0"/>
          <c:showBubbleSize val="0"/>
        </c:dLbls>
        <c:gapWidth val="150"/>
        <c:gapDepth val="0"/>
        <c:shape val="box"/>
        <c:axId val="22519808"/>
        <c:axId val="22521728"/>
        <c:axId val="0"/>
      </c:bar3DChart>
      <c:catAx>
        <c:axId val="22519808"/>
        <c:scaling>
          <c:orientation val="minMax"/>
        </c:scaling>
        <c:delete val="0"/>
        <c:axPos val="b"/>
        <c:title>
          <c:tx>
            <c:rich>
              <a:bodyPr rot="0" spcFirstLastPara="1" vertOverflow="ellipsis" vert="horz" wrap="square" anchor="ctr" anchorCtr="1"/>
              <a:lstStyle/>
              <a:p>
                <a:pPr>
                  <a:defRPr sz="800" b="0" i="0" u="none" strike="noStrike" kern="1200" cap="all" baseline="0">
                    <a:solidFill>
                      <a:sysClr val="windowText" lastClr="000000"/>
                    </a:solidFill>
                    <a:latin typeface="+mn-lt"/>
                    <a:ea typeface="+mn-ea"/>
                    <a:cs typeface="+mn-cs"/>
                  </a:defRPr>
                </a:pPr>
                <a:r>
                  <a:rPr lang="bg-BG" sz="800" b="0">
                    <a:solidFill>
                      <a:sysClr val="windowText" lastClr="000000"/>
                    </a:solidFill>
                  </a:rPr>
                  <a:t>хил.лв.</a:t>
                </a:r>
              </a:p>
            </c:rich>
          </c:tx>
          <c:layout>
            <c:manualLayout>
              <c:xMode val="edge"/>
              <c:yMode val="edge"/>
              <c:x val="1.5912457797439092E-2"/>
              <c:y val="0.11951273659893685"/>
            </c:manualLayout>
          </c:layout>
          <c:overlay val="0"/>
          <c:spPr>
            <a:noFill/>
            <a:ln>
              <a:noFill/>
            </a:ln>
            <a:effectLst/>
          </c:spPr>
          <c:txPr>
            <a:bodyPr rot="0" spcFirstLastPara="1" vertOverflow="ellipsis" vert="horz" wrap="square" anchor="ctr" anchorCtr="1"/>
            <a:lstStyle/>
            <a:p>
              <a:pPr>
                <a:defRPr sz="800" b="0" i="0" u="none" strike="noStrike" kern="1200" cap="all" baseline="0">
                  <a:solidFill>
                    <a:sysClr val="windowText" lastClr="000000"/>
                  </a:solidFill>
                  <a:latin typeface="+mn-lt"/>
                  <a:ea typeface="+mn-ea"/>
                  <a:cs typeface="+mn-cs"/>
                </a:defRPr>
              </a:pPr>
              <a:endParaRPr lang="bg-BG"/>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22521728"/>
        <c:crosses val="autoZero"/>
        <c:auto val="1"/>
        <c:lblAlgn val="ctr"/>
        <c:lblOffset val="100"/>
        <c:noMultiLvlLbl val="0"/>
      </c:catAx>
      <c:valAx>
        <c:axId val="22521728"/>
        <c:scaling>
          <c:orientation val="minMax"/>
        </c:scaling>
        <c:delete val="0"/>
        <c:axPos val="l"/>
        <c:majorGridlines>
          <c:spPr>
            <a:ln w="9525" cap="flat" cmpd="sng" algn="ctr">
              <a:solidFill>
                <a:schemeClr val="tx1">
                  <a:lumMod val="5000"/>
                  <a:lumOff val="9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22519808"/>
        <c:crosses val="autoZero"/>
        <c:crossBetween val="between"/>
      </c:valAx>
      <c:spPr>
        <a:noFill/>
        <a:ln>
          <a:noFill/>
        </a:ln>
        <a:effectLst/>
      </c:spPr>
    </c:plotArea>
    <c:legend>
      <c:legendPos val="b"/>
      <c:layout>
        <c:manualLayout>
          <c:xMode val="edge"/>
          <c:yMode val="edge"/>
          <c:x val="0.83807721431784155"/>
          <c:y val="0.20209414898902087"/>
          <c:w val="0.14814035447304444"/>
          <c:h val="0.24584166501068111"/>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accent1">
        <a:lumMod val="40000"/>
        <a:lumOff val="60000"/>
        <a:alpha val="75000"/>
      </a:schemeClr>
    </a:solidFill>
    <a:ln w="25400" cap="flat" cmpd="sng" algn="ctr">
      <a:noFill/>
      <a:round/>
    </a:ln>
    <a:effectLst/>
  </c:spPr>
  <c:txPr>
    <a:bodyPr/>
    <a:lstStyle/>
    <a:p>
      <a:pPr>
        <a:defRPr/>
      </a:pPr>
      <a:endParaRPr lang="bg-BG"/>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all" spc="50" baseline="0">
                <a:solidFill>
                  <a:schemeClr val="dk1"/>
                </a:solidFill>
                <a:latin typeface="+mn-lt"/>
                <a:ea typeface="+mn-ea"/>
                <a:cs typeface="+mn-cs"/>
              </a:defRPr>
            </a:pPr>
            <a:r>
              <a:rPr lang="bg-BG" sz="1200"/>
              <a:t>разходи по видове дейности</a:t>
            </a:r>
          </a:p>
        </c:rich>
      </c:tx>
      <c:layout>
        <c:manualLayout>
          <c:xMode val="edge"/>
          <c:yMode val="edge"/>
          <c:x val="0.22586371119299561"/>
          <c:y val="2.9574867107158825E-2"/>
        </c:manualLayout>
      </c:layout>
      <c:overlay val="0"/>
      <c:spPr>
        <a:noFill/>
        <a:ln>
          <a:noFill/>
        </a:ln>
        <a:effectLst/>
      </c:spPr>
      <c:txPr>
        <a:bodyPr rot="0" spcFirstLastPara="1" vertOverflow="ellipsis" vert="horz" wrap="square" anchor="ctr" anchorCtr="1"/>
        <a:lstStyle/>
        <a:p>
          <a:pPr>
            <a:defRPr sz="1200" b="1" i="0" u="none" strike="noStrike" kern="1200" cap="all" spc="50" baseline="0">
              <a:solidFill>
                <a:schemeClr val="dk1"/>
              </a:solidFill>
              <a:latin typeface="+mn-lt"/>
              <a:ea typeface="+mn-ea"/>
              <a:cs typeface="+mn-cs"/>
            </a:defRPr>
          </a:pPr>
          <a:endParaRPr lang="bg-BG"/>
        </a:p>
      </c:txPr>
    </c:title>
    <c:autoTitleDeleted val="0"/>
    <c:view3D>
      <c:rotX val="15"/>
      <c:rotY val="20"/>
      <c:depthPercent val="100"/>
      <c:rAngAx val="1"/>
    </c:view3D>
    <c:floor>
      <c:thickness val="0"/>
      <c:spPr>
        <a:solidFill>
          <a:schemeClr val="tx2">
            <a:lumMod val="20000"/>
            <a:lumOff val="80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158835351654796"/>
          <c:y val="0.26661742697103685"/>
          <c:w val="0.86659675132799285"/>
          <c:h val="0.62849814012121819"/>
        </c:manualLayout>
      </c:layout>
      <c:bar3DChart>
        <c:barDir val="col"/>
        <c:grouping val="clustered"/>
        <c:varyColors val="0"/>
        <c:ser>
          <c:idx val="0"/>
          <c:order val="0"/>
          <c:tx>
            <c:strRef>
              <c:f>[Tables_GFO_2017.xlsx]Sheet1!$B$72</c:f>
              <c:strCache>
                <c:ptCount val="1"/>
                <c:pt idx="0">
                  <c:v>2017</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5.7845687271511131E-3"/>
                  <c:y val="-1.97165780714392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2F6-4738-9C97-3AB0C7534D17}"/>
                </c:ext>
              </c:extLst>
            </c:dLbl>
            <c:dLbl>
              <c:idx val="1"/>
              <c:layout>
                <c:manualLayout>
                  <c:x val="5.7845687271510602E-3"/>
                  <c:y val="-9.858289035719608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2F6-4738-9C97-3AB0C7534D17}"/>
                </c:ext>
              </c:extLst>
            </c:dLbl>
            <c:dLbl>
              <c:idx val="2"/>
              <c:layout>
                <c:manualLayout>
                  <c:x val="0"/>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2F6-4738-9C97-3AB0C7534D17}"/>
                </c:ext>
              </c:extLst>
            </c:dLbl>
            <c:spPr>
              <a:noFill/>
              <a:ln>
                <a:noFill/>
              </a:ln>
              <a:effectLst/>
            </c:spPr>
            <c:txPr>
              <a:bodyPr rot="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noFill/>
                    </a:ln>
                    <a:effectLst/>
                  </c:spPr>
                </c15:leaderLines>
              </c:ext>
            </c:extLst>
          </c:dLbls>
          <c:cat>
            <c:strRef>
              <c:f>[Tables_GFO_2017.xlsx]Sheet1!$A$73:$A$75</c:f>
              <c:strCache>
                <c:ptCount val="3"/>
                <c:pt idx="0">
                  <c:v>За претоварна дейност</c:v>
                </c:pt>
                <c:pt idx="1">
                  <c:v>За складова дейност</c:v>
                </c:pt>
                <c:pt idx="2">
                  <c:v>Други разходи</c:v>
                </c:pt>
              </c:strCache>
            </c:strRef>
          </c:cat>
          <c:val>
            <c:numRef>
              <c:f>[Tables_GFO_2017.xlsx]Sheet1!$B$73:$B$75</c:f>
              <c:numCache>
                <c:formatCode>#,##0</c:formatCode>
                <c:ptCount val="3"/>
                <c:pt idx="0">
                  <c:v>2436</c:v>
                </c:pt>
                <c:pt idx="1">
                  <c:v>488</c:v>
                </c:pt>
                <c:pt idx="2">
                  <c:v>1860</c:v>
                </c:pt>
              </c:numCache>
            </c:numRef>
          </c:val>
          <c:extLst>
            <c:ext xmlns:c16="http://schemas.microsoft.com/office/drawing/2014/chart" uri="{C3380CC4-5D6E-409C-BE32-E72D297353CC}">
              <c16:uniqueId val="{00000003-C2F6-4738-9C97-3AB0C7534D17}"/>
            </c:ext>
          </c:extLst>
        </c:ser>
        <c:ser>
          <c:idx val="1"/>
          <c:order val="1"/>
          <c:tx>
            <c:strRef>
              <c:f>[Tables_GFO_2017.xlsx]Sheet1!$C$72</c:f>
              <c:strCache>
                <c:ptCount val="1"/>
                <c:pt idx="0">
                  <c:v>БП 2017</c:v>
                </c:pt>
              </c:strCache>
            </c:strRef>
          </c:tx>
          <c:spPr>
            <a:gradFill>
              <a:gsLst>
                <a:gs pos="100000">
                  <a:schemeClr val="accent2">
                    <a:alpha val="0"/>
                  </a:schemeClr>
                </a:gs>
                <a:gs pos="50000">
                  <a:schemeClr val="accent2"/>
                </a:gs>
              </a:gsLst>
              <a:lin ang="5400000" scaled="0"/>
            </a:gradFill>
            <a:ln>
              <a:noFill/>
            </a:ln>
            <a:effectLst/>
            <a:sp3d/>
          </c:spPr>
          <c:invertIfNegative val="0"/>
          <c:dLbls>
            <c:dLbl>
              <c:idx val="0"/>
              <c:layout>
                <c:manualLayout>
                  <c:x val="1.7355756558301239E-2"/>
                  <c:y val="-3.450401162501867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2F6-4738-9C97-3AB0C7534D17}"/>
                </c:ext>
              </c:extLst>
            </c:dLbl>
            <c:dLbl>
              <c:idx val="1"/>
              <c:layout>
                <c:manualLayout>
                  <c:x val="1.44613079080529E-2"/>
                  <c:y val="-2.46457225892991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2F6-4738-9C97-3AB0C7534D17}"/>
                </c:ext>
              </c:extLst>
            </c:dLbl>
            <c:dLbl>
              <c:idx val="2"/>
              <c:layout>
                <c:manualLayout>
                  <c:x val="2.0245842371655821E-2"/>
                  <c:y val="-1.47874335535794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2F6-4738-9C97-3AB0C7534D17}"/>
                </c:ext>
              </c:extLst>
            </c:dLbl>
            <c:spPr>
              <a:noFill/>
              <a:ln>
                <a:noFill/>
              </a:ln>
              <a:effectLst/>
            </c:spPr>
            <c:txPr>
              <a:bodyPr rot="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noFill/>
                    </a:ln>
                    <a:effectLst/>
                  </c:spPr>
                </c15:leaderLines>
              </c:ext>
            </c:extLst>
          </c:dLbls>
          <c:cat>
            <c:strRef>
              <c:f>[Tables_GFO_2017.xlsx]Sheet1!$A$73:$A$75</c:f>
              <c:strCache>
                <c:ptCount val="3"/>
                <c:pt idx="0">
                  <c:v>За претоварна дейност</c:v>
                </c:pt>
                <c:pt idx="1">
                  <c:v>За складова дейност</c:v>
                </c:pt>
                <c:pt idx="2">
                  <c:v>Други разходи</c:v>
                </c:pt>
              </c:strCache>
            </c:strRef>
          </c:cat>
          <c:val>
            <c:numRef>
              <c:f>[Tables_GFO_2017.xlsx]Sheet1!$C$73:$C$75</c:f>
              <c:numCache>
                <c:formatCode>#,##0</c:formatCode>
                <c:ptCount val="3"/>
                <c:pt idx="0">
                  <c:v>2283</c:v>
                </c:pt>
                <c:pt idx="1">
                  <c:v>496</c:v>
                </c:pt>
                <c:pt idx="2">
                  <c:v>2185</c:v>
                </c:pt>
              </c:numCache>
            </c:numRef>
          </c:val>
          <c:extLst>
            <c:ext xmlns:c16="http://schemas.microsoft.com/office/drawing/2014/chart" uri="{C3380CC4-5D6E-409C-BE32-E72D297353CC}">
              <c16:uniqueId val="{00000007-C2F6-4738-9C97-3AB0C7534D17}"/>
            </c:ext>
          </c:extLst>
        </c:ser>
        <c:ser>
          <c:idx val="2"/>
          <c:order val="2"/>
          <c:tx>
            <c:strRef>
              <c:f>[Tables_GFO_2017.xlsx]Sheet1!$D$72</c:f>
              <c:strCache>
                <c:ptCount val="1"/>
                <c:pt idx="0">
                  <c:v>2016</c:v>
                </c:pt>
              </c:strCache>
            </c:strRef>
          </c:tx>
          <c:spPr>
            <a:gradFill flip="none" rotWithShape="1">
              <a:gsLst>
                <a:gs pos="0">
                  <a:schemeClr val="bg1">
                    <a:lumMod val="85000"/>
                    <a:alpha val="54000"/>
                  </a:schemeClr>
                </a:gs>
                <a:gs pos="50000">
                  <a:srgbClr val="FFFF00">
                    <a:shade val="67500"/>
                    <a:satMod val="115000"/>
                  </a:srgbClr>
                </a:gs>
                <a:gs pos="100000">
                  <a:srgbClr val="FFFF00">
                    <a:shade val="100000"/>
                    <a:satMod val="115000"/>
                  </a:srgbClr>
                </a:gs>
              </a:gsLst>
              <a:lin ang="16200000" scaled="1"/>
              <a:tileRect/>
            </a:gradFill>
            <a:ln>
              <a:noFill/>
            </a:ln>
            <a:effectLst/>
            <a:sp3d/>
          </c:spPr>
          <c:invertIfNegative val="0"/>
          <c:dLbls>
            <c:dLbl>
              <c:idx val="0"/>
              <c:layout>
                <c:manualLayout>
                  <c:x val="2.3138047088954634E-2"/>
                  <c:y val="-3.45040116250186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2F6-4738-9C97-3AB0C7534D17}"/>
                </c:ext>
              </c:extLst>
            </c:dLbl>
            <c:dLbl>
              <c:idx val="1"/>
              <c:layout>
                <c:manualLayout>
                  <c:x val="1.7353478361803575E-2"/>
                  <c:y val="-4.43623006607383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2F6-4738-9C97-3AB0C7534D17}"/>
                </c:ext>
              </c:extLst>
            </c:dLbl>
            <c:dLbl>
              <c:idx val="2"/>
              <c:layout>
                <c:manualLayout>
                  <c:x val="3.184189680817835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C2F6-4738-9C97-3AB0C7534D17}"/>
                </c:ext>
              </c:extLst>
            </c:dLbl>
            <c:spPr>
              <a:noFill/>
              <a:ln>
                <a:noFill/>
              </a:ln>
              <a:effectLst/>
            </c:spPr>
            <c:txPr>
              <a:bodyPr rot="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noFill/>
                    </a:ln>
                    <a:effectLst/>
                  </c:spPr>
                </c15:leaderLines>
              </c:ext>
            </c:extLst>
          </c:dLbls>
          <c:cat>
            <c:strRef>
              <c:f>[Tables_GFO_2017.xlsx]Sheet1!$A$73:$A$75</c:f>
              <c:strCache>
                <c:ptCount val="3"/>
                <c:pt idx="0">
                  <c:v>За претоварна дейност</c:v>
                </c:pt>
                <c:pt idx="1">
                  <c:v>За складова дейност</c:v>
                </c:pt>
                <c:pt idx="2">
                  <c:v>Други разходи</c:v>
                </c:pt>
              </c:strCache>
            </c:strRef>
          </c:cat>
          <c:val>
            <c:numRef>
              <c:f>[Tables_GFO_2017.xlsx]Sheet1!$D$73:$D$75</c:f>
              <c:numCache>
                <c:formatCode>#,##0</c:formatCode>
                <c:ptCount val="3"/>
                <c:pt idx="0">
                  <c:v>2465</c:v>
                </c:pt>
                <c:pt idx="1">
                  <c:v>549</c:v>
                </c:pt>
                <c:pt idx="2">
                  <c:v>2136</c:v>
                </c:pt>
              </c:numCache>
            </c:numRef>
          </c:val>
          <c:extLst>
            <c:ext xmlns:c16="http://schemas.microsoft.com/office/drawing/2014/chart" uri="{C3380CC4-5D6E-409C-BE32-E72D297353CC}">
              <c16:uniqueId val="{0000000B-C2F6-4738-9C97-3AB0C7534D17}"/>
            </c:ext>
          </c:extLst>
        </c:ser>
        <c:dLbls>
          <c:showLegendKey val="0"/>
          <c:showVal val="1"/>
          <c:showCatName val="0"/>
          <c:showSerName val="0"/>
          <c:showPercent val="0"/>
          <c:showBubbleSize val="0"/>
        </c:dLbls>
        <c:gapWidth val="150"/>
        <c:gapDepth val="0"/>
        <c:shape val="box"/>
        <c:axId val="83396864"/>
        <c:axId val="83431808"/>
        <c:axId val="0"/>
      </c:bar3DChart>
      <c:catAx>
        <c:axId val="83396864"/>
        <c:scaling>
          <c:orientation val="minMax"/>
        </c:scaling>
        <c:delete val="0"/>
        <c:axPos val="b"/>
        <c:title>
          <c:tx>
            <c:rich>
              <a:bodyPr rot="0" spcFirstLastPara="1" vertOverflow="ellipsis" vert="horz" wrap="square" anchor="ctr" anchorCtr="1"/>
              <a:lstStyle/>
              <a:p>
                <a:pPr>
                  <a:defRPr sz="700" b="1" i="0" u="none" strike="noStrike" kern="1200" cap="all" baseline="0">
                    <a:solidFill>
                      <a:schemeClr val="dk1"/>
                    </a:solidFill>
                    <a:latin typeface="+mn-lt"/>
                    <a:ea typeface="+mn-ea"/>
                    <a:cs typeface="+mn-cs"/>
                  </a:defRPr>
                </a:pPr>
                <a:r>
                  <a:rPr lang="bg-BG" sz="700" b="1">
                    <a:latin typeface="+mn-lt"/>
                  </a:rPr>
                  <a:t>хил.лв.</a:t>
                </a:r>
              </a:p>
            </c:rich>
          </c:tx>
          <c:layout>
            <c:manualLayout>
              <c:xMode val="edge"/>
              <c:yMode val="edge"/>
              <c:x val="3.0351849567607732E-2"/>
              <c:y val="0.20823733792041332"/>
            </c:manualLayout>
          </c:layout>
          <c:overlay val="0"/>
          <c:spPr>
            <a:noFill/>
            <a:ln>
              <a:noFill/>
            </a:ln>
            <a:effectLst/>
          </c:spPr>
          <c:txPr>
            <a:bodyPr rot="0" spcFirstLastPara="1" vertOverflow="ellipsis" vert="horz" wrap="square" anchor="ctr" anchorCtr="1"/>
            <a:lstStyle/>
            <a:p>
              <a:pPr>
                <a:defRPr sz="700" b="1" i="0" u="none" strike="noStrike" kern="1200" cap="all" baseline="0">
                  <a:solidFill>
                    <a:schemeClr val="dk1"/>
                  </a:solidFill>
                  <a:latin typeface="+mn-lt"/>
                  <a:ea typeface="+mn-ea"/>
                  <a:cs typeface="+mn-cs"/>
                </a:defRPr>
              </a:pPr>
              <a:endParaRPr lang="bg-BG"/>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bg-BG"/>
          </a:p>
        </c:txPr>
        <c:crossAx val="83431808"/>
        <c:crosses val="autoZero"/>
        <c:auto val="1"/>
        <c:lblAlgn val="ctr"/>
        <c:lblOffset val="100"/>
        <c:noMultiLvlLbl val="0"/>
      </c:catAx>
      <c:valAx>
        <c:axId val="83431808"/>
        <c:scaling>
          <c:orientation val="minMax"/>
        </c:scaling>
        <c:delete val="0"/>
        <c:axPos val="l"/>
        <c:majorGridlines>
          <c:spPr>
            <a:ln w="9525" cap="flat" cmpd="sng" algn="ctr">
              <a:solidFill>
                <a:schemeClr val="tx1">
                  <a:lumMod val="5000"/>
                  <a:lumOff val="9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bg-BG"/>
          </a:p>
        </c:txPr>
        <c:crossAx val="83396864"/>
        <c:crosses val="autoZero"/>
        <c:crossBetween val="between"/>
      </c:valAx>
      <c:spPr>
        <a:noFill/>
        <a:ln>
          <a:noFill/>
        </a:ln>
        <a:effectLst/>
      </c:spPr>
    </c:plotArea>
    <c:legend>
      <c:legendPos val="b"/>
      <c:layout>
        <c:manualLayout>
          <c:xMode val="edge"/>
          <c:yMode val="edge"/>
          <c:x val="0.846754003905694"/>
          <c:y val="3.4503235381787463E-2"/>
          <c:w val="0.14814035447304444"/>
          <c:h val="0.24584166501068111"/>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dk1"/>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rgbClr val="FF4347">
        <a:alpha val="21000"/>
      </a:srgbClr>
    </a:solidFill>
    <a:ln w="25400" cap="flat" cmpd="sng" algn="ctr">
      <a:noFill/>
      <a:prstDash val="solid"/>
      <a:round/>
    </a:ln>
    <a:effectLst/>
  </c:spPr>
  <c:txPr>
    <a:bodyPr/>
    <a:lstStyle/>
    <a:p>
      <a:pPr>
        <a:defRPr>
          <a:solidFill>
            <a:schemeClr val="dk1"/>
          </a:solidFill>
          <a:latin typeface="+mn-lt"/>
          <a:ea typeface="+mn-ea"/>
          <a:cs typeface="+mn-cs"/>
        </a:defRPr>
      </a:pPr>
      <a:endParaRPr lang="bg-BG"/>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5">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15875" cap="flat" cmpd="sng" algn="ctr">
        <a:solidFill>
          <a:schemeClr val="tx1">
            <a:lumMod val="25000"/>
            <a:lumOff val="75000"/>
          </a:schemeClr>
        </a:solidFill>
        <a:round/>
      </a:ln>
    </cs:spPr>
    <cs:defRPr sz="900" kern="1200" cap="none" spc="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70000"/>
        </a:schemeClr>
      </a:solidFill>
    </cs:spPr>
  </cs:dataPoint>
  <cs:dataPoint3D>
    <cs:lnRef idx="0"/>
    <cs:fillRef idx="0">
      <cs:styleClr val="auto"/>
    </cs:fillRef>
    <cs:effectRef idx="0"/>
    <cs:fontRef idx="minor">
      <a:schemeClr val="dk1"/>
    </cs:fontRef>
    <cs:spPr>
      <a:solidFill>
        <a:schemeClr val="phClr">
          <a:alpha val="70000"/>
        </a:schemeClr>
      </a:solidFill>
    </cs:spPr>
  </cs:dataPoint3D>
  <cs:dataPointLine>
    <cs:lnRef idx="0">
      <cs:styleClr val="auto"/>
    </cs:lnRef>
    <cs:fillRef idx="0"/>
    <cs:effectRef idx="0"/>
    <cs:fontRef idx="minor">
      <a:schemeClr val="dk1"/>
    </cs:fontRef>
    <cs:spPr>
      <a:ln w="28575" cap="rnd">
        <a:solidFill>
          <a:schemeClr val="phClr">
            <a:alpha val="70000"/>
          </a:schemeClr>
        </a:solidFill>
        <a:round/>
      </a:ln>
    </cs:spPr>
  </cs:dataPointLine>
  <cs:dataPointMarker>
    <cs:lnRef idx="0"/>
    <cs:fillRef idx="0">
      <cs:styleClr val="auto"/>
    </cs:fillRef>
    <cs:effectRef idx="0"/>
    <cs:fontRef idx="minor">
      <a:schemeClr val="dk1"/>
    </cs:fontRef>
    <cs:spPr>
      <a:solidFill>
        <a:schemeClr val="phClr">
          <a:alpha val="70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5000"/>
            <a:lumOff val="9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baseline="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1600" b="0" i="0" kern="1200" cap="none" spc="50" normalizeH="0" baseline="0"/>
  </cs:title>
  <cs:trendline>
    <cs:lnRef idx="0">
      <cs:styleClr val="auto"/>
    </cs:lnRef>
    <cs:fillRef idx="0"/>
    <cs:effectRef idx="0"/>
    <cs:fontRef idx="minor">
      <a:schemeClr val="dk1"/>
    </cs:fontRef>
    <cs:spPr>
      <a:ln w="1587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spc="20" baseline="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9.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0.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Тема на Office">
  <a:themeElements>
    <a:clrScheme name="О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О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О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О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О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О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3FC82B-3CEB-4A3E-AA3B-3F57E4D364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8075</Words>
  <Characters>46030</Characters>
  <Application>Microsoft Office Word</Application>
  <DocSecurity>0</DocSecurity>
  <Lines>383</Lines>
  <Paragraphs>107</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ОСНОВНИ ФИНАНСОВИ И ОПЕРАТИВНИ ПОКАЗАТЕЛИ</vt:lpstr>
      <vt:lpstr>ОСНОВНИ ФИНАНСОВИ И ОПЕРАТИВНИ ПОКАЗАТЕЛИ</vt:lpstr>
    </vt:vector>
  </TitlesOfParts>
  <Company>Ministry of Transport and Communications Bulgaria</Company>
  <LinksUpToDate>false</LinksUpToDate>
  <CharactersWithSpaces>53998</CharactersWithSpaces>
  <SharedDoc>false</SharedDoc>
  <HLinks>
    <vt:vector size="108" baseType="variant">
      <vt:variant>
        <vt:i4>1572913</vt:i4>
      </vt:variant>
      <vt:variant>
        <vt:i4>107</vt:i4>
      </vt:variant>
      <vt:variant>
        <vt:i4>0</vt:i4>
      </vt:variant>
      <vt:variant>
        <vt:i4>5</vt:i4>
      </vt:variant>
      <vt:variant>
        <vt:lpwstr/>
      </vt:variant>
      <vt:variant>
        <vt:lpwstr>_Toc477959782</vt:lpwstr>
      </vt:variant>
      <vt:variant>
        <vt:i4>1572913</vt:i4>
      </vt:variant>
      <vt:variant>
        <vt:i4>101</vt:i4>
      </vt:variant>
      <vt:variant>
        <vt:i4>0</vt:i4>
      </vt:variant>
      <vt:variant>
        <vt:i4>5</vt:i4>
      </vt:variant>
      <vt:variant>
        <vt:lpwstr/>
      </vt:variant>
      <vt:variant>
        <vt:lpwstr>_Toc477959781</vt:lpwstr>
      </vt:variant>
      <vt:variant>
        <vt:i4>1572913</vt:i4>
      </vt:variant>
      <vt:variant>
        <vt:i4>95</vt:i4>
      </vt:variant>
      <vt:variant>
        <vt:i4>0</vt:i4>
      </vt:variant>
      <vt:variant>
        <vt:i4>5</vt:i4>
      </vt:variant>
      <vt:variant>
        <vt:lpwstr/>
      </vt:variant>
      <vt:variant>
        <vt:lpwstr>_Toc477959780</vt:lpwstr>
      </vt:variant>
      <vt:variant>
        <vt:i4>1507377</vt:i4>
      </vt:variant>
      <vt:variant>
        <vt:i4>89</vt:i4>
      </vt:variant>
      <vt:variant>
        <vt:i4>0</vt:i4>
      </vt:variant>
      <vt:variant>
        <vt:i4>5</vt:i4>
      </vt:variant>
      <vt:variant>
        <vt:lpwstr/>
      </vt:variant>
      <vt:variant>
        <vt:lpwstr>_Toc477959779</vt:lpwstr>
      </vt:variant>
      <vt:variant>
        <vt:i4>1507377</vt:i4>
      </vt:variant>
      <vt:variant>
        <vt:i4>83</vt:i4>
      </vt:variant>
      <vt:variant>
        <vt:i4>0</vt:i4>
      </vt:variant>
      <vt:variant>
        <vt:i4>5</vt:i4>
      </vt:variant>
      <vt:variant>
        <vt:lpwstr/>
      </vt:variant>
      <vt:variant>
        <vt:lpwstr>_Toc477959778</vt:lpwstr>
      </vt:variant>
      <vt:variant>
        <vt:i4>1507377</vt:i4>
      </vt:variant>
      <vt:variant>
        <vt:i4>77</vt:i4>
      </vt:variant>
      <vt:variant>
        <vt:i4>0</vt:i4>
      </vt:variant>
      <vt:variant>
        <vt:i4>5</vt:i4>
      </vt:variant>
      <vt:variant>
        <vt:lpwstr/>
      </vt:variant>
      <vt:variant>
        <vt:lpwstr>_Toc477959777</vt:lpwstr>
      </vt:variant>
      <vt:variant>
        <vt:i4>1507377</vt:i4>
      </vt:variant>
      <vt:variant>
        <vt:i4>71</vt:i4>
      </vt:variant>
      <vt:variant>
        <vt:i4>0</vt:i4>
      </vt:variant>
      <vt:variant>
        <vt:i4>5</vt:i4>
      </vt:variant>
      <vt:variant>
        <vt:lpwstr/>
      </vt:variant>
      <vt:variant>
        <vt:lpwstr>_Toc477959776</vt:lpwstr>
      </vt:variant>
      <vt:variant>
        <vt:i4>1507377</vt:i4>
      </vt:variant>
      <vt:variant>
        <vt:i4>65</vt:i4>
      </vt:variant>
      <vt:variant>
        <vt:i4>0</vt:i4>
      </vt:variant>
      <vt:variant>
        <vt:i4>5</vt:i4>
      </vt:variant>
      <vt:variant>
        <vt:lpwstr/>
      </vt:variant>
      <vt:variant>
        <vt:lpwstr>_Toc477959775</vt:lpwstr>
      </vt:variant>
      <vt:variant>
        <vt:i4>1507377</vt:i4>
      </vt:variant>
      <vt:variant>
        <vt:i4>59</vt:i4>
      </vt:variant>
      <vt:variant>
        <vt:i4>0</vt:i4>
      </vt:variant>
      <vt:variant>
        <vt:i4>5</vt:i4>
      </vt:variant>
      <vt:variant>
        <vt:lpwstr/>
      </vt:variant>
      <vt:variant>
        <vt:lpwstr>_Toc477959774</vt:lpwstr>
      </vt:variant>
      <vt:variant>
        <vt:i4>1507377</vt:i4>
      </vt:variant>
      <vt:variant>
        <vt:i4>53</vt:i4>
      </vt:variant>
      <vt:variant>
        <vt:i4>0</vt:i4>
      </vt:variant>
      <vt:variant>
        <vt:i4>5</vt:i4>
      </vt:variant>
      <vt:variant>
        <vt:lpwstr/>
      </vt:variant>
      <vt:variant>
        <vt:lpwstr>_Toc477959773</vt:lpwstr>
      </vt:variant>
      <vt:variant>
        <vt:i4>1507377</vt:i4>
      </vt:variant>
      <vt:variant>
        <vt:i4>47</vt:i4>
      </vt:variant>
      <vt:variant>
        <vt:i4>0</vt:i4>
      </vt:variant>
      <vt:variant>
        <vt:i4>5</vt:i4>
      </vt:variant>
      <vt:variant>
        <vt:lpwstr/>
      </vt:variant>
      <vt:variant>
        <vt:lpwstr>_Toc477959772</vt:lpwstr>
      </vt:variant>
      <vt:variant>
        <vt:i4>1507377</vt:i4>
      </vt:variant>
      <vt:variant>
        <vt:i4>41</vt:i4>
      </vt:variant>
      <vt:variant>
        <vt:i4>0</vt:i4>
      </vt:variant>
      <vt:variant>
        <vt:i4>5</vt:i4>
      </vt:variant>
      <vt:variant>
        <vt:lpwstr/>
      </vt:variant>
      <vt:variant>
        <vt:lpwstr>_Toc477959771</vt:lpwstr>
      </vt:variant>
      <vt:variant>
        <vt:i4>1441841</vt:i4>
      </vt:variant>
      <vt:variant>
        <vt:i4>35</vt:i4>
      </vt:variant>
      <vt:variant>
        <vt:i4>0</vt:i4>
      </vt:variant>
      <vt:variant>
        <vt:i4>5</vt:i4>
      </vt:variant>
      <vt:variant>
        <vt:lpwstr/>
      </vt:variant>
      <vt:variant>
        <vt:lpwstr>_Toc477959769</vt:lpwstr>
      </vt:variant>
      <vt:variant>
        <vt:i4>1441841</vt:i4>
      </vt:variant>
      <vt:variant>
        <vt:i4>29</vt:i4>
      </vt:variant>
      <vt:variant>
        <vt:i4>0</vt:i4>
      </vt:variant>
      <vt:variant>
        <vt:i4>5</vt:i4>
      </vt:variant>
      <vt:variant>
        <vt:lpwstr/>
      </vt:variant>
      <vt:variant>
        <vt:lpwstr>_Toc477959768</vt:lpwstr>
      </vt:variant>
      <vt:variant>
        <vt:i4>1441841</vt:i4>
      </vt:variant>
      <vt:variant>
        <vt:i4>23</vt:i4>
      </vt:variant>
      <vt:variant>
        <vt:i4>0</vt:i4>
      </vt:variant>
      <vt:variant>
        <vt:i4>5</vt:i4>
      </vt:variant>
      <vt:variant>
        <vt:lpwstr/>
      </vt:variant>
      <vt:variant>
        <vt:lpwstr>_Toc477959767</vt:lpwstr>
      </vt:variant>
      <vt:variant>
        <vt:i4>1441841</vt:i4>
      </vt:variant>
      <vt:variant>
        <vt:i4>17</vt:i4>
      </vt:variant>
      <vt:variant>
        <vt:i4>0</vt:i4>
      </vt:variant>
      <vt:variant>
        <vt:i4>5</vt:i4>
      </vt:variant>
      <vt:variant>
        <vt:lpwstr/>
      </vt:variant>
      <vt:variant>
        <vt:lpwstr>_Toc477959765</vt:lpwstr>
      </vt:variant>
      <vt:variant>
        <vt:i4>1441841</vt:i4>
      </vt:variant>
      <vt:variant>
        <vt:i4>11</vt:i4>
      </vt:variant>
      <vt:variant>
        <vt:i4>0</vt:i4>
      </vt:variant>
      <vt:variant>
        <vt:i4>5</vt:i4>
      </vt:variant>
      <vt:variant>
        <vt:lpwstr/>
      </vt:variant>
      <vt:variant>
        <vt:lpwstr>_Toc477959763</vt:lpwstr>
      </vt:variant>
      <vt:variant>
        <vt:i4>1441841</vt:i4>
      </vt:variant>
      <vt:variant>
        <vt:i4>5</vt:i4>
      </vt:variant>
      <vt:variant>
        <vt:i4>0</vt:i4>
      </vt:variant>
      <vt:variant>
        <vt:i4>5</vt:i4>
      </vt:variant>
      <vt:variant>
        <vt:lpwstr/>
      </vt:variant>
      <vt:variant>
        <vt:lpwstr>_Toc477959762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ОСНОВНИ ФИНАНСОВИ И ОПЕРАТИВНИ ПОКАЗАТЕЛИ</dc:title>
  <dc:subject/>
  <dc:creator>Mihail Dragiev</dc:creator>
  <cp:keywords/>
  <dc:description/>
  <cp:lastModifiedBy>Dobrinca Antcheva</cp:lastModifiedBy>
  <cp:revision>3</cp:revision>
  <cp:lastPrinted>2018-03-19T13:43:00Z</cp:lastPrinted>
  <dcterms:created xsi:type="dcterms:W3CDTF">2018-04-27T13:38:00Z</dcterms:created>
  <dcterms:modified xsi:type="dcterms:W3CDTF">2018-04-27T13:38:00Z</dcterms:modified>
</cp:coreProperties>
</file>