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FC" w:rsidRPr="003C08FC" w:rsidRDefault="00F74F37" w:rsidP="003C08FC">
      <w:pPr>
        <w:autoSpaceDE w:val="0"/>
        <w:autoSpaceDN w:val="0"/>
        <w:adjustRightInd w:val="0"/>
        <w:spacing w:before="0" w:line="240" w:lineRule="auto"/>
        <w:ind w:firstLine="6946"/>
        <w:jc w:val="left"/>
        <w:rPr>
          <w:b/>
          <w:color w:val="000000"/>
          <w:szCs w:val="24"/>
        </w:rPr>
      </w:pPr>
      <w:bookmarkStart w:id="0" w:name="_GoBack"/>
      <w:bookmarkEnd w:id="0"/>
      <w:r w:rsidRPr="003C08FC">
        <w:rPr>
          <w:b/>
          <w:color w:val="000000"/>
          <w:szCs w:val="24"/>
        </w:rPr>
        <w:t>Приложение №7</w:t>
      </w:r>
    </w:p>
    <w:p w:rsidR="00F74F37" w:rsidRPr="00F96B78" w:rsidRDefault="00F74F37" w:rsidP="003C08FC">
      <w:pPr>
        <w:autoSpaceDE w:val="0"/>
        <w:autoSpaceDN w:val="0"/>
        <w:adjustRightInd w:val="0"/>
        <w:spacing w:before="0" w:line="240" w:lineRule="auto"/>
        <w:ind w:firstLine="6946"/>
        <w:jc w:val="left"/>
        <w:rPr>
          <w:b/>
          <w:color w:val="000000"/>
          <w:szCs w:val="24"/>
          <w:lang w:val="en-US"/>
        </w:rPr>
      </w:pPr>
      <w:r w:rsidRPr="003C08FC">
        <w:rPr>
          <w:b/>
          <w:color w:val="000000"/>
          <w:szCs w:val="24"/>
        </w:rPr>
        <w:t>към т.</w:t>
      </w:r>
      <w:r w:rsidR="00126BA9" w:rsidRPr="00243CBE">
        <w:rPr>
          <w:b/>
          <w:color w:val="000000"/>
          <w:szCs w:val="24"/>
          <w:lang w:val="ru-RU"/>
        </w:rPr>
        <w:t xml:space="preserve"> 6</w:t>
      </w:r>
      <w:r w:rsidR="00F96B78">
        <w:rPr>
          <w:b/>
          <w:color w:val="000000"/>
          <w:szCs w:val="24"/>
          <w:lang w:val="en-US"/>
        </w:rPr>
        <w:t>8</w:t>
      </w:r>
    </w:p>
    <w:p w:rsidR="00F74F37" w:rsidRPr="003C08FC" w:rsidRDefault="00F74F37" w:rsidP="00DE437D">
      <w:pPr>
        <w:autoSpaceDE w:val="0"/>
        <w:autoSpaceDN w:val="0"/>
        <w:adjustRightInd w:val="0"/>
        <w:spacing w:before="0" w:line="240" w:lineRule="auto"/>
        <w:rPr>
          <w:b/>
          <w:bCs/>
          <w:szCs w:val="24"/>
          <w:u w:val="single"/>
        </w:rPr>
      </w:pPr>
    </w:p>
    <w:p w:rsidR="00DE437D" w:rsidRPr="00E52562" w:rsidRDefault="009A51F6" w:rsidP="00DE437D">
      <w:pPr>
        <w:autoSpaceDE w:val="0"/>
        <w:autoSpaceDN w:val="0"/>
        <w:adjustRightInd w:val="0"/>
        <w:spacing w:before="0" w:line="240" w:lineRule="auto"/>
        <w:jc w:val="center"/>
        <w:rPr>
          <w:strike/>
          <w:szCs w:val="24"/>
        </w:rPr>
      </w:pPr>
      <w:r w:rsidRPr="0013660B">
        <w:rPr>
          <w:b/>
          <w:bCs/>
          <w:szCs w:val="24"/>
        </w:rPr>
        <w:t xml:space="preserve">Обезпечаване </w:t>
      </w:r>
      <w:r w:rsidR="00B35D61">
        <w:rPr>
          <w:b/>
          <w:bCs/>
          <w:szCs w:val="24"/>
        </w:rPr>
        <w:t xml:space="preserve">на наличностите по сметките на бюджетните </w:t>
      </w:r>
      <w:r w:rsidR="00A358F9" w:rsidRPr="003225B1">
        <w:rPr>
          <w:b/>
          <w:bCs/>
          <w:szCs w:val="24"/>
        </w:rPr>
        <w:t>организации</w:t>
      </w:r>
      <w:r w:rsidR="00B35D61">
        <w:rPr>
          <w:b/>
          <w:bCs/>
          <w:szCs w:val="24"/>
        </w:rPr>
        <w:t xml:space="preserve"> </w:t>
      </w:r>
      <w:r w:rsidRPr="0013660B">
        <w:rPr>
          <w:b/>
          <w:bCs/>
          <w:szCs w:val="24"/>
        </w:rPr>
        <w:t>чрез</w:t>
      </w:r>
      <w:r>
        <w:rPr>
          <w:bCs/>
          <w:szCs w:val="24"/>
        </w:rPr>
        <w:t xml:space="preserve"> </w:t>
      </w:r>
      <w:r w:rsidR="00A504BB">
        <w:rPr>
          <w:bCs/>
          <w:szCs w:val="24"/>
        </w:rPr>
        <w:t xml:space="preserve"> </w:t>
      </w:r>
      <w:r w:rsidR="00A504BB" w:rsidRPr="00B35D61">
        <w:rPr>
          <w:b/>
          <w:bCs/>
          <w:szCs w:val="24"/>
        </w:rPr>
        <w:t>б</w:t>
      </w:r>
      <w:r w:rsidR="0013660B" w:rsidRPr="00B35D61">
        <w:rPr>
          <w:b/>
          <w:bCs/>
          <w:szCs w:val="24"/>
        </w:rPr>
        <w:t>локиране на ДЦК,</w:t>
      </w:r>
      <w:r w:rsidR="00F74F37" w:rsidRPr="009A51F6">
        <w:rPr>
          <w:rFonts w:ascii="Times New Roman Bold" w:hAnsi="Times New Roman Bold"/>
          <w:b/>
          <w:bCs/>
          <w:iCs/>
          <w:szCs w:val="24"/>
        </w:rPr>
        <w:t xml:space="preserve"> </w:t>
      </w:r>
      <w:r w:rsidRPr="00A504BB">
        <w:rPr>
          <w:b/>
          <w:bCs/>
          <w:iCs/>
          <w:szCs w:val="24"/>
        </w:rPr>
        <w:t>регистрирани в електронната система за регистриране и обслужване на търговията с безналични ДЦК</w:t>
      </w:r>
      <w:r w:rsidR="000A23D4" w:rsidRPr="00A504BB">
        <w:rPr>
          <w:bCs/>
          <w:iCs/>
          <w:szCs w:val="24"/>
        </w:rPr>
        <w:t xml:space="preserve"> </w:t>
      </w:r>
    </w:p>
    <w:p w:rsidR="003F5E58" w:rsidRPr="00E52562" w:rsidRDefault="003F5E58" w:rsidP="00DE437D">
      <w:pPr>
        <w:autoSpaceDE w:val="0"/>
        <w:autoSpaceDN w:val="0"/>
        <w:adjustRightInd w:val="0"/>
        <w:spacing w:before="0" w:line="240" w:lineRule="auto"/>
        <w:jc w:val="center"/>
        <w:rPr>
          <w:strike/>
          <w:szCs w:val="24"/>
        </w:rPr>
      </w:pPr>
    </w:p>
    <w:p w:rsidR="00E52562" w:rsidRDefault="00E52562" w:rsidP="00DE437D">
      <w:pPr>
        <w:autoSpaceDE w:val="0"/>
        <w:autoSpaceDN w:val="0"/>
        <w:adjustRightInd w:val="0"/>
        <w:spacing w:before="0" w:line="240" w:lineRule="auto"/>
        <w:rPr>
          <w:bCs/>
          <w:szCs w:val="24"/>
        </w:rPr>
      </w:pPr>
    </w:p>
    <w:p w:rsidR="00F74F37" w:rsidRPr="003C08FC" w:rsidRDefault="00F74F37" w:rsidP="00B35D61">
      <w:pPr>
        <w:numPr>
          <w:ilvl w:val="0"/>
          <w:numId w:val="2"/>
        </w:numPr>
        <w:tabs>
          <w:tab w:val="clear" w:pos="1730"/>
        </w:tabs>
        <w:autoSpaceDE w:val="0"/>
        <w:autoSpaceDN w:val="0"/>
        <w:adjustRightInd w:val="0"/>
        <w:spacing w:before="0" w:line="240" w:lineRule="auto"/>
        <w:ind w:left="0" w:firstLine="720"/>
        <w:rPr>
          <w:szCs w:val="24"/>
        </w:rPr>
      </w:pPr>
      <w:r w:rsidRPr="003C08FC">
        <w:rPr>
          <w:szCs w:val="24"/>
        </w:rPr>
        <w:t>Изчисляването на размера на ДЦК, които следва да се блокират</w:t>
      </w:r>
      <w:r w:rsidR="000775CE">
        <w:rPr>
          <w:szCs w:val="24"/>
        </w:rPr>
        <w:t xml:space="preserve"> </w:t>
      </w:r>
      <w:r w:rsidR="000775CE" w:rsidRPr="00B35D61">
        <w:rPr>
          <w:szCs w:val="24"/>
        </w:rPr>
        <w:t>в ЕСРОТ</w:t>
      </w:r>
      <w:r w:rsidRPr="003C08FC">
        <w:rPr>
          <w:szCs w:val="24"/>
        </w:rPr>
        <w:t xml:space="preserve"> за обезпечаване на средствата по сметките на бюджетните </w:t>
      </w:r>
      <w:r w:rsidR="00BF235C" w:rsidRPr="003225B1">
        <w:rPr>
          <w:szCs w:val="24"/>
        </w:rPr>
        <w:t>организации</w:t>
      </w:r>
      <w:r w:rsidR="00BF235C">
        <w:rPr>
          <w:szCs w:val="24"/>
        </w:rPr>
        <w:t xml:space="preserve"> </w:t>
      </w:r>
      <w:r w:rsidRPr="003C08FC">
        <w:rPr>
          <w:szCs w:val="24"/>
        </w:rPr>
        <w:t>в</w:t>
      </w:r>
      <w:r w:rsidR="00A504BB">
        <w:rPr>
          <w:szCs w:val="24"/>
        </w:rPr>
        <w:t xml:space="preserve"> </w:t>
      </w:r>
      <w:r w:rsidRPr="003C08FC">
        <w:rPr>
          <w:szCs w:val="24"/>
        </w:rPr>
        <w:t>банк</w:t>
      </w:r>
      <w:r w:rsidR="00C07023">
        <w:rPr>
          <w:szCs w:val="24"/>
        </w:rPr>
        <w:t>и</w:t>
      </w:r>
      <w:r w:rsidR="00C07023" w:rsidRPr="00B35D61">
        <w:rPr>
          <w:szCs w:val="24"/>
        </w:rPr>
        <w:t>те</w:t>
      </w:r>
      <w:r w:rsidR="000775CE">
        <w:rPr>
          <w:szCs w:val="24"/>
        </w:rPr>
        <w:t>,</w:t>
      </w:r>
      <w:r w:rsidRPr="003C08FC">
        <w:rPr>
          <w:szCs w:val="24"/>
        </w:rPr>
        <w:t xml:space="preserve"> се извършва както следва: </w:t>
      </w:r>
    </w:p>
    <w:p w:rsidR="00F74F37" w:rsidRPr="003C08FC" w:rsidRDefault="00E52562" w:rsidP="005628E2">
      <w:pPr>
        <w:tabs>
          <w:tab w:val="left" w:pos="1418"/>
        </w:tabs>
        <w:autoSpaceDE w:val="0"/>
        <w:autoSpaceDN w:val="0"/>
        <w:adjustRightInd w:val="0"/>
        <w:spacing w:before="0" w:line="240" w:lineRule="auto"/>
        <w:ind w:left="1560" w:hanging="426"/>
        <w:rPr>
          <w:szCs w:val="24"/>
        </w:rPr>
      </w:pPr>
      <w:r w:rsidRPr="00B35D61">
        <w:rPr>
          <w:bCs/>
          <w:szCs w:val="24"/>
        </w:rPr>
        <w:t>1</w:t>
      </w:r>
      <w:r w:rsidR="00F74F37" w:rsidRPr="003C08FC">
        <w:rPr>
          <w:bCs/>
          <w:szCs w:val="24"/>
        </w:rPr>
        <w:t>.1.</w:t>
      </w:r>
      <w:r w:rsidR="005628E2" w:rsidRPr="003C08FC">
        <w:rPr>
          <w:bCs/>
          <w:szCs w:val="24"/>
        </w:rPr>
        <w:tab/>
      </w:r>
      <w:r w:rsidR="00F74F37" w:rsidRPr="003C08FC">
        <w:rPr>
          <w:szCs w:val="24"/>
        </w:rPr>
        <w:t xml:space="preserve">за </w:t>
      </w:r>
      <w:r w:rsidR="00F74F37" w:rsidRPr="003C08FC">
        <w:rPr>
          <w:bCs/>
          <w:szCs w:val="24"/>
        </w:rPr>
        <w:t>ДЦК, емитирани по реда на Наредба № 5</w:t>
      </w:r>
      <w:r w:rsidR="00EF1892" w:rsidRPr="00984788">
        <w:rPr>
          <w:rStyle w:val="FootnoteReference"/>
          <w:b/>
          <w:bCs/>
          <w:sz w:val="24"/>
          <w:szCs w:val="24"/>
        </w:rPr>
        <w:footnoteReference w:id="1"/>
      </w:r>
      <w:r w:rsidR="00F74F37" w:rsidRPr="003C08FC">
        <w:rPr>
          <w:bCs/>
          <w:szCs w:val="24"/>
        </w:rPr>
        <w:t xml:space="preserve"> </w:t>
      </w:r>
      <w:r w:rsidR="00F74F37" w:rsidRPr="003C08FC">
        <w:rPr>
          <w:szCs w:val="24"/>
        </w:rPr>
        <w:t xml:space="preserve">- </w:t>
      </w:r>
      <w:r w:rsidR="00F74F37" w:rsidRPr="003C08FC">
        <w:rPr>
          <w:bCs/>
          <w:iCs/>
          <w:szCs w:val="24"/>
        </w:rPr>
        <w:t xml:space="preserve">98% </w:t>
      </w:r>
      <w:r w:rsidR="00F74F37" w:rsidRPr="003C08FC">
        <w:rPr>
          <w:bCs/>
          <w:szCs w:val="24"/>
        </w:rPr>
        <w:t xml:space="preserve">от тяхната </w:t>
      </w:r>
      <w:r w:rsidR="00F74F37" w:rsidRPr="003C08FC">
        <w:rPr>
          <w:bCs/>
          <w:iCs/>
          <w:szCs w:val="24"/>
        </w:rPr>
        <w:t xml:space="preserve">среднопретеглена </w:t>
      </w:r>
      <w:r w:rsidR="00F74F37" w:rsidRPr="003C08FC">
        <w:rPr>
          <w:bCs/>
          <w:szCs w:val="24"/>
        </w:rPr>
        <w:t xml:space="preserve">пазарна цена, </w:t>
      </w:r>
      <w:r w:rsidR="00F74F37" w:rsidRPr="003C08FC">
        <w:rPr>
          <w:szCs w:val="24"/>
        </w:rPr>
        <w:t>формирана на база регистрирани</w:t>
      </w:r>
      <w:r w:rsidR="000775CE" w:rsidRPr="00B35D61">
        <w:rPr>
          <w:szCs w:val="24"/>
        </w:rPr>
        <w:t>те</w:t>
      </w:r>
      <w:r w:rsidR="00F74F37" w:rsidRPr="003C08FC">
        <w:rPr>
          <w:szCs w:val="24"/>
        </w:rPr>
        <w:t xml:space="preserve"> сделки </w:t>
      </w:r>
      <w:r w:rsidR="000775CE" w:rsidRPr="00B35D61">
        <w:rPr>
          <w:szCs w:val="24"/>
        </w:rPr>
        <w:t>в ЕСРОТ</w:t>
      </w:r>
      <w:r w:rsidR="000775CE" w:rsidRPr="00A504BB">
        <w:rPr>
          <w:b/>
          <w:szCs w:val="24"/>
        </w:rPr>
        <w:t xml:space="preserve"> </w:t>
      </w:r>
      <w:r w:rsidR="00F74F37" w:rsidRPr="003C08FC">
        <w:rPr>
          <w:szCs w:val="24"/>
        </w:rPr>
        <w:t xml:space="preserve">в рамките на </w:t>
      </w:r>
      <w:r w:rsidR="00F74F37" w:rsidRPr="003C08FC">
        <w:rPr>
          <w:bCs/>
          <w:iCs/>
          <w:szCs w:val="24"/>
        </w:rPr>
        <w:t>последните 30 календарни дни</w:t>
      </w:r>
      <w:r w:rsidR="00F74F37" w:rsidRPr="003C08FC">
        <w:rPr>
          <w:szCs w:val="24"/>
        </w:rPr>
        <w:t xml:space="preserve">; </w:t>
      </w:r>
    </w:p>
    <w:p w:rsidR="00F74F37" w:rsidRPr="003C08FC" w:rsidRDefault="00E52562" w:rsidP="005628E2">
      <w:pPr>
        <w:tabs>
          <w:tab w:val="left" w:pos="1418"/>
        </w:tabs>
        <w:autoSpaceDE w:val="0"/>
        <w:autoSpaceDN w:val="0"/>
        <w:adjustRightInd w:val="0"/>
        <w:spacing w:before="0" w:line="240" w:lineRule="auto"/>
        <w:ind w:left="1560" w:hanging="426"/>
        <w:rPr>
          <w:szCs w:val="24"/>
        </w:rPr>
      </w:pPr>
      <w:r w:rsidRPr="00B35D61">
        <w:rPr>
          <w:bCs/>
          <w:szCs w:val="24"/>
        </w:rPr>
        <w:t>1</w:t>
      </w:r>
      <w:r w:rsidR="00F74F37" w:rsidRPr="003C08FC">
        <w:rPr>
          <w:bCs/>
          <w:szCs w:val="24"/>
        </w:rPr>
        <w:t>.2.</w:t>
      </w:r>
      <w:r w:rsidR="005628E2" w:rsidRPr="003C08FC">
        <w:rPr>
          <w:bCs/>
          <w:szCs w:val="24"/>
        </w:rPr>
        <w:tab/>
      </w:r>
      <w:r w:rsidR="00F74F37" w:rsidRPr="003C08FC">
        <w:rPr>
          <w:szCs w:val="24"/>
        </w:rPr>
        <w:t>за</w:t>
      </w:r>
      <w:r w:rsidR="0063431D" w:rsidRPr="003C08FC">
        <w:rPr>
          <w:szCs w:val="24"/>
        </w:rPr>
        <w:t xml:space="preserve"> </w:t>
      </w:r>
      <w:r w:rsidR="00F74F37" w:rsidRPr="003C08FC">
        <w:rPr>
          <w:bCs/>
          <w:szCs w:val="24"/>
        </w:rPr>
        <w:t>ДЦК, емитирани за структурната реформа</w:t>
      </w:r>
      <w:r w:rsidR="00EF1892" w:rsidRPr="00984788">
        <w:rPr>
          <w:rStyle w:val="FootnoteReference"/>
          <w:b/>
          <w:bCs/>
          <w:sz w:val="24"/>
          <w:szCs w:val="24"/>
        </w:rPr>
        <w:footnoteReference w:id="2"/>
      </w:r>
      <w:r w:rsidR="00F74F37" w:rsidRPr="003C08FC">
        <w:rPr>
          <w:bCs/>
          <w:szCs w:val="24"/>
        </w:rPr>
        <w:t xml:space="preserve"> </w:t>
      </w:r>
      <w:r w:rsidR="00F74F37" w:rsidRPr="003C08FC">
        <w:rPr>
          <w:szCs w:val="24"/>
        </w:rPr>
        <w:t xml:space="preserve">- </w:t>
      </w:r>
      <w:r w:rsidR="00F74F37" w:rsidRPr="003C08FC">
        <w:rPr>
          <w:bCs/>
          <w:iCs/>
          <w:szCs w:val="24"/>
        </w:rPr>
        <w:t xml:space="preserve">95% </w:t>
      </w:r>
      <w:r w:rsidR="00F74F37" w:rsidRPr="003C08FC">
        <w:rPr>
          <w:bCs/>
          <w:szCs w:val="24"/>
        </w:rPr>
        <w:t xml:space="preserve">от тяхната </w:t>
      </w:r>
      <w:r w:rsidR="00F74F37" w:rsidRPr="003C08FC">
        <w:rPr>
          <w:bCs/>
          <w:iCs/>
          <w:szCs w:val="24"/>
        </w:rPr>
        <w:t xml:space="preserve">среднопретеглена </w:t>
      </w:r>
      <w:r w:rsidR="00F74F37" w:rsidRPr="003C08FC">
        <w:rPr>
          <w:bCs/>
          <w:szCs w:val="24"/>
        </w:rPr>
        <w:t>пазарна цена</w:t>
      </w:r>
      <w:r w:rsidR="00F74F37" w:rsidRPr="003C08FC">
        <w:rPr>
          <w:szCs w:val="24"/>
        </w:rPr>
        <w:t>, формирана на база регистрирани</w:t>
      </w:r>
      <w:r w:rsidR="000775CE" w:rsidRPr="00B35D61">
        <w:rPr>
          <w:szCs w:val="24"/>
        </w:rPr>
        <w:t>те в ЕСРОТ</w:t>
      </w:r>
      <w:r w:rsidR="00F74F37" w:rsidRPr="003C08FC">
        <w:rPr>
          <w:szCs w:val="24"/>
        </w:rPr>
        <w:t xml:space="preserve"> сделки в рамките на </w:t>
      </w:r>
      <w:r w:rsidR="00F74F37" w:rsidRPr="003C08FC">
        <w:rPr>
          <w:bCs/>
          <w:iCs/>
          <w:szCs w:val="24"/>
        </w:rPr>
        <w:t>последните 30 календарни дни</w:t>
      </w:r>
      <w:r w:rsidR="00F74F37" w:rsidRPr="003C08FC">
        <w:rPr>
          <w:szCs w:val="24"/>
        </w:rPr>
        <w:t xml:space="preserve">; </w:t>
      </w:r>
    </w:p>
    <w:p w:rsidR="00F74F37" w:rsidRPr="003C08FC" w:rsidRDefault="00E52562" w:rsidP="005628E2">
      <w:pPr>
        <w:tabs>
          <w:tab w:val="left" w:pos="1418"/>
        </w:tabs>
        <w:autoSpaceDE w:val="0"/>
        <w:autoSpaceDN w:val="0"/>
        <w:adjustRightInd w:val="0"/>
        <w:spacing w:before="0" w:line="240" w:lineRule="auto"/>
        <w:ind w:left="1560" w:hanging="426"/>
        <w:rPr>
          <w:szCs w:val="24"/>
        </w:rPr>
      </w:pPr>
      <w:r w:rsidRPr="00B35D61">
        <w:rPr>
          <w:bCs/>
          <w:szCs w:val="24"/>
        </w:rPr>
        <w:t>1</w:t>
      </w:r>
      <w:r w:rsidR="00F74F37" w:rsidRPr="00203E98">
        <w:rPr>
          <w:bCs/>
          <w:szCs w:val="24"/>
        </w:rPr>
        <w:t>.</w:t>
      </w:r>
      <w:r w:rsidR="00F74F37" w:rsidRPr="003C08FC">
        <w:rPr>
          <w:bCs/>
          <w:szCs w:val="24"/>
        </w:rPr>
        <w:t>3.</w:t>
      </w:r>
      <w:r w:rsidR="005628E2" w:rsidRPr="003C08FC">
        <w:rPr>
          <w:bCs/>
          <w:szCs w:val="24"/>
        </w:rPr>
        <w:tab/>
      </w:r>
      <w:r w:rsidR="00F74F37" w:rsidRPr="003C08FC">
        <w:rPr>
          <w:szCs w:val="24"/>
        </w:rPr>
        <w:t xml:space="preserve">за емисиите на </w:t>
      </w:r>
      <w:r w:rsidR="00F74F37" w:rsidRPr="003C08FC">
        <w:rPr>
          <w:bCs/>
          <w:szCs w:val="24"/>
        </w:rPr>
        <w:t xml:space="preserve">ДЦК, за които </w:t>
      </w:r>
      <w:r w:rsidR="00F74F37" w:rsidRPr="003C08FC">
        <w:rPr>
          <w:bCs/>
          <w:iCs/>
          <w:szCs w:val="24"/>
        </w:rPr>
        <w:t xml:space="preserve">няма </w:t>
      </w:r>
      <w:r w:rsidR="00F74F37" w:rsidRPr="003C08FC">
        <w:rPr>
          <w:bCs/>
          <w:szCs w:val="24"/>
        </w:rPr>
        <w:t xml:space="preserve">формирана </w:t>
      </w:r>
      <w:r w:rsidR="00F74F37" w:rsidRPr="003C08FC">
        <w:rPr>
          <w:bCs/>
          <w:iCs/>
          <w:szCs w:val="24"/>
        </w:rPr>
        <w:t xml:space="preserve">пазарна </w:t>
      </w:r>
      <w:r w:rsidR="00F74F37" w:rsidRPr="003C08FC">
        <w:rPr>
          <w:bCs/>
          <w:szCs w:val="24"/>
        </w:rPr>
        <w:t xml:space="preserve">цена </w:t>
      </w:r>
      <w:r w:rsidR="00F74F37" w:rsidRPr="003C08FC">
        <w:rPr>
          <w:szCs w:val="24"/>
        </w:rPr>
        <w:t xml:space="preserve">се прилагат следните коефициенти: </w:t>
      </w:r>
    </w:p>
    <w:p w:rsidR="00F74F37" w:rsidRPr="003C08FC" w:rsidRDefault="005628E2" w:rsidP="00AF4FE9">
      <w:pPr>
        <w:autoSpaceDE w:val="0"/>
        <w:autoSpaceDN w:val="0"/>
        <w:adjustRightInd w:val="0"/>
        <w:spacing w:before="0" w:line="240" w:lineRule="auto"/>
        <w:ind w:firstLine="1843"/>
        <w:rPr>
          <w:szCs w:val="24"/>
        </w:rPr>
      </w:pPr>
      <w:r w:rsidRPr="003C08FC">
        <w:rPr>
          <w:szCs w:val="24"/>
        </w:rPr>
        <w:t>-</w:t>
      </w:r>
      <w:r w:rsidRPr="003C08FC">
        <w:rPr>
          <w:szCs w:val="24"/>
        </w:rPr>
        <w:tab/>
      </w:r>
      <w:r w:rsidR="00F74F37" w:rsidRPr="003C08FC">
        <w:rPr>
          <w:szCs w:val="24"/>
        </w:rPr>
        <w:t xml:space="preserve">за </w:t>
      </w:r>
      <w:r w:rsidR="00F74F37" w:rsidRPr="003C08FC">
        <w:rPr>
          <w:bCs/>
          <w:szCs w:val="24"/>
        </w:rPr>
        <w:t>сконтови ДЦК</w:t>
      </w:r>
      <w:r w:rsidR="00667BD6">
        <w:rPr>
          <w:szCs w:val="24"/>
        </w:rPr>
        <w:t xml:space="preserve"> -</w:t>
      </w:r>
      <w:r w:rsidR="00F74F37" w:rsidRPr="003C08FC">
        <w:rPr>
          <w:szCs w:val="24"/>
        </w:rPr>
        <w:t xml:space="preserve"> </w:t>
      </w:r>
      <w:r w:rsidR="00F74F37" w:rsidRPr="003C08FC">
        <w:rPr>
          <w:bCs/>
          <w:iCs/>
          <w:szCs w:val="24"/>
        </w:rPr>
        <w:t xml:space="preserve">95% </w:t>
      </w:r>
      <w:r w:rsidR="00F74F37" w:rsidRPr="003C08FC">
        <w:rPr>
          <w:bCs/>
          <w:szCs w:val="24"/>
        </w:rPr>
        <w:t xml:space="preserve">от </w:t>
      </w:r>
      <w:r w:rsidR="00F74F37" w:rsidRPr="003C08FC">
        <w:rPr>
          <w:bCs/>
          <w:iCs/>
          <w:szCs w:val="24"/>
        </w:rPr>
        <w:t xml:space="preserve">номиналната </w:t>
      </w:r>
      <w:r w:rsidR="00F74F37" w:rsidRPr="003C08FC">
        <w:rPr>
          <w:bCs/>
          <w:szCs w:val="24"/>
        </w:rPr>
        <w:t>им стойност</w:t>
      </w:r>
      <w:r w:rsidR="00F74F37" w:rsidRPr="003C08FC">
        <w:rPr>
          <w:szCs w:val="24"/>
        </w:rPr>
        <w:t xml:space="preserve">; </w:t>
      </w:r>
    </w:p>
    <w:p w:rsidR="005628E2" w:rsidRPr="003C08FC" w:rsidRDefault="005628E2" w:rsidP="00AF4FE9">
      <w:pPr>
        <w:autoSpaceDE w:val="0"/>
        <w:autoSpaceDN w:val="0"/>
        <w:adjustRightInd w:val="0"/>
        <w:spacing w:before="0" w:line="240" w:lineRule="auto"/>
        <w:ind w:firstLine="1843"/>
        <w:rPr>
          <w:szCs w:val="24"/>
        </w:rPr>
      </w:pPr>
      <w:r w:rsidRPr="003C08FC">
        <w:rPr>
          <w:szCs w:val="24"/>
        </w:rPr>
        <w:t>-</w:t>
      </w:r>
      <w:r w:rsidRPr="003C08FC">
        <w:rPr>
          <w:szCs w:val="24"/>
        </w:rPr>
        <w:tab/>
      </w:r>
      <w:r w:rsidR="00F74F37" w:rsidRPr="003C08FC">
        <w:rPr>
          <w:szCs w:val="24"/>
        </w:rPr>
        <w:t xml:space="preserve">за </w:t>
      </w:r>
      <w:r w:rsidR="00F74F37" w:rsidRPr="003C08FC">
        <w:rPr>
          <w:bCs/>
          <w:szCs w:val="24"/>
        </w:rPr>
        <w:t>лихвоносни ДЦК</w:t>
      </w:r>
      <w:r w:rsidR="00667BD6">
        <w:rPr>
          <w:szCs w:val="24"/>
        </w:rPr>
        <w:t xml:space="preserve"> -</w:t>
      </w:r>
      <w:r w:rsidR="00F74F37" w:rsidRPr="003C08FC">
        <w:rPr>
          <w:szCs w:val="24"/>
        </w:rPr>
        <w:t xml:space="preserve"> </w:t>
      </w:r>
      <w:r w:rsidR="00F74F37" w:rsidRPr="003C08FC">
        <w:rPr>
          <w:bCs/>
          <w:iCs/>
          <w:szCs w:val="24"/>
        </w:rPr>
        <w:t xml:space="preserve">97% </w:t>
      </w:r>
      <w:r w:rsidR="00F74F37" w:rsidRPr="003C08FC">
        <w:rPr>
          <w:bCs/>
          <w:szCs w:val="24"/>
        </w:rPr>
        <w:t xml:space="preserve">от </w:t>
      </w:r>
      <w:r w:rsidR="00F74F37" w:rsidRPr="003C08FC">
        <w:rPr>
          <w:bCs/>
          <w:iCs/>
          <w:szCs w:val="24"/>
        </w:rPr>
        <w:t xml:space="preserve">номиналната </w:t>
      </w:r>
      <w:r w:rsidR="00F74F37" w:rsidRPr="003C08FC">
        <w:rPr>
          <w:bCs/>
          <w:szCs w:val="24"/>
        </w:rPr>
        <w:t>им стойност</w:t>
      </w:r>
      <w:r w:rsidR="00F74F37" w:rsidRPr="003C08FC">
        <w:rPr>
          <w:szCs w:val="24"/>
        </w:rPr>
        <w:t xml:space="preserve">; </w:t>
      </w:r>
    </w:p>
    <w:p w:rsidR="00F74F37" w:rsidRPr="00667BD6" w:rsidRDefault="00F74F37" w:rsidP="00AF4FE9">
      <w:pPr>
        <w:autoSpaceDE w:val="0"/>
        <w:autoSpaceDN w:val="0"/>
        <w:adjustRightInd w:val="0"/>
        <w:spacing w:before="0" w:line="240" w:lineRule="auto"/>
        <w:ind w:left="2127" w:hanging="284"/>
        <w:rPr>
          <w:bCs/>
          <w:szCs w:val="24"/>
          <w:lang w:val="ru-RU"/>
        </w:rPr>
      </w:pPr>
      <w:r w:rsidRPr="003C08FC">
        <w:rPr>
          <w:szCs w:val="24"/>
        </w:rPr>
        <w:t>-</w:t>
      </w:r>
      <w:r w:rsidR="005628E2" w:rsidRPr="003C08FC">
        <w:rPr>
          <w:szCs w:val="24"/>
        </w:rPr>
        <w:tab/>
      </w:r>
      <w:r w:rsidRPr="003C08FC">
        <w:rPr>
          <w:szCs w:val="24"/>
        </w:rPr>
        <w:t xml:space="preserve">за </w:t>
      </w:r>
      <w:r w:rsidRPr="003C08FC">
        <w:rPr>
          <w:bCs/>
          <w:szCs w:val="24"/>
        </w:rPr>
        <w:t>ДЦК, емитирани за структурната реформа</w:t>
      </w:r>
      <w:r w:rsidR="00667BD6">
        <w:rPr>
          <w:szCs w:val="24"/>
        </w:rPr>
        <w:t xml:space="preserve"> -</w:t>
      </w:r>
      <w:r w:rsidR="00671C22" w:rsidRPr="003C08FC">
        <w:rPr>
          <w:szCs w:val="24"/>
        </w:rPr>
        <w:t xml:space="preserve"> </w:t>
      </w:r>
      <w:r w:rsidRPr="003C08FC">
        <w:rPr>
          <w:bCs/>
          <w:iCs/>
          <w:szCs w:val="24"/>
        </w:rPr>
        <w:t xml:space="preserve">70 % </w:t>
      </w:r>
      <w:r w:rsidRPr="003C08FC">
        <w:rPr>
          <w:bCs/>
          <w:szCs w:val="24"/>
        </w:rPr>
        <w:t xml:space="preserve">от </w:t>
      </w:r>
      <w:r w:rsidRPr="003C08FC">
        <w:rPr>
          <w:bCs/>
          <w:iCs/>
          <w:szCs w:val="24"/>
        </w:rPr>
        <w:t xml:space="preserve">номиналната </w:t>
      </w:r>
      <w:r w:rsidRPr="003C08FC">
        <w:rPr>
          <w:bCs/>
          <w:szCs w:val="24"/>
        </w:rPr>
        <w:t>им стойност</w:t>
      </w:r>
      <w:r w:rsidR="00214D84">
        <w:rPr>
          <w:bCs/>
          <w:szCs w:val="24"/>
        </w:rPr>
        <w:t>;</w:t>
      </w:r>
      <w:r w:rsidRPr="003C08FC">
        <w:rPr>
          <w:bCs/>
          <w:szCs w:val="24"/>
        </w:rPr>
        <w:t xml:space="preserve"> </w:t>
      </w:r>
    </w:p>
    <w:p w:rsidR="00551C36" w:rsidRPr="00B35D61" w:rsidRDefault="000A23D4" w:rsidP="00DE437D">
      <w:pPr>
        <w:autoSpaceDE w:val="0"/>
        <w:autoSpaceDN w:val="0"/>
        <w:adjustRightInd w:val="0"/>
        <w:spacing w:before="0" w:line="240" w:lineRule="auto"/>
        <w:rPr>
          <w:bCs/>
          <w:szCs w:val="24"/>
        </w:rPr>
      </w:pPr>
      <w:r>
        <w:rPr>
          <w:bCs/>
          <w:szCs w:val="24"/>
        </w:rPr>
        <w:t xml:space="preserve">      </w:t>
      </w:r>
      <w:r w:rsidRPr="0013660B">
        <w:rPr>
          <w:b/>
          <w:bCs/>
          <w:szCs w:val="24"/>
        </w:rPr>
        <w:t xml:space="preserve"> </w:t>
      </w:r>
      <w:r w:rsidR="00E52562" w:rsidRPr="00B35D61">
        <w:rPr>
          <w:bCs/>
          <w:szCs w:val="24"/>
        </w:rPr>
        <w:t>1.4</w:t>
      </w:r>
      <w:r w:rsidR="00551C36" w:rsidRPr="00B35D61">
        <w:rPr>
          <w:bCs/>
          <w:szCs w:val="24"/>
        </w:rPr>
        <w:t xml:space="preserve">. В случаите на т. </w:t>
      </w:r>
      <w:r w:rsidR="00667BD6" w:rsidRPr="00B35D61">
        <w:rPr>
          <w:bCs/>
          <w:szCs w:val="24"/>
        </w:rPr>
        <w:t>1</w:t>
      </w:r>
      <w:r w:rsidR="00551C36" w:rsidRPr="00B35D61">
        <w:rPr>
          <w:bCs/>
          <w:szCs w:val="24"/>
        </w:rPr>
        <w:t xml:space="preserve">.1 и </w:t>
      </w:r>
      <w:r w:rsidR="00667BD6" w:rsidRPr="00B35D61">
        <w:rPr>
          <w:bCs/>
          <w:szCs w:val="24"/>
        </w:rPr>
        <w:t>1</w:t>
      </w:r>
      <w:r w:rsidR="00551C36" w:rsidRPr="00B35D61">
        <w:rPr>
          <w:bCs/>
          <w:szCs w:val="24"/>
        </w:rPr>
        <w:t>.2 пазарната цена е равна на</w:t>
      </w:r>
      <w:r w:rsidR="00667BD6" w:rsidRPr="00B35D61">
        <w:rPr>
          <w:bCs/>
          <w:szCs w:val="24"/>
        </w:rPr>
        <w:t xml:space="preserve"> сумата от</w:t>
      </w:r>
      <w:r w:rsidR="00551C36" w:rsidRPr="00B35D61">
        <w:rPr>
          <w:bCs/>
          <w:szCs w:val="24"/>
        </w:rPr>
        <w:t xml:space="preserve"> натрупаната лихва и чистата цена</w:t>
      </w:r>
      <w:r w:rsidR="00214D84">
        <w:rPr>
          <w:bCs/>
          <w:szCs w:val="24"/>
        </w:rPr>
        <w:t>;</w:t>
      </w:r>
    </w:p>
    <w:p w:rsidR="005D40A4" w:rsidRPr="00B35D61" w:rsidRDefault="005D40A4" w:rsidP="005D40A4">
      <w:pPr>
        <w:autoSpaceDE w:val="0"/>
        <w:autoSpaceDN w:val="0"/>
        <w:adjustRightInd w:val="0"/>
        <w:spacing w:before="0" w:line="240" w:lineRule="auto"/>
        <w:rPr>
          <w:szCs w:val="24"/>
        </w:rPr>
      </w:pPr>
      <w:r w:rsidRPr="00B35D61">
        <w:rPr>
          <w:bCs/>
          <w:szCs w:val="24"/>
        </w:rPr>
        <w:t xml:space="preserve">       1.5. </w:t>
      </w:r>
      <w:r w:rsidRPr="00B35D61">
        <w:rPr>
          <w:szCs w:val="24"/>
        </w:rPr>
        <w:t xml:space="preserve">Левовата равностойност на валутните ДЦК се изчислява по обменните курсове на чуждестранните валути към българския лев, обявени от БНБ и валидни </w:t>
      </w:r>
      <w:r w:rsidRPr="00B35D61">
        <w:rPr>
          <w:sz w:val="22"/>
          <w:szCs w:val="22"/>
        </w:rPr>
        <w:t xml:space="preserve">за </w:t>
      </w:r>
      <w:r w:rsidRPr="00B35D61">
        <w:rPr>
          <w:szCs w:val="24"/>
        </w:rPr>
        <w:t xml:space="preserve">предходния работен ден, </w:t>
      </w:r>
      <w:r w:rsidRPr="00B35D61">
        <w:rPr>
          <w:sz w:val="22"/>
          <w:szCs w:val="22"/>
        </w:rPr>
        <w:t xml:space="preserve">по </w:t>
      </w:r>
      <w:r w:rsidRPr="00B35D61">
        <w:rPr>
          <w:szCs w:val="24"/>
        </w:rPr>
        <w:t xml:space="preserve">който </w:t>
      </w:r>
      <w:r w:rsidRPr="00B35D61">
        <w:rPr>
          <w:sz w:val="22"/>
          <w:szCs w:val="22"/>
        </w:rPr>
        <w:t xml:space="preserve">се </w:t>
      </w:r>
      <w:r w:rsidRPr="00B35D61">
        <w:rPr>
          <w:szCs w:val="24"/>
        </w:rPr>
        <w:t xml:space="preserve">изготвя дневната оборотна ведомост. </w:t>
      </w:r>
    </w:p>
    <w:p w:rsidR="00F74F37" w:rsidRPr="003C08FC" w:rsidRDefault="00F74F37" w:rsidP="009C7058">
      <w:pPr>
        <w:numPr>
          <w:ilvl w:val="0"/>
          <w:numId w:val="2"/>
        </w:numPr>
        <w:tabs>
          <w:tab w:val="clear" w:pos="1730"/>
        </w:tabs>
        <w:autoSpaceDE w:val="0"/>
        <w:autoSpaceDN w:val="0"/>
        <w:adjustRightInd w:val="0"/>
        <w:spacing w:before="0" w:line="240" w:lineRule="auto"/>
        <w:ind w:left="0" w:firstLine="720"/>
        <w:rPr>
          <w:szCs w:val="24"/>
        </w:rPr>
      </w:pPr>
      <w:r w:rsidRPr="003C08FC">
        <w:rPr>
          <w:szCs w:val="24"/>
        </w:rPr>
        <w:t>Среднопретеглените пазарни цени за всички видове ДЦК, с които има</w:t>
      </w:r>
      <w:r w:rsidR="001478AD">
        <w:rPr>
          <w:szCs w:val="24"/>
        </w:rPr>
        <w:t xml:space="preserve"> регистрирани сделки, се обявяват от БНБ </w:t>
      </w:r>
      <w:r w:rsidR="001478AD" w:rsidRPr="00B35D61">
        <w:rPr>
          <w:szCs w:val="24"/>
        </w:rPr>
        <w:t>ежедневно</w:t>
      </w:r>
      <w:r w:rsidR="001478AD">
        <w:rPr>
          <w:szCs w:val="24"/>
        </w:rPr>
        <w:t xml:space="preserve"> след приключване на </w:t>
      </w:r>
      <w:r w:rsidR="001478AD" w:rsidRPr="00B35D61">
        <w:rPr>
          <w:szCs w:val="24"/>
        </w:rPr>
        <w:t>системния</w:t>
      </w:r>
      <w:r w:rsidR="00E52562">
        <w:rPr>
          <w:szCs w:val="24"/>
        </w:rPr>
        <w:t xml:space="preserve"> </w:t>
      </w:r>
      <w:r w:rsidRPr="003C08FC">
        <w:rPr>
          <w:szCs w:val="24"/>
        </w:rPr>
        <w:t xml:space="preserve"> ден на</w:t>
      </w:r>
      <w:r w:rsidR="00551C36">
        <w:rPr>
          <w:szCs w:val="24"/>
        </w:rPr>
        <w:t xml:space="preserve"> </w:t>
      </w:r>
      <w:r w:rsidR="00551C36" w:rsidRPr="00B35D61">
        <w:rPr>
          <w:szCs w:val="24"/>
        </w:rPr>
        <w:t>ЕСРОТ</w:t>
      </w:r>
      <w:r w:rsidR="00551C36">
        <w:rPr>
          <w:szCs w:val="24"/>
        </w:rPr>
        <w:t xml:space="preserve"> на </w:t>
      </w:r>
      <w:r w:rsidRPr="003C08FC">
        <w:rPr>
          <w:szCs w:val="24"/>
        </w:rPr>
        <w:t xml:space="preserve"> интернет-страницата на БНБ </w:t>
      </w:r>
      <w:r w:rsidRPr="003C08FC">
        <w:rPr>
          <w:bCs/>
          <w:szCs w:val="24"/>
          <w:u w:val="single"/>
        </w:rPr>
        <w:t>www.bnb.bg</w:t>
      </w:r>
      <w:r w:rsidRPr="003C08FC">
        <w:rPr>
          <w:szCs w:val="24"/>
        </w:rPr>
        <w:t xml:space="preserve">. </w:t>
      </w:r>
    </w:p>
    <w:p w:rsidR="00381344" w:rsidRPr="00B35D61" w:rsidRDefault="00E52562" w:rsidP="009C7058">
      <w:pPr>
        <w:numPr>
          <w:ilvl w:val="0"/>
          <w:numId w:val="2"/>
        </w:numPr>
        <w:tabs>
          <w:tab w:val="clear" w:pos="1730"/>
        </w:tabs>
        <w:autoSpaceDE w:val="0"/>
        <w:autoSpaceDN w:val="0"/>
        <w:adjustRightInd w:val="0"/>
        <w:spacing w:before="0" w:line="240" w:lineRule="auto"/>
        <w:ind w:left="0" w:firstLine="720"/>
        <w:rPr>
          <w:bCs/>
          <w:szCs w:val="24"/>
        </w:rPr>
      </w:pPr>
      <w:r w:rsidRPr="00B35D61">
        <w:rPr>
          <w:bCs/>
          <w:szCs w:val="24"/>
        </w:rPr>
        <w:t>Информация за стойността на обезпечението с ДЦК, блокирани в ЕСРОТ от всеки участник за обезпечаване на бюджетни сре</w:t>
      </w:r>
      <w:r w:rsidR="00B35D61" w:rsidRPr="00B35D61">
        <w:rPr>
          <w:bCs/>
          <w:szCs w:val="24"/>
        </w:rPr>
        <w:t>д</w:t>
      </w:r>
      <w:r w:rsidRPr="00B35D61">
        <w:rPr>
          <w:bCs/>
          <w:szCs w:val="24"/>
        </w:rPr>
        <w:t xml:space="preserve">ства е достъпна ежедневно при отваряне на системния ден на ЕСРОТ чрез </w:t>
      </w:r>
      <w:r w:rsidRPr="00B35D61">
        <w:rPr>
          <w:bCs/>
          <w:szCs w:val="24"/>
          <w:lang w:val="en-GB"/>
        </w:rPr>
        <w:t>Web</w:t>
      </w:r>
      <w:r w:rsidRPr="00B35D61">
        <w:rPr>
          <w:bCs/>
          <w:szCs w:val="24"/>
        </w:rPr>
        <w:t xml:space="preserve"> интерфейса, меню Общи функции – екранна форма </w:t>
      </w:r>
      <w:r w:rsidR="00667BD6" w:rsidRPr="00B35D61">
        <w:rPr>
          <w:bCs/>
          <w:szCs w:val="24"/>
        </w:rPr>
        <w:t>„</w:t>
      </w:r>
      <w:r w:rsidRPr="00B35D61">
        <w:rPr>
          <w:bCs/>
          <w:szCs w:val="24"/>
        </w:rPr>
        <w:t>Писма и документи</w:t>
      </w:r>
      <w:r w:rsidR="00667BD6" w:rsidRPr="00B35D61">
        <w:rPr>
          <w:bCs/>
          <w:szCs w:val="24"/>
        </w:rPr>
        <w:t>”</w:t>
      </w:r>
      <w:r w:rsidRPr="00B35D61">
        <w:rPr>
          <w:bCs/>
          <w:szCs w:val="24"/>
        </w:rPr>
        <w:t>.</w:t>
      </w:r>
    </w:p>
    <w:p w:rsidR="00E52562" w:rsidRPr="00B35D61" w:rsidRDefault="00E52562" w:rsidP="009C7058">
      <w:pPr>
        <w:numPr>
          <w:ilvl w:val="0"/>
          <w:numId w:val="2"/>
        </w:numPr>
        <w:tabs>
          <w:tab w:val="clear" w:pos="1730"/>
        </w:tabs>
        <w:autoSpaceDE w:val="0"/>
        <w:autoSpaceDN w:val="0"/>
        <w:adjustRightInd w:val="0"/>
        <w:spacing w:before="0" w:line="240" w:lineRule="auto"/>
        <w:ind w:left="0" w:firstLine="720"/>
        <w:rPr>
          <w:bCs/>
          <w:szCs w:val="24"/>
        </w:rPr>
      </w:pPr>
      <w:r w:rsidRPr="00B35D61">
        <w:rPr>
          <w:bCs/>
          <w:szCs w:val="24"/>
        </w:rPr>
        <w:t>Блокирането на ДЦК в ЕСРОТ, което има действие на законен особен залог върху тях в полза на Министерството на финансите, или тяхното деблокиране се извършва по искане</w:t>
      </w:r>
      <w:r w:rsidR="00FE21AB" w:rsidRPr="00B35D61">
        <w:rPr>
          <w:bCs/>
          <w:szCs w:val="24"/>
        </w:rPr>
        <w:t xml:space="preserve"> на банките участници в системата, изпратено до дирекция „Депозитар на държавни и гарантирани от държавата дългове” при управление „Фискални услуги” в БНБ, </w:t>
      </w:r>
      <w:r w:rsidR="00FE21AB" w:rsidRPr="00B35D61">
        <w:rPr>
          <w:bCs/>
          <w:szCs w:val="24"/>
        </w:rPr>
        <w:lastRenderedPageBreak/>
        <w:t>съгласно изискванията на Наредба № 5 в сроковете, определени съвместно от Министерството на финансите и БНБ.</w:t>
      </w:r>
    </w:p>
    <w:p w:rsidR="0082269D" w:rsidRPr="0082269D" w:rsidRDefault="00FE21AB" w:rsidP="00F00FD8">
      <w:pPr>
        <w:numPr>
          <w:ilvl w:val="0"/>
          <w:numId w:val="2"/>
        </w:numPr>
        <w:tabs>
          <w:tab w:val="clear" w:pos="1730"/>
        </w:tabs>
        <w:autoSpaceDE w:val="0"/>
        <w:autoSpaceDN w:val="0"/>
        <w:adjustRightInd w:val="0"/>
        <w:spacing w:before="0" w:line="240" w:lineRule="auto"/>
        <w:ind w:left="0" w:firstLine="720"/>
        <w:rPr>
          <w:bCs/>
          <w:szCs w:val="24"/>
        </w:rPr>
      </w:pPr>
      <w:r w:rsidRPr="0082269D">
        <w:rPr>
          <w:bCs/>
          <w:szCs w:val="24"/>
        </w:rPr>
        <w:t xml:space="preserve">При падеж на ДЦК, блокирани за обезпечаване на наличности по сметки на бюджетни </w:t>
      </w:r>
      <w:r w:rsidR="00A358F9" w:rsidRPr="0082269D">
        <w:rPr>
          <w:bCs/>
          <w:szCs w:val="24"/>
        </w:rPr>
        <w:t>организации</w:t>
      </w:r>
      <w:r w:rsidRPr="0082269D">
        <w:rPr>
          <w:bCs/>
          <w:szCs w:val="24"/>
        </w:rPr>
        <w:t xml:space="preserve">, главницата се деблокира служебно от БНБ от името на МФ, като средствата, включително и при лихвено плащане се превеждат по сметката за сетълмент на парични средства на банката в </w:t>
      </w:r>
      <w:r w:rsidR="00C07023" w:rsidRPr="0082269D">
        <w:rPr>
          <w:bCs/>
          <w:szCs w:val="24"/>
        </w:rPr>
        <w:t>лева в RINGS или в евро в  T</w:t>
      </w:r>
      <w:r w:rsidR="00DC0D41" w:rsidRPr="0082269D">
        <w:rPr>
          <w:bCs/>
          <w:szCs w:val="24"/>
        </w:rPr>
        <w:t>ARGET</w:t>
      </w:r>
      <w:r w:rsidR="00C07023" w:rsidRPr="0082269D">
        <w:rPr>
          <w:bCs/>
          <w:szCs w:val="24"/>
        </w:rPr>
        <w:t>2.</w:t>
      </w:r>
      <w:r w:rsidR="0082269D" w:rsidRPr="00E81680">
        <w:rPr>
          <w:bCs/>
          <w:color w:val="FF0000"/>
          <w:szCs w:val="24"/>
        </w:rPr>
        <w:t xml:space="preserve"> </w:t>
      </w:r>
      <w:r w:rsidR="00F00FD8">
        <w:t>В случай, че спрямо банка са приложени разпоредбите на чл.115, ал. 1 или чл.36 от Закона за кредитните институции се прилага реда по т.62 и т.63 или т. 64 от настоящите съвместни указания.</w:t>
      </w:r>
      <w:r w:rsidR="00F00FD8" w:rsidRPr="0082269D">
        <w:rPr>
          <w:bCs/>
          <w:szCs w:val="24"/>
        </w:rPr>
        <w:t xml:space="preserve"> </w:t>
      </w:r>
    </w:p>
    <w:p w:rsidR="00FE21AB" w:rsidRPr="0082269D" w:rsidRDefault="009221F2" w:rsidP="0082269D">
      <w:pPr>
        <w:autoSpaceDE w:val="0"/>
        <w:autoSpaceDN w:val="0"/>
        <w:adjustRightInd w:val="0"/>
        <w:spacing w:before="0" w:line="240" w:lineRule="auto"/>
        <w:ind w:firstLine="0"/>
        <w:rPr>
          <w:bCs/>
          <w:szCs w:val="24"/>
        </w:rPr>
      </w:pPr>
      <w:r w:rsidRPr="0082269D">
        <w:rPr>
          <w:bCs/>
          <w:szCs w:val="24"/>
        </w:rPr>
        <w:tab/>
      </w:r>
    </w:p>
    <w:p w:rsidR="00F74F37" w:rsidRPr="009A51F6" w:rsidRDefault="00F74F37" w:rsidP="00DE437D">
      <w:pPr>
        <w:autoSpaceDE w:val="0"/>
        <w:autoSpaceDN w:val="0"/>
        <w:adjustRightInd w:val="0"/>
        <w:spacing w:before="0" w:line="240" w:lineRule="auto"/>
        <w:rPr>
          <w:b/>
          <w:strike/>
          <w:szCs w:val="24"/>
        </w:rPr>
      </w:pPr>
      <w:r w:rsidRPr="009A51F6">
        <w:rPr>
          <w:b/>
          <w:bCs/>
          <w:strike/>
          <w:szCs w:val="24"/>
          <w:u w:val="single"/>
        </w:rPr>
        <w:t xml:space="preserve"> </w:t>
      </w:r>
    </w:p>
    <w:p w:rsidR="00FD5010" w:rsidRDefault="00FD5010" w:rsidP="0025700B">
      <w:pPr>
        <w:spacing w:before="0"/>
        <w:ind w:firstLine="0"/>
        <w:jc w:val="left"/>
        <w:rPr>
          <w:sz w:val="20"/>
        </w:rPr>
      </w:pPr>
    </w:p>
    <w:p w:rsidR="00FD5010" w:rsidRDefault="00FD5010" w:rsidP="0025700B">
      <w:pPr>
        <w:spacing w:before="0"/>
        <w:ind w:firstLine="0"/>
        <w:jc w:val="left"/>
        <w:rPr>
          <w:sz w:val="20"/>
        </w:rPr>
      </w:pPr>
    </w:p>
    <w:p w:rsidR="00FD5010" w:rsidRDefault="00FD5010" w:rsidP="0025700B">
      <w:pPr>
        <w:spacing w:before="0"/>
        <w:ind w:firstLine="0"/>
        <w:jc w:val="left"/>
        <w:rPr>
          <w:sz w:val="20"/>
        </w:rPr>
      </w:pPr>
    </w:p>
    <w:p w:rsidR="00FD5010" w:rsidRDefault="00FD5010" w:rsidP="0025700B">
      <w:pPr>
        <w:spacing w:before="0"/>
        <w:ind w:firstLine="0"/>
        <w:jc w:val="left"/>
        <w:rPr>
          <w:sz w:val="20"/>
        </w:rPr>
      </w:pPr>
    </w:p>
    <w:p w:rsidR="00FD5010" w:rsidRDefault="00FD5010" w:rsidP="00FD5010">
      <w:pPr>
        <w:spacing w:line="240" w:lineRule="auto"/>
        <w:ind w:firstLine="0"/>
        <w:jc w:val="left"/>
        <w:rPr>
          <w:sz w:val="20"/>
        </w:rPr>
      </w:pPr>
    </w:p>
    <w:p w:rsidR="00FD5010" w:rsidRPr="00062FBF" w:rsidRDefault="00FD5010" w:rsidP="00FD5010">
      <w:pPr>
        <w:spacing w:line="240" w:lineRule="auto"/>
        <w:ind w:firstLine="0"/>
        <w:jc w:val="left"/>
        <w:rPr>
          <w:sz w:val="20"/>
        </w:rPr>
      </w:pPr>
    </w:p>
    <w:p w:rsidR="00FD5010" w:rsidRDefault="00FD5010" w:rsidP="00FD5010">
      <w:pPr>
        <w:spacing w:line="240" w:lineRule="auto"/>
        <w:ind w:firstLine="0"/>
        <w:jc w:val="left"/>
        <w:rPr>
          <w:sz w:val="20"/>
        </w:rPr>
      </w:pPr>
    </w:p>
    <w:p w:rsidR="0025700B" w:rsidRDefault="0025700B" w:rsidP="0025700B">
      <w:pPr>
        <w:spacing w:before="0"/>
        <w:ind w:firstLine="0"/>
        <w:jc w:val="left"/>
        <w:rPr>
          <w:sz w:val="20"/>
        </w:rPr>
      </w:pPr>
    </w:p>
    <w:p w:rsidR="0025700B" w:rsidRDefault="0025700B" w:rsidP="0025700B">
      <w:pPr>
        <w:spacing w:before="0"/>
        <w:ind w:firstLine="0"/>
        <w:jc w:val="left"/>
        <w:rPr>
          <w:sz w:val="20"/>
        </w:rPr>
      </w:pPr>
    </w:p>
    <w:p w:rsidR="0025700B" w:rsidRPr="00092058" w:rsidRDefault="0025700B" w:rsidP="0025700B">
      <w:pPr>
        <w:spacing w:before="0"/>
        <w:ind w:firstLine="0"/>
        <w:jc w:val="left"/>
        <w:rPr>
          <w:sz w:val="20"/>
        </w:rPr>
      </w:pPr>
      <w:r w:rsidRPr="00092058">
        <w:rPr>
          <w:sz w:val="20"/>
        </w:rPr>
        <w:t xml:space="preserve">        </w:t>
      </w:r>
    </w:p>
    <w:p w:rsidR="0025700B" w:rsidRPr="00092058" w:rsidRDefault="0025700B" w:rsidP="0025700B">
      <w:pPr>
        <w:spacing w:before="0"/>
        <w:ind w:firstLine="0"/>
        <w:jc w:val="left"/>
        <w:rPr>
          <w:sz w:val="20"/>
        </w:rPr>
      </w:pPr>
      <w:r w:rsidRPr="00092058">
        <w:rPr>
          <w:sz w:val="20"/>
        </w:rPr>
        <w:t xml:space="preserve">                                                              </w:t>
      </w:r>
    </w:p>
    <w:p w:rsidR="0025700B" w:rsidRPr="009A51F6" w:rsidRDefault="0025700B" w:rsidP="008766A7">
      <w:pPr>
        <w:autoSpaceDE w:val="0"/>
        <w:autoSpaceDN w:val="0"/>
        <w:adjustRightInd w:val="0"/>
        <w:spacing w:before="0" w:line="240" w:lineRule="auto"/>
      </w:pPr>
    </w:p>
    <w:sectPr w:rsidR="0025700B" w:rsidRPr="009A51F6" w:rsidSect="00453A9B">
      <w:footerReference w:type="even" r:id="rId9"/>
      <w:footerReference w:type="default" r:id="rId10"/>
      <w:type w:val="continuous"/>
      <w:pgSz w:w="12240" w:h="15840" w:code="1"/>
      <w:pgMar w:top="907" w:right="1418" w:bottom="851" w:left="1418" w:header="510" w:footer="51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B1" w:rsidRDefault="00CE39B1">
      <w:r>
        <w:separator/>
      </w:r>
    </w:p>
  </w:endnote>
  <w:endnote w:type="continuationSeparator" w:id="0">
    <w:p w:rsidR="00CE39B1" w:rsidRDefault="00CE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98" w:rsidRDefault="00203E98" w:rsidP="009753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3E98" w:rsidRDefault="00203E98" w:rsidP="00D21E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98" w:rsidRDefault="00203E98" w:rsidP="009753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0ED6">
      <w:rPr>
        <w:rStyle w:val="PageNumber"/>
        <w:noProof/>
      </w:rPr>
      <w:t>1</w:t>
    </w:r>
    <w:r>
      <w:rPr>
        <w:rStyle w:val="PageNumber"/>
      </w:rPr>
      <w:fldChar w:fldCharType="end"/>
    </w:r>
  </w:p>
  <w:p w:rsidR="00203E98" w:rsidRDefault="00203E98" w:rsidP="00D21E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B1" w:rsidRDefault="00CE39B1">
      <w:r>
        <w:separator/>
      </w:r>
    </w:p>
  </w:footnote>
  <w:footnote w:type="continuationSeparator" w:id="0">
    <w:p w:rsidR="00CE39B1" w:rsidRDefault="00CE39B1">
      <w:r>
        <w:continuationSeparator/>
      </w:r>
    </w:p>
  </w:footnote>
  <w:footnote w:id="1">
    <w:p w:rsidR="00203E98" w:rsidRPr="00014025" w:rsidRDefault="00203E98" w:rsidP="00EF1892">
      <w:pPr>
        <w:spacing w:before="0" w:line="240" w:lineRule="auto"/>
        <w:rPr>
          <w:sz w:val="18"/>
          <w:szCs w:val="18"/>
        </w:rPr>
      </w:pPr>
      <w:r w:rsidRPr="00984788">
        <w:rPr>
          <w:rStyle w:val="FootnoteReference"/>
          <w:b/>
          <w:sz w:val="24"/>
          <w:szCs w:val="24"/>
        </w:rPr>
        <w:footnoteRef/>
      </w:r>
      <w:r>
        <w:t xml:space="preserve"> </w:t>
      </w:r>
      <w:r w:rsidRPr="00B35D61">
        <w:rPr>
          <w:rFonts w:eastAsia="MS Mincho"/>
          <w:sz w:val="18"/>
          <w:szCs w:val="18"/>
          <w:lang w:eastAsia="ja-JP"/>
        </w:rPr>
        <w:t>Наредба № 5 от 4.10.2007 г. за реда и условията за придобиване, регистриране, изплащане и търговия с държавни ценни книжа, издадена от министъра на финансите и управителя на Българската народна банка (Обн.,ДВ, бр. 85 от 23.10.2007 г., в сила от 1.11.2007 г.</w:t>
      </w:r>
      <w:r w:rsidR="00984788" w:rsidRPr="00984788">
        <w:rPr>
          <w:rFonts w:eastAsia="MS Mincho"/>
          <w:color w:val="0000FF"/>
          <w:sz w:val="18"/>
          <w:szCs w:val="18"/>
          <w:lang w:eastAsia="ja-JP"/>
        </w:rPr>
        <w:t xml:space="preserve">, </w:t>
      </w:r>
      <w:r w:rsidR="00984788" w:rsidRPr="003225B1">
        <w:rPr>
          <w:rFonts w:eastAsia="MS Mincho"/>
          <w:sz w:val="18"/>
          <w:szCs w:val="18"/>
          <w:lang w:eastAsia="ja-JP"/>
        </w:rPr>
        <w:t>изм. и доп., бр.100 от 2013 г</w:t>
      </w:r>
      <w:r w:rsidR="00984788" w:rsidRPr="00984788">
        <w:rPr>
          <w:rFonts w:eastAsia="MS Mincho"/>
          <w:color w:val="0000FF"/>
          <w:sz w:val="18"/>
          <w:szCs w:val="18"/>
          <w:lang w:eastAsia="ja-JP"/>
        </w:rPr>
        <w:t>.</w:t>
      </w:r>
      <w:r w:rsidR="00014025">
        <w:rPr>
          <w:rFonts w:eastAsia="MS Mincho"/>
          <w:sz w:val="18"/>
          <w:szCs w:val="18"/>
          <w:lang w:eastAsia="ja-JP"/>
        </w:rPr>
        <w:t>,</w:t>
      </w:r>
      <w:r w:rsidR="000024D1">
        <w:rPr>
          <w:rFonts w:eastAsia="MS Mincho"/>
          <w:sz w:val="18"/>
          <w:szCs w:val="18"/>
          <w:lang w:val="en-US" w:eastAsia="ja-JP"/>
        </w:rPr>
        <w:t xml:space="preserve"> </w:t>
      </w:r>
      <w:r w:rsidR="00014025">
        <w:rPr>
          <w:rFonts w:eastAsia="MS Mincho"/>
          <w:sz w:val="18"/>
          <w:szCs w:val="18"/>
          <w:lang w:eastAsia="ja-JP"/>
        </w:rPr>
        <w:t>изм. и доп., бр.</w:t>
      </w:r>
      <w:r w:rsidR="002C31BD">
        <w:rPr>
          <w:rFonts w:eastAsia="MS Mincho"/>
          <w:sz w:val="18"/>
          <w:szCs w:val="18"/>
          <w:lang w:eastAsia="ja-JP"/>
        </w:rPr>
        <w:t>56 от 2</w:t>
      </w:r>
      <w:r w:rsidR="00014025">
        <w:rPr>
          <w:rFonts w:eastAsia="MS Mincho"/>
          <w:sz w:val="18"/>
          <w:szCs w:val="18"/>
          <w:lang w:eastAsia="ja-JP"/>
        </w:rPr>
        <w:t>015г.)</w:t>
      </w:r>
    </w:p>
    <w:p w:rsidR="00203E98" w:rsidRPr="00B35D61" w:rsidRDefault="00203E98">
      <w:pPr>
        <w:pStyle w:val="FootnoteText"/>
      </w:pPr>
    </w:p>
  </w:footnote>
  <w:footnote w:id="2">
    <w:p w:rsidR="00203E98" w:rsidRPr="00B35D61" w:rsidRDefault="00203E98" w:rsidP="00651EDB">
      <w:pPr>
        <w:spacing w:before="0" w:line="240" w:lineRule="auto"/>
      </w:pPr>
      <w:r w:rsidRPr="00984788">
        <w:rPr>
          <w:rStyle w:val="FootnoteReference"/>
          <w:b/>
          <w:sz w:val="24"/>
          <w:szCs w:val="24"/>
        </w:rPr>
        <w:footnoteRef/>
      </w:r>
      <w:r>
        <w:t xml:space="preserve"> </w:t>
      </w:r>
      <w:r w:rsidRPr="00B35D61">
        <w:rPr>
          <w:sz w:val="18"/>
          <w:szCs w:val="18"/>
        </w:rPr>
        <w:t xml:space="preserve">ДЦК емитирани на основание   Постановление № 186 на Министерския съвет от 1993 г. за реда и условията за преоформяне в държавен дълг на несъбираемите задължения към банките на еднолични търговски дружества с държавно имущество и държавни фирми към 31 декември 1990 г. (ДВ, бр. 85 от 1993 г.), </w:t>
      </w:r>
      <w:r w:rsidRPr="00B35D61">
        <w:rPr>
          <w:rFonts w:eastAsia="MS Mincho"/>
          <w:sz w:val="18"/>
          <w:szCs w:val="18"/>
          <w:lang w:eastAsia="ja-JP"/>
        </w:rPr>
        <w:t>Постановление № 3 на МС от 18.01.1994 г. за поемане като държавен дълг на крайните задължения, които са просрочени кредити до 31 декември 1992 г., от организациите по § 12 от преходните и заключителните разпоредби на Закона за собствеността и ползването на земеделските земи (ДВ, бр. 9 от 28.01.1994 г.), чл. 4 и чл. 5 от Закона за уреждане на необслужваните кредити, договорени до 31 декември 1990 г. (ДВ, бр. 110 от 30.12.1993 г., последно изм. бр. 12 от 13.02.2009 г.) и § 10 от ПЗР на Закона за държавния бюджет на Република България за 1999 г. (ДВ, бр. 155 от 29.12.1998 г.)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D7750"/>
    <w:multiLevelType w:val="hybridMultilevel"/>
    <w:tmpl w:val="F8D0074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17561C3"/>
    <w:multiLevelType w:val="multilevel"/>
    <w:tmpl w:val="7C22B33C"/>
    <w:lvl w:ilvl="0">
      <w:start w:val="1"/>
      <w:numFmt w:val="decimal"/>
      <w:lvlText w:val="%1."/>
      <w:lvlJc w:val="left"/>
      <w:pPr>
        <w:tabs>
          <w:tab w:val="num" w:pos="1730"/>
        </w:tabs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37"/>
    <w:rsid w:val="000024D1"/>
    <w:rsid w:val="00014025"/>
    <w:rsid w:val="00024DDB"/>
    <w:rsid w:val="0003746D"/>
    <w:rsid w:val="00050235"/>
    <w:rsid w:val="000535EC"/>
    <w:rsid w:val="000775CE"/>
    <w:rsid w:val="00087461"/>
    <w:rsid w:val="0009249C"/>
    <w:rsid w:val="000A0B9E"/>
    <w:rsid w:val="000A23D4"/>
    <w:rsid w:val="000A7EAB"/>
    <w:rsid w:val="000D0470"/>
    <w:rsid w:val="000D2B5E"/>
    <w:rsid w:val="001027A3"/>
    <w:rsid w:val="00126BA9"/>
    <w:rsid w:val="0013660B"/>
    <w:rsid w:val="001478AD"/>
    <w:rsid w:val="00154CBD"/>
    <w:rsid w:val="00163BD1"/>
    <w:rsid w:val="001A349A"/>
    <w:rsid w:val="001A3794"/>
    <w:rsid w:val="001A4EA8"/>
    <w:rsid w:val="001B4686"/>
    <w:rsid w:val="001C2223"/>
    <w:rsid w:val="00203E98"/>
    <w:rsid w:val="00214D84"/>
    <w:rsid w:val="00215482"/>
    <w:rsid w:val="00243CBE"/>
    <w:rsid w:val="0025700B"/>
    <w:rsid w:val="00285D89"/>
    <w:rsid w:val="002865B4"/>
    <w:rsid w:val="00286D73"/>
    <w:rsid w:val="002B12A0"/>
    <w:rsid w:val="002C31BD"/>
    <w:rsid w:val="002C5B04"/>
    <w:rsid w:val="00313A25"/>
    <w:rsid w:val="003225B1"/>
    <w:rsid w:val="0034218E"/>
    <w:rsid w:val="003532D4"/>
    <w:rsid w:val="00381344"/>
    <w:rsid w:val="003C08FC"/>
    <w:rsid w:val="003C2E92"/>
    <w:rsid w:val="003C5198"/>
    <w:rsid w:val="003D3AD3"/>
    <w:rsid w:val="003E1FDF"/>
    <w:rsid w:val="003F1AFC"/>
    <w:rsid w:val="003F231A"/>
    <w:rsid w:val="003F5E58"/>
    <w:rsid w:val="00405719"/>
    <w:rsid w:val="00424769"/>
    <w:rsid w:val="00453A9B"/>
    <w:rsid w:val="0047637C"/>
    <w:rsid w:val="00507E7B"/>
    <w:rsid w:val="00511748"/>
    <w:rsid w:val="005217D6"/>
    <w:rsid w:val="00551C36"/>
    <w:rsid w:val="005608C5"/>
    <w:rsid w:val="005628E2"/>
    <w:rsid w:val="00565DA5"/>
    <w:rsid w:val="005729DA"/>
    <w:rsid w:val="005A0CC7"/>
    <w:rsid w:val="005B76F4"/>
    <w:rsid w:val="005D40A4"/>
    <w:rsid w:val="00603378"/>
    <w:rsid w:val="00604BFD"/>
    <w:rsid w:val="006069F5"/>
    <w:rsid w:val="0063431D"/>
    <w:rsid w:val="00651EDB"/>
    <w:rsid w:val="00654E7E"/>
    <w:rsid w:val="0066318D"/>
    <w:rsid w:val="00667BD6"/>
    <w:rsid w:val="00671C22"/>
    <w:rsid w:val="00696637"/>
    <w:rsid w:val="006A0DC9"/>
    <w:rsid w:val="006B0ED6"/>
    <w:rsid w:val="006B257E"/>
    <w:rsid w:val="00700C05"/>
    <w:rsid w:val="00725BC8"/>
    <w:rsid w:val="007368E2"/>
    <w:rsid w:val="00750BFB"/>
    <w:rsid w:val="00785960"/>
    <w:rsid w:val="0079407D"/>
    <w:rsid w:val="007D662F"/>
    <w:rsid w:val="007E28B8"/>
    <w:rsid w:val="007E65CB"/>
    <w:rsid w:val="0080786F"/>
    <w:rsid w:val="0082269D"/>
    <w:rsid w:val="00856CF7"/>
    <w:rsid w:val="008766A7"/>
    <w:rsid w:val="00887593"/>
    <w:rsid w:val="00897D7B"/>
    <w:rsid w:val="008A789C"/>
    <w:rsid w:val="008B4901"/>
    <w:rsid w:val="008C77BA"/>
    <w:rsid w:val="008D0121"/>
    <w:rsid w:val="008F0BDE"/>
    <w:rsid w:val="009024B9"/>
    <w:rsid w:val="00921AAB"/>
    <w:rsid w:val="009221F2"/>
    <w:rsid w:val="0097538B"/>
    <w:rsid w:val="00984788"/>
    <w:rsid w:val="0099196A"/>
    <w:rsid w:val="00992854"/>
    <w:rsid w:val="009A51F6"/>
    <w:rsid w:val="009B7E73"/>
    <w:rsid w:val="009C7058"/>
    <w:rsid w:val="009F6DB2"/>
    <w:rsid w:val="00A14771"/>
    <w:rsid w:val="00A358F9"/>
    <w:rsid w:val="00A504BB"/>
    <w:rsid w:val="00A64F45"/>
    <w:rsid w:val="00A75414"/>
    <w:rsid w:val="00A815F5"/>
    <w:rsid w:val="00AA21AF"/>
    <w:rsid w:val="00AC62E7"/>
    <w:rsid w:val="00AF08AB"/>
    <w:rsid w:val="00AF4FE9"/>
    <w:rsid w:val="00B35D61"/>
    <w:rsid w:val="00B56BD5"/>
    <w:rsid w:val="00B71CBF"/>
    <w:rsid w:val="00B94F1D"/>
    <w:rsid w:val="00BB509B"/>
    <w:rsid w:val="00BC1579"/>
    <w:rsid w:val="00BD6155"/>
    <w:rsid w:val="00BE5915"/>
    <w:rsid w:val="00BF235C"/>
    <w:rsid w:val="00BF46F0"/>
    <w:rsid w:val="00C0405B"/>
    <w:rsid w:val="00C05963"/>
    <w:rsid w:val="00C07023"/>
    <w:rsid w:val="00C65EE5"/>
    <w:rsid w:val="00C67A88"/>
    <w:rsid w:val="00C85FBC"/>
    <w:rsid w:val="00CA3D0D"/>
    <w:rsid w:val="00CA611D"/>
    <w:rsid w:val="00CE39B1"/>
    <w:rsid w:val="00CE708D"/>
    <w:rsid w:val="00CF1CB0"/>
    <w:rsid w:val="00CF58A9"/>
    <w:rsid w:val="00D21E25"/>
    <w:rsid w:val="00D5749A"/>
    <w:rsid w:val="00D96F6C"/>
    <w:rsid w:val="00DA122F"/>
    <w:rsid w:val="00DC0D41"/>
    <w:rsid w:val="00DC4122"/>
    <w:rsid w:val="00DE437D"/>
    <w:rsid w:val="00E1791D"/>
    <w:rsid w:val="00E225AA"/>
    <w:rsid w:val="00E50DE5"/>
    <w:rsid w:val="00E52562"/>
    <w:rsid w:val="00E81680"/>
    <w:rsid w:val="00EC72E8"/>
    <w:rsid w:val="00EE1844"/>
    <w:rsid w:val="00EF1892"/>
    <w:rsid w:val="00F00FD8"/>
    <w:rsid w:val="00F70982"/>
    <w:rsid w:val="00F7138D"/>
    <w:rsid w:val="00F74F37"/>
    <w:rsid w:val="00F914E4"/>
    <w:rsid w:val="00F934B1"/>
    <w:rsid w:val="00F96B78"/>
    <w:rsid w:val="00FA3D82"/>
    <w:rsid w:val="00FB0D4B"/>
    <w:rsid w:val="00FC3B29"/>
    <w:rsid w:val="00FD5010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Roman" w:eastAsia="Times New Roman" w:hAnsi="Times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ind w:firstLine="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ind w:firstLine="0"/>
      <w:jc w:val="left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firstLine="0"/>
      <w:jc w:val="left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">
    <w:name w:val="Body text"/>
    <w:rPr>
      <w:rFonts w:ascii="Times New Roman" w:hAnsi="Times New Roman"/>
      <w:sz w:val="24"/>
    </w:rPr>
  </w:style>
  <w:style w:type="paragraph" w:customStyle="1" w:styleId="1">
    <w:name w:val="Заглавие 1 центрирано"/>
    <w:basedOn w:val="a"/>
    <w:next w:val="a"/>
    <w:pPr>
      <w:spacing w:before="240" w:after="60"/>
      <w:ind w:firstLine="0"/>
      <w:jc w:val="center"/>
    </w:pPr>
    <w:rPr>
      <w:b/>
      <w:sz w:val="28"/>
    </w:rPr>
  </w:style>
  <w:style w:type="paragraph" w:customStyle="1" w:styleId="a">
    <w:name w:val="Обикн. параграф"/>
    <w:basedOn w:val="Normal"/>
  </w:style>
  <w:style w:type="paragraph" w:customStyle="1" w:styleId="2">
    <w:name w:val="Заглавие 2 центрирано"/>
    <w:basedOn w:val="1"/>
    <w:next w:val="a"/>
    <w:rPr>
      <w:i/>
      <w:sz w:val="24"/>
    </w:rPr>
  </w:style>
  <w:style w:type="paragraph" w:customStyle="1" w:styleId="3">
    <w:name w:val="Заглавие 3 центрирано"/>
    <w:basedOn w:val="1"/>
    <w:next w:val="a"/>
    <w:rPr>
      <w:sz w:val="24"/>
    </w:rPr>
  </w:style>
  <w:style w:type="paragraph" w:customStyle="1" w:styleId="a0">
    <w:name w:val="Обикн. пар. с продължение"/>
    <w:basedOn w:val="a"/>
    <w:next w:val="a"/>
    <w:pPr>
      <w:keepNext/>
    </w:pPr>
  </w:style>
  <w:style w:type="paragraph" w:customStyle="1" w:styleId="a1">
    <w:name w:val="Плътен параграф"/>
    <w:basedOn w:val="a"/>
    <w:next w:val="a"/>
    <w:pPr>
      <w:tabs>
        <w:tab w:val="left" w:pos="1701"/>
        <w:tab w:val="left" w:pos="3402"/>
        <w:tab w:val="left" w:pos="5103"/>
        <w:tab w:val="left" w:pos="6804"/>
        <w:tab w:val="left" w:pos="8505"/>
        <w:tab w:val="right" w:pos="9639"/>
      </w:tabs>
      <w:ind w:firstLine="0"/>
    </w:pPr>
  </w:style>
  <w:style w:type="paragraph" w:customStyle="1" w:styleId="1-">
    <w:name w:val="Списък 1-о ниво"/>
    <w:basedOn w:val="a"/>
    <w:pPr>
      <w:tabs>
        <w:tab w:val="left" w:pos="1008"/>
      </w:tabs>
      <w:spacing w:before="60"/>
      <w:ind w:left="1296" w:hanging="288"/>
    </w:pPr>
  </w:style>
  <w:style w:type="paragraph" w:customStyle="1" w:styleId="2-">
    <w:name w:val="Списък 2-о ниво"/>
    <w:basedOn w:val="1-"/>
    <w:pPr>
      <w:tabs>
        <w:tab w:val="clear" w:pos="1008"/>
        <w:tab w:val="left" w:pos="1728"/>
      </w:tabs>
      <w:ind w:left="2017" w:hanging="289"/>
    </w:pPr>
  </w:style>
  <w:style w:type="paragraph" w:customStyle="1" w:styleId="3-">
    <w:name w:val="Списък 3-о ниво"/>
    <w:basedOn w:val="1-"/>
    <w:pPr>
      <w:tabs>
        <w:tab w:val="clear" w:pos="1008"/>
        <w:tab w:val="left" w:pos="2448"/>
      </w:tabs>
      <w:ind w:left="2737" w:hanging="289"/>
    </w:pPr>
  </w:style>
  <w:style w:type="paragraph" w:customStyle="1" w:styleId="a2">
    <w:name w:val="Плътен пар. с прод."/>
    <w:basedOn w:val="a1"/>
    <w:pPr>
      <w:keepNext/>
    </w:pPr>
  </w:style>
  <w:style w:type="paragraph" w:customStyle="1" w:styleId="a3">
    <w:name w:val="Заглавие на документа"/>
    <w:basedOn w:val="a"/>
    <w:next w:val="a"/>
    <w:pPr>
      <w:keepNext/>
      <w:keepLines/>
      <w:spacing w:before="0" w:after="960" w:line="480" w:lineRule="exact"/>
      <w:ind w:firstLine="0"/>
      <w:jc w:val="center"/>
    </w:pPr>
    <w:rPr>
      <w:b/>
      <w:sz w:val="32"/>
    </w:rPr>
  </w:style>
  <w:style w:type="paragraph" w:customStyle="1" w:styleId="10">
    <w:name w:val="Заглавие 1 ляво"/>
    <w:basedOn w:val="1"/>
    <w:next w:val="a"/>
    <w:pPr>
      <w:jc w:val="left"/>
    </w:pPr>
  </w:style>
  <w:style w:type="paragraph" w:customStyle="1" w:styleId="20">
    <w:name w:val="Заглавие 2 ляво"/>
    <w:basedOn w:val="2"/>
    <w:next w:val="a"/>
    <w:pPr>
      <w:jc w:val="left"/>
    </w:pPr>
  </w:style>
  <w:style w:type="paragraph" w:customStyle="1" w:styleId="30">
    <w:name w:val="Заглавие 3 ляво"/>
    <w:basedOn w:val="3"/>
    <w:next w:val="a"/>
    <w:pPr>
      <w:jc w:val="left"/>
    </w:pPr>
  </w:style>
  <w:style w:type="paragraph" w:customStyle="1" w:styleId="31">
    <w:name w:val="Пар. с  3 см отстъп"/>
    <w:basedOn w:val="a1"/>
    <w:pPr>
      <w:tabs>
        <w:tab w:val="clear" w:pos="1701"/>
      </w:tabs>
      <w:spacing w:before="0"/>
      <w:ind w:left="1701"/>
    </w:pPr>
  </w:style>
  <w:style w:type="paragraph" w:customStyle="1" w:styleId="6">
    <w:name w:val="Пар. с  6 см отстъп"/>
    <w:basedOn w:val="a1"/>
    <w:pPr>
      <w:tabs>
        <w:tab w:val="clear" w:pos="1701"/>
        <w:tab w:val="clear" w:pos="3402"/>
      </w:tabs>
      <w:spacing w:before="0"/>
      <w:ind w:left="3402"/>
    </w:pPr>
  </w:style>
  <w:style w:type="paragraph" w:customStyle="1" w:styleId="9">
    <w:name w:val="Пар. с  9 см отстъп"/>
    <w:basedOn w:val="a1"/>
    <w:pPr>
      <w:tabs>
        <w:tab w:val="clear" w:pos="1701"/>
        <w:tab w:val="clear" w:pos="3402"/>
        <w:tab w:val="clear" w:pos="5103"/>
      </w:tabs>
      <w:spacing w:before="0"/>
      <w:ind w:left="5103"/>
    </w:pPr>
  </w:style>
  <w:style w:type="paragraph" w:customStyle="1" w:styleId="12">
    <w:name w:val="Пар. с  12 см отстъп"/>
    <w:basedOn w:val="a1"/>
    <w:pPr>
      <w:tabs>
        <w:tab w:val="clear" w:pos="1701"/>
        <w:tab w:val="clear" w:pos="3402"/>
        <w:tab w:val="clear" w:pos="5103"/>
        <w:tab w:val="clear" w:pos="6804"/>
      </w:tabs>
      <w:spacing w:before="0"/>
      <w:ind w:left="6804"/>
    </w:pPr>
  </w:style>
  <w:style w:type="paragraph" w:styleId="TOC1">
    <w:name w:val="toc 1"/>
    <w:next w:val="Normal"/>
    <w:semiHidden/>
    <w:pPr>
      <w:tabs>
        <w:tab w:val="right" w:leader="dot" w:pos="9638"/>
      </w:tabs>
      <w:spacing w:before="120"/>
    </w:pPr>
    <w:rPr>
      <w:rFonts w:ascii="Arial" w:hAnsi="Arial"/>
    </w:rPr>
  </w:style>
  <w:style w:type="paragraph" w:customStyle="1" w:styleId="a4">
    <w:name w:val="БДС параграф"/>
    <w:pPr>
      <w:spacing w:line="480" w:lineRule="auto"/>
      <w:ind w:firstLine="720"/>
    </w:pPr>
    <w:rPr>
      <w:rFonts w:ascii="Arial" w:hAnsi="Arial"/>
      <w:sz w:val="24"/>
    </w:rPr>
  </w:style>
  <w:style w:type="paragraph" w:styleId="Header">
    <w:name w:val="header"/>
    <w:pPr>
      <w:tabs>
        <w:tab w:val="right" w:pos="10773"/>
      </w:tabs>
    </w:pPr>
    <w:rPr>
      <w:rFonts w:ascii="Times New Roman" w:hAnsi="Times New Roman"/>
      <w:i/>
      <w:sz w:val="22"/>
    </w:rPr>
  </w:style>
  <w:style w:type="paragraph" w:styleId="Footer">
    <w:name w:val="footer"/>
    <w:basedOn w:val="Header"/>
  </w:style>
  <w:style w:type="character" w:styleId="FootnoteReference">
    <w:name w:val="footnote reference"/>
    <w:semiHidden/>
    <w:rPr>
      <w:rFonts w:ascii="Times New Roman" w:hAnsi="Times New Roman"/>
      <w:sz w:val="18"/>
      <w:vertAlign w:val="superscript"/>
    </w:rPr>
  </w:style>
  <w:style w:type="paragraph" w:styleId="FootnoteText">
    <w:name w:val="footnote text"/>
    <w:semiHidden/>
    <w:pPr>
      <w:tabs>
        <w:tab w:val="left" w:pos="216"/>
      </w:tabs>
      <w:ind w:left="430" w:hanging="215"/>
    </w:pPr>
    <w:rPr>
      <w:rFonts w:ascii="Times New Roman" w:hAnsi="Times New Roman"/>
    </w:rPr>
  </w:style>
  <w:style w:type="paragraph" w:styleId="TOC2">
    <w:name w:val="toc 2"/>
    <w:basedOn w:val="TOC1"/>
    <w:next w:val="Normal"/>
    <w:semiHidden/>
    <w:pPr>
      <w:spacing w:before="80"/>
      <w:ind w:left="238"/>
    </w:pPr>
  </w:style>
  <w:style w:type="paragraph" w:styleId="TOC3">
    <w:name w:val="toc 3"/>
    <w:basedOn w:val="TOC1"/>
    <w:next w:val="Normal"/>
    <w:semiHidden/>
    <w:pPr>
      <w:spacing w:before="40"/>
      <w:ind w:left="482"/>
    </w:pPr>
  </w:style>
  <w:style w:type="paragraph" w:styleId="TOC4">
    <w:name w:val="toc 4"/>
    <w:basedOn w:val="TOC1"/>
    <w:next w:val="Normal"/>
    <w:semiHidden/>
    <w:pPr>
      <w:spacing w:before="0"/>
      <w:ind w:left="720"/>
    </w:pPr>
  </w:style>
  <w:style w:type="character" w:styleId="PageNumber">
    <w:name w:val="page number"/>
    <w:basedOn w:val="DefaultParagraphFont"/>
    <w:rsid w:val="00D21E25"/>
  </w:style>
  <w:style w:type="paragraph" w:styleId="BalloonText">
    <w:name w:val="Balloon Text"/>
    <w:basedOn w:val="Normal"/>
    <w:semiHidden/>
    <w:rsid w:val="001C2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Roman" w:eastAsia="Times New Roman" w:hAnsi="Times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ind w:firstLine="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ind w:firstLine="0"/>
      <w:jc w:val="left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firstLine="0"/>
      <w:jc w:val="left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">
    <w:name w:val="Body text"/>
    <w:rPr>
      <w:rFonts w:ascii="Times New Roman" w:hAnsi="Times New Roman"/>
      <w:sz w:val="24"/>
    </w:rPr>
  </w:style>
  <w:style w:type="paragraph" w:customStyle="1" w:styleId="1">
    <w:name w:val="Заглавие 1 центрирано"/>
    <w:basedOn w:val="a"/>
    <w:next w:val="a"/>
    <w:pPr>
      <w:spacing w:before="240" w:after="60"/>
      <w:ind w:firstLine="0"/>
      <w:jc w:val="center"/>
    </w:pPr>
    <w:rPr>
      <w:b/>
      <w:sz w:val="28"/>
    </w:rPr>
  </w:style>
  <w:style w:type="paragraph" w:customStyle="1" w:styleId="a">
    <w:name w:val="Обикн. параграф"/>
    <w:basedOn w:val="Normal"/>
  </w:style>
  <w:style w:type="paragraph" w:customStyle="1" w:styleId="2">
    <w:name w:val="Заглавие 2 центрирано"/>
    <w:basedOn w:val="1"/>
    <w:next w:val="a"/>
    <w:rPr>
      <w:i/>
      <w:sz w:val="24"/>
    </w:rPr>
  </w:style>
  <w:style w:type="paragraph" w:customStyle="1" w:styleId="3">
    <w:name w:val="Заглавие 3 центрирано"/>
    <w:basedOn w:val="1"/>
    <w:next w:val="a"/>
    <w:rPr>
      <w:sz w:val="24"/>
    </w:rPr>
  </w:style>
  <w:style w:type="paragraph" w:customStyle="1" w:styleId="a0">
    <w:name w:val="Обикн. пар. с продължение"/>
    <w:basedOn w:val="a"/>
    <w:next w:val="a"/>
    <w:pPr>
      <w:keepNext/>
    </w:pPr>
  </w:style>
  <w:style w:type="paragraph" w:customStyle="1" w:styleId="a1">
    <w:name w:val="Плътен параграф"/>
    <w:basedOn w:val="a"/>
    <w:next w:val="a"/>
    <w:pPr>
      <w:tabs>
        <w:tab w:val="left" w:pos="1701"/>
        <w:tab w:val="left" w:pos="3402"/>
        <w:tab w:val="left" w:pos="5103"/>
        <w:tab w:val="left" w:pos="6804"/>
        <w:tab w:val="left" w:pos="8505"/>
        <w:tab w:val="right" w:pos="9639"/>
      </w:tabs>
      <w:ind w:firstLine="0"/>
    </w:pPr>
  </w:style>
  <w:style w:type="paragraph" w:customStyle="1" w:styleId="1-">
    <w:name w:val="Списък 1-о ниво"/>
    <w:basedOn w:val="a"/>
    <w:pPr>
      <w:tabs>
        <w:tab w:val="left" w:pos="1008"/>
      </w:tabs>
      <w:spacing w:before="60"/>
      <w:ind w:left="1296" w:hanging="288"/>
    </w:pPr>
  </w:style>
  <w:style w:type="paragraph" w:customStyle="1" w:styleId="2-">
    <w:name w:val="Списък 2-о ниво"/>
    <w:basedOn w:val="1-"/>
    <w:pPr>
      <w:tabs>
        <w:tab w:val="clear" w:pos="1008"/>
        <w:tab w:val="left" w:pos="1728"/>
      </w:tabs>
      <w:ind w:left="2017" w:hanging="289"/>
    </w:pPr>
  </w:style>
  <w:style w:type="paragraph" w:customStyle="1" w:styleId="3-">
    <w:name w:val="Списък 3-о ниво"/>
    <w:basedOn w:val="1-"/>
    <w:pPr>
      <w:tabs>
        <w:tab w:val="clear" w:pos="1008"/>
        <w:tab w:val="left" w:pos="2448"/>
      </w:tabs>
      <w:ind w:left="2737" w:hanging="289"/>
    </w:pPr>
  </w:style>
  <w:style w:type="paragraph" w:customStyle="1" w:styleId="a2">
    <w:name w:val="Плътен пар. с прод."/>
    <w:basedOn w:val="a1"/>
    <w:pPr>
      <w:keepNext/>
    </w:pPr>
  </w:style>
  <w:style w:type="paragraph" w:customStyle="1" w:styleId="a3">
    <w:name w:val="Заглавие на документа"/>
    <w:basedOn w:val="a"/>
    <w:next w:val="a"/>
    <w:pPr>
      <w:keepNext/>
      <w:keepLines/>
      <w:spacing w:before="0" w:after="960" w:line="480" w:lineRule="exact"/>
      <w:ind w:firstLine="0"/>
      <w:jc w:val="center"/>
    </w:pPr>
    <w:rPr>
      <w:b/>
      <w:sz w:val="32"/>
    </w:rPr>
  </w:style>
  <w:style w:type="paragraph" w:customStyle="1" w:styleId="10">
    <w:name w:val="Заглавие 1 ляво"/>
    <w:basedOn w:val="1"/>
    <w:next w:val="a"/>
    <w:pPr>
      <w:jc w:val="left"/>
    </w:pPr>
  </w:style>
  <w:style w:type="paragraph" w:customStyle="1" w:styleId="20">
    <w:name w:val="Заглавие 2 ляво"/>
    <w:basedOn w:val="2"/>
    <w:next w:val="a"/>
    <w:pPr>
      <w:jc w:val="left"/>
    </w:pPr>
  </w:style>
  <w:style w:type="paragraph" w:customStyle="1" w:styleId="30">
    <w:name w:val="Заглавие 3 ляво"/>
    <w:basedOn w:val="3"/>
    <w:next w:val="a"/>
    <w:pPr>
      <w:jc w:val="left"/>
    </w:pPr>
  </w:style>
  <w:style w:type="paragraph" w:customStyle="1" w:styleId="31">
    <w:name w:val="Пар. с  3 см отстъп"/>
    <w:basedOn w:val="a1"/>
    <w:pPr>
      <w:tabs>
        <w:tab w:val="clear" w:pos="1701"/>
      </w:tabs>
      <w:spacing w:before="0"/>
      <w:ind w:left="1701"/>
    </w:pPr>
  </w:style>
  <w:style w:type="paragraph" w:customStyle="1" w:styleId="6">
    <w:name w:val="Пар. с  6 см отстъп"/>
    <w:basedOn w:val="a1"/>
    <w:pPr>
      <w:tabs>
        <w:tab w:val="clear" w:pos="1701"/>
        <w:tab w:val="clear" w:pos="3402"/>
      </w:tabs>
      <w:spacing w:before="0"/>
      <w:ind w:left="3402"/>
    </w:pPr>
  </w:style>
  <w:style w:type="paragraph" w:customStyle="1" w:styleId="9">
    <w:name w:val="Пар. с  9 см отстъп"/>
    <w:basedOn w:val="a1"/>
    <w:pPr>
      <w:tabs>
        <w:tab w:val="clear" w:pos="1701"/>
        <w:tab w:val="clear" w:pos="3402"/>
        <w:tab w:val="clear" w:pos="5103"/>
      </w:tabs>
      <w:spacing w:before="0"/>
      <w:ind w:left="5103"/>
    </w:pPr>
  </w:style>
  <w:style w:type="paragraph" w:customStyle="1" w:styleId="12">
    <w:name w:val="Пар. с  12 см отстъп"/>
    <w:basedOn w:val="a1"/>
    <w:pPr>
      <w:tabs>
        <w:tab w:val="clear" w:pos="1701"/>
        <w:tab w:val="clear" w:pos="3402"/>
        <w:tab w:val="clear" w:pos="5103"/>
        <w:tab w:val="clear" w:pos="6804"/>
      </w:tabs>
      <w:spacing w:before="0"/>
      <w:ind w:left="6804"/>
    </w:pPr>
  </w:style>
  <w:style w:type="paragraph" w:styleId="TOC1">
    <w:name w:val="toc 1"/>
    <w:next w:val="Normal"/>
    <w:semiHidden/>
    <w:pPr>
      <w:tabs>
        <w:tab w:val="right" w:leader="dot" w:pos="9638"/>
      </w:tabs>
      <w:spacing w:before="120"/>
    </w:pPr>
    <w:rPr>
      <w:rFonts w:ascii="Arial" w:hAnsi="Arial"/>
    </w:rPr>
  </w:style>
  <w:style w:type="paragraph" w:customStyle="1" w:styleId="a4">
    <w:name w:val="БДС параграф"/>
    <w:pPr>
      <w:spacing w:line="480" w:lineRule="auto"/>
      <w:ind w:firstLine="720"/>
    </w:pPr>
    <w:rPr>
      <w:rFonts w:ascii="Arial" w:hAnsi="Arial"/>
      <w:sz w:val="24"/>
    </w:rPr>
  </w:style>
  <w:style w:type="paragraph" w:styleId="Header">
    <w:name w:val="header"/>
    <w:pPr>
      <w:tabs>
        <w:tab w:val="right" w:pos="10773"/>
      </w:tabs>
    </w:pPr>
    <w:rPr>
      <w:rFonts w:ascii="Times New Roman" w:hAnsi="Times New Roman"/>
      <w:i/>
      <w:sz w:val="22"/>
    </w:rPr>
  </w:style>
  <w:style w:type="paragraph" w:styleId="Footer">
    <w:name w:val="footer"/>
    <w:basedOn w:val="Header"/>
  </w:style>
  <w:style w:type="character" w:styleId="FootnoteReference">
    <w:name w:val="footnote reference"/>
    <w:semiHidden/>
    <w:rPr>
      <w:rFonts w:ascii="Times New Roman" w:hAnsi="Times New Roman"/>
      <w:sz w:val="18"/>
      <w:vertAlign w:val="superscript"/>
    </w:rPr>
  </w:style>
  <w:style w:type="paragraph" w:styleId="FootnoteText">
    <w:name w:val="footnote text"/>
    <w:semiHidden/>
    <w:pPr>
      <w:tabs>
        <w:tab w:val="left" w:pos="216"/>
      </w:tabs>
      <w:ind w:left="430" w:hanging="215"/>
    </w:pPr>
    <w:rPr>
      <w:rFonts w:ascii="Times New Roman" w:hAnsi="Times New Roman"/>
    </w:rPr>
  </w:style>
  <w:style w:type="paragraph" w:styleId="TOC2">
    <w:name w:val="toc 2"/>
    <w:basedOn w:val="TOC1"/>
    <w:next w:val="Normal"/>
    <w:semiHidden/>
    <w:pPr>
      <w:spacing w:before="80"/>
      <w:ind w:left="238"/>
    </w:pPr>
  </w:style>
  <w:style w:type="paragraph" w:styleId="TOC3">
    <w:name w:val="toc 3"/>
    <w:basedOn w:val="TOC1"/>
    <w:next w:val="Normal"/>
    <w:semiHidden/>
    <w:pPr>
      <w:spacing w:before="40"/>
      <w:ind w:left="482"/>
    </w:pPr>
  </w:style>
  <w:style w:type="paragraph" w:styleId="TOC4">
    <w:name w:val="toc 4"/>
    <w:basedOn w:val="TOC1"/>
    <w:next w:val="Normal"/>
    <w:semiHidden/>
    <w:pPr>
      <w:spacing w:before="0"/>
      <w:ind w:left="720"/>
    </w:pPr>
  </w:style>
  <w:style w:type="character" w:styleId="PageNumber">
    <w:name w:val="page number"/>
    <w:basedOn w:val="DefaultParagraphFont"/>
    <w:rsid w:val="00D21E25"/>
  </w:style>
  <w:style w:type="paragraph" w:styleId="BalloonText">
    <w:name w:val="Balloon Text"/>
    <w:basedOn w:val="Normal"/>
    <w:semiHidden/>
    <w:rsid w:val="001C2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0A4B9-301A-4D19-8DBF-07194095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№7 към т</vt:lpstr>
    </vt:vector>
  </TitlesOfParts>
  <Company>BNB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№7 към т</dc:title>
  <dc:creator>User</dc:creator>
  <cp:lastModifiedBy>Никола Павлов</cp:lastModifiedBy>
  <cp:revision>2</cp:revision>
  <cp:lastPrinted>2012-05-15T13:14:00Z</cp:lastPrinted>
  <dcterms:created xsi:type="dcterms:W3CDTF">2015-07-31T09:44:00Z</dcterms:created>
  <dcterms:modified xsi:type="dcterms:W3CDTF">2015-07-31T09:44:00Z</dcterms:modified>
</cp:coreProperties>
</file>