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453" w:rsidRPr="00E9271E" w:rsidRDefault="00F96453" w:rsidP="00F60F1C">
      <w:pPr>
        <w:pStyle w:val="Subtitle"/>
        <w:spacing w:line="360" w:lineRule="auto"/>
        <w:rPr>
          <w:rStyle w:val="Strong"/>
          <w:rFonts w:ascii="Times New Roman" w:hAnsi="Times New Roman"/>
          <w:sz w:val="22"/>
          <w:szCs w:val="22"/>
        </w:rPr>
      </w:pPr>
      <w:bookmarkStart w:id="0" w:name="_GoBack"/>
      <w:bookmarkEnd w:id="0"/>
    </w:p>
    <w:p w:rsidR="009D2A34" w:rsidRPr="00E9271E" w:rsidRDefault="009D2A34" w:rsidP="00F60F1C">
      <w:pPr>
        <w:pStyle w:val="Subtitle"/>
        <w:spacing w:line="360" w:lineRule="auto"/>
        <w:rPr>
          <w:rStyle w:val="Strong"/>
          <w:rFonts w:ascii="Times New Roman" w:hAnsi="Times New Roman"/>
          <w:sz w:val="22"/>
          <w:szCs w:val="22"/>
        </w:rPr>
      </w:pPr>
    </w:p>
    <w:p w:rsidR="009D2A34" w:rsidRPr="00E9271E" w:rsidRDefault="009D2A34" w:rsidP="00F60F1C">
      <w:pPr>
        <w:pStyle w:val="Subtitle"/>
        <w:spacing w:line="360" w:lineRule="auto"/>
        <w:rPr>
          <w:rStyle w:val="Strong"/>
          <w:rFonts w:ascii="Times New Roman" w:hAnsi="Times New Roman"/>
          <w:sz w:val="28"/>
          <w:szCs w:val="28"/>
        </w:rPr>
      </w:pPr>
      <w:r w:rsidRPr="00E9271E">
        <w:rPr>
          <w:rStyle w:val="Strong"/>
          <w:rFonts w:ascii="Times New Roman" w:hAnsi="Times New Roman"/>
          <w:sz w:val="28"/>
          <w:szCs w:val="28"/>
        </w:rPr>
        <w:t>АНАЛИЗ НА ПАЗАРНИТЕ ПЕР</w:t>
      </w:r>
      <w:r w:rsidR="004B48BB" w:rsidRPr="00E9271E">
        <w:rPr>
          <w:rStyle w:val="Strong"/>
          <w:rFonts w:ascii="Times New Roman" w:hAnsi="Times New Roman"/>
          <w:sz w:val="28"/>
          <w:szCs w:val="28"/>
        </w:rPr>
        <w:t xml:space="preserve">СПЕКТИВИ </w:t>
      </w:r>
    </w:p>
    <w:p w:rsidR="009D2A34" w:rsidRPr="00E9271E" w:rsidRDefault="004B48BB" w:rsidP="00F60F1C">
      <w:pPr>
        <w:pStyle w:val="Subtitle"/>
        <w:spacing w:line="360" w:lineRule="auto"/>
        <w:rPr>
          <w:rStyle w:val="Strong"/>
          <w:rFonts w:ascii="Times New Roman" w:hAnsi="Times New Roman"/>
          <w:sz w:val="28"/>
          <w:szCs w:val="28"/>
        </w:rPr>
      </w:pPr>
      <w:r w:rsidRPr="00E9271E">
        <w:rPr>
          <w:rStyle w:val="Strong"/>
          <w:rFonts w:ascii="Times New Roman" w:hAnsi="Times New Roman"/>
          <w:sz w:val="28"/>
          <w:szCs w:val="28"/>
        </w:rPr>
        <w:t xml:space="preserve">НА БАЗА </w:t>
      </w:r>
      <w:r w:rsidR="001B25B3" w:rsidRPr="00E9271E">
        <w:rPr>
          <w:rStyle w:val="Strong"/>
          <w:rFonts w:ascii="Times New Roman" w:hAnsi="Times New Roman"/>
          <w:sz w:val="28"/>
          <w:szCs w:val="28"/>
        </w:rPr>
        <w:t>НА</w:t>
      </w:r>
      <w:r w:rsidRPr="00E9271E">
        <w:rPr>
          <w:rStyle w:val="Strong"/>
          <w:rFonts w:ascii="Times New Roman" w:hAnsi="Times New Roman"/>
          <w:sz w:val="28"/>
          <w:szCs w:val="28"/>
        </w:rPr>
        <w:t xml:space="preserve"> АНАЛИЗ НА ТЪРГОВСКАТА ДЕЙНОСТ </w:t>
      </w:r>
    </w:p>
    <w:p w:rsidR="009D2A34" w:rsidRPr="00E9271E" w:rsidRDefault="004B48BB" w:rsidP="00F60F1C">
      <w:pPr>
        <w:pStyle w:val="Subtitle"/>
        <w:spacing w:line="360" w:lineRule="auto"/>
        <w:rPr>
          <w:rStyle w:val="Strong"/>
          <w:rFonts w:ascii="Times New Roman" w:hAnsi="Times New Roman"/>
          <w:sz w:val="28"/>
          <w:szCs w:val="28"/>
        </w:rPr>
      </w:pPr>
      <w:r w:rsidRPr="00E9271E">
        <w:rPr>
          <w:rStyle w:val="Strong"/>
          <w:rFonts w:ascii="Times New Roman" w:hAnsi="Times New Roman"/>
          <w:sz w:val="28"/>
          <w:szCs w:val="28"/>
        </w:rPr>
        <w:t>И ОТЧЕТЕНИТЕ</w:t>
      </w:r>
      <w:r w:rsidR="00EC7922" w:rsidRPr="00E9271E">
        <w:rPr>
          <w:rStyle w:val="Strong"/>
          <w:rFonts w:ascii="Times New Roman" w:hAnsi="Times New Roman"/>
          <w:sz w:val="28"/>
          <w:szCs w:val="28"/>
        </w:rPr>
        <w:t xml:space="preserve"> </w:t>
      </w:r>
      <w:r w:rsidRPr="00E9271E">
        <w:rPr>
          <w:rStyle w:val="Strong"/>
          <w:rFonts w:ascii="Times New Roman" w:hAnsi="Times New Roman"/>
          <w:sz w:val="28"/>
          <w:szCs w:val="28"/>
        </w:rPr>
        <w:t xml:space="preserve">ФИНАНСОВО-ИКОНОМИЧЕСКИ </w:t>
      </w:r>
    </w:p>
    <w:p w:rsidR="006D3E62" w:rsidRPr="00E9271E" w:rsidRDefault="004B48BB" w:rsidP="00F60F1C">
      <w:pPr>
        <w:pStyle w:val="Subtitle"/>
        <w:spacing w:line="360" w:lineRule="auto"/>
        <w:rPr>
          <w:rStyle w:val="Strong"/>
          <w:rFonts w:ascii="Times New Roman" w:hAnsi="Times New Roman"/>
          <w:sz w:val="28"/>
          <w:szCs w:val="28"/>
        </w:rPr>
      </w:pPr>
      <w:r w:rsidRPr="00E9271E">
        <w:rPr>
          <w:rStyle w:val="Strong"/>
          <w:rFonts w:ascii="Times New Roman" w:hAnsi="Times New Roman"/>
          <w:sz w:val="28"/>
          <w:szCs w:val="28"/>
        </w:rPr>
        <w:t>РЕЗУЛТАТИ</w:t>
      </w:r>
      <w:r w:rsidR="00592899" w:rsidRPr="00E9271E">
        <w:rPr>
          <w:rStyle w:val="Strong"/>
          <w:rFonts w:ascii="Times New Roman" w:hAnsi="Times New Roman"/>
          <w:sz w:val="28"/>
          <w:szCs w:val="28"/>
        </w:rPr>
        <w:t xml:space="preserve"> КЪМ 3</w:t>
      </w:r>
      <w:r w:rsidR="00D61EAE" w:rsidRPr="00E9271E">
        <w:rPr>
          <w:rStyle w:val="Strong"/>
          <w:rFonts w:ascii="Times New Roman" w:hAnsi="Times New Roman"/>
          <w:sz w:val="28"/>
          <w:szCs w:val="28"/>
          <w:lang w:val="en-US"/>
        </w:rPr>
        <w:t>1.03</w:t>
      </w:r>
      <w:r w:rsidR="001E74E8" w:rsidRPr="00E9271E">
        <w:rPr>
          <w:rStyle w:val="Strong"/>
          <w:rFonts w:ascii="Times New Roman" w:hAnsi="Times New Roman"/>
          <w:sz w:val="28"/>
          <w:szCs w:val="28"/>
        </w:rPr>
        <w:t>.201</w:t>
      </w:r>
      <w:r w:rsidR="00D61EAE" w:rsidRPr="00E9271E">
        <w:rPr>
          <w:rStyle w:val="Strong"/>
          <w:rFonts w:ascii="Times New Roman" w:hAnsi="Times New Roman"/>
          <w:sz w:val="28"/>
          <w:szCs w:val="28"/>
          <w:lang w:val="en-US"/>
        </w:rPr>
        <w:t>5</w:t>
      </w:r>
      <w:r w:rsidR="001E74E8" w:rsidRPr="00E9271E">
        <w:rPr>
          <w:rStyle w:val="Strong"/>
          <w:rFonts w:ascii="Times New Roman" w:hAnsi="Times New Roman"/>
          <w:sz w:val="28"/>
          <w:szCs w:val="28"/>
        </w:rPr>
        <w:t xml:space="preserve"> г.</w:t>
      </w:r>
    </w:p>
    <w:p w:rsidR="00F96453" w:rsidRPr="00E9271E" w:rsidRDefault="00F96453" w:rsidP="00F60F1C">
      <w:pPr>
        <w:spacing w:line="360" w:lineRule="auto"/>
        <w:rPr>
          <w:sz w:val="20"/>
          <w:szCs w:val="20"/>
        </w:rPr>
      </w:pPr>
    </w:p>
    <w:p w:rsidR="009D2A34" w:rsidRPr="00E9271E" w:rsidRDefault="009D2A34" w:rsidP="00F60F1C">
      <w:pPr>
        <w:spacing w:line="360" w:lineRule="auto"/>
        <w:rPr>
          <w:sz w:val="20"/>
          <w:szCs w:val="20"/>
        </w:rPr>
      </w:pPr>
    </w:p>
    <w:p w:rsidR="00AE07AE" w:rsidRPr="00E9271E" w:rsidRDefault="00A22C31" w:rsidP="00F60F1C">
      <w:pPr>
        <w:spacing w:line="360" w:lineRule="auto"/>
        <w:ind w:firstLine="709"/>
        <w:jc w:val="both"/>
      </w:pPr>
      <w:r w:rsidRPr="00E9271E">
        <w:rPr>
          <w:b/>
          <w:bCs/>
          <w:sz w:val="22"/>
          <w:szCs w:val="22"/>
        </w:rPr>
        <w:t>„</w:t>
      </w:r>
      <w:r w:rsidRPr="00E9271E">
        <w:rPr>
          <w:b/>
          <w:bCs/>
        </w:rPr>
        <w:t>АДИ</w:t>
      </w:r>
      <w:r w:rsidR="00EE7676" w:rsidRPr="00E9271E">
        <w:rPr>
          <w:b/>
          <w:bCs/>
        </w:rPr>
        <w:t>С” ЕООД</w:t>
      </w:r>
      <w:r w:rsidR="00EC7922" w:rsidRPr="00E9271E">
        <w:rPr>
          <w:b/>
          <w:bCs/>
        </w:rPr>
        <w:t xml:space="preserve"> </w:t>
      </w:r>
      <w:r w:rsidR="00AE07AE" w:rsidRPr="00E9271E">
        <w:t>е регистрирано по ф.д.</w:t>
      </w:r>
      <w:r w:rsidR="00EC7922" w:rsidRPr="00E9271E">
        <w:t xml:space="preserve"> </w:t>
      </w:r>
      <w:r w:rsidR="00AE07AE" w:rsidRPr="00E9271E">
        <w:t>№ 11290 / 2001 г. на СГС, вписано в регистъра за търговски дружества под № 947, том 18, стр. 27 със седа</w:t>
      </w:r>
      <w:r w:rsidR="00F96453" w:rsidRPr="00E9271E">
        <w:t>лище и адрес на управление: гр.</w:t>
      </w:r>
      <w:r w:rsidR="00AE07AE" w:rsidRPr="00E9271E">
        <w:t>София, община Оборище, ул.</w:t>
      </w:r>
      <w:r w:rsidR="00095619" w:rsidRPr="00E9271E">
        <w:rPr>
          <w:lang w:val="en-US"/>
        </w:rPr>
        <w:t>”</w:t>
      </w:r>
      <w:r w:rsidR="00AE07AE" w:rsidRPr="00E9271E">
        <w:t>Велико Търново</w:t>
      </w:r>
      <w:r w:rsidR="00095619" w:rsidRPr="00E9271E">
        <w:rPr>
          <w:lang w:val="en-US"/>
        </w:rPr>
        <w:t>”</w:t>
      </w:r>
      <w:r w:rsidR="00AE07AE" w:rsidRPr="00E9271E">
        <w:t xml:space="preserve"> № 27, ЕИК № 130697848.</w:t>
      </w:r>
    </w:p>
    <w:p w:rsidR="00831835" w:rsidRPr="00E9271E" w:rsidRDefault="00AE07AE" w:rsidP="00F60F1C">
      <w:pPr>
        <w:spacing w:line="360" w:lineRule="auto"/>
        <w:ind w:firstLine="709"/>
        <w:jc w:val="both"/>
        <w:rPr>
          <w:caps/>
        </w:rPr>
      </w:pPr>
      <w:r w:rsidRPr="00E9271E">
        <w:rPr>
          <w:bCs/>
        </w:rPr>
        <w:t xml:space="preserve">Предметът на дейност на </w:t>
      </w:r>
      <w:r w:rsidR="00EF1A52" w:rsidRPr="00E9271E">
        <w:rPr>
          <w:bCs/>
        </w:rPr>
        <w:t>дружество</w:t>
      </w:r>
      <w:r w:rsidRPr="00E9271E">
        <w:rPr>
          <w:bCs/>
        </w:rPr>
        <w:t xml:space="preserve">то е </w:t>
      </w:r>
      <w:r w:rsidR="00EF1A52" w:rsidRPr="00E9271E">
        <w:rPr>
          <w:bCs/>
        </w:rPr>
        <w:t xml:space="preserve">отдаване под наем на недвижими имоти и принадлежащите към тях технически съоръжения за жилищни, търговски или административни нужди на членовете на дипломатическия корпус в Република България и на други физически и юридически лица, покупка, строеж или обзавеждане на недвижими имоти с цел продажба. </w:t>
      </w:r>
    </w:p>
    <w:p w:rsidR="00AE07AE" w:rsidRPr="00E9271E" w:rsidRDefault="00EF1A52" w:rsidP="00F60F1C">
      <w:pPr>
        <w:spacing w:line="360" w:lineRule="auto"/>
        <w:ind w:firstLine="709"/>
        <w:jc w:val="both"/>
      </w:pPr>
      <w:r w:rsidRPr="00E9271E">
        <w:t>Дружество</w:t>
      </w:r>
      <w:r w:rsidR="00831835" w:rsidRPr="00E9271E">
        <w:t>то няма разкрити офиси /</w:t>
      </w:r>
      <w:r w:rsidR="00AE07AE" w:rsidRPr="00E9271E">
        <w:t xml:space="preserve">клонове/ или представителства в страната и </w:t>
      </w:r>
      <w:r w:rsidR="00AE07AE" w:rsidRPr="00E9271E">
        <w:rPr>
          <w:bCs/>
        </w:rPr>
        <w:t>чужбина</w:t>
      </w:r>
      <w:r w:rsidR="00AE07AE" w:rsidRPr="00E9271E">
        <w:t>.</w:t>
      </w:r>
    </w:p>
    <w:p w:rsidR="004B48BB" w:rsidRPr="00E9271E" w:rsidRDefault="004B48BB" w:rsidP="00F60F1C">
      <w:pPr>
        <w:spacing w:line="360" w:lineRule="auto"/>
        <w:ind w:firstLine="709"/>
        <w:jc w:val="both"/>
      </w:pPr>
      <w:r w:rsidRPr="00E9271E">
        <w:rPr>
          <w:bCs/>
        </w:rPr>
        <w:t xml:space="preserve">Основни клиенти на </w:t>
      </w:r>
      <w:r w:rsidR="00EF1A52" w:rsidRPr="00E9271E">
        <w:rPr>
          <w:bCs/>
        </w:rPr>
        <w:t>дружество</w:t>
      </w:r>
      <w:r w:rsidRPr="00E9271E">
        <w:rPr>
          <w:bCs/>
        </w:rPr>
        <w:t>то са дипломатически мисии и</w:t>
      </w:r>
      <w:r w:rsidRPr="00E9271E">
        <w:t xml:space="preserve"> представителства, бизнес единици – фирми и организации</w:t>
      </w:r>
      <w:r w:rsidR="00A22C31" w:rsidRPr="00E9271E">
        <w:t xml:space="preserve"> и</w:t>
      </w:r>
      <w:r w:rsidRPr="00E9271E">
        <w:t xml:space="preserve"> частни лица.</w:t>
      </w:r>
    </w:p>
    <w:p w:rsidR="00AE07AE" w:rsidRPr="00E9271E" w:rsidRDefault="00AE07AE" w:rsidP="00F60F1C">
      <w:pPr>
        <w:spacing w:line="360" w:lineRule="auto"/>
        <w:ind w:firstLine="709"/>
        <w:jc w:val="both"/>
      </w:pPr>
      <w:r w:rsidRPr="00E9271E">
        <w:t xml:space="preserve">Основните доставчици на </w:t>
      </w:r>
      <w:r w:rsidR="00EF1A52" w:rsidRPr="00E9271E">
        <w:t>Дружество</w:t>
      </w:r>
      <w:r w:rsidR="00B91782" w:rsidRPr="00E9271E">
        <w:t xml:space="preserve">то </w:t>
      </w:r>
      <w:r w:rsidRPr="00E9271E">
        <w:t>са “ЧЕЗ Електро България”АД, “ЕОН България Продажби” АД, “ЕВН България” АД, “БТК” АД, “Топлофикация София”АД, “Софийска Вода” АД и други.</w:t>
      </w:r>
    </w:p>
    <w:p w:rsidR="006D3E62" w:rsidRPr="00E9271E" w:rsidRDefault="006D3E62" w:rsidP="00F60F1C">
      <w:pPr>
        <w:spacing w:line="360" w:lineRule="auto"/>
        <w:ind w:firstLine="709"/>
        <w:jc w:val="both"/>
      </w:pPr>
    </w:p>
    <w:p w:rsidR="00AE07AE" w:rsidRPr="00E9271E" w:rsidRDefault="00AE07AE" w:rsidP="00F60F1C">
      <w:pPr>
        <w:spacing w:line="360" w:lineRule="auto"/>
        <w:ind w:firstLine="708"/>
        <w:jc w:val="both"/>
        <w:rPr>
          <w:b/>
          <w:bCs/>
        </w:rPr>
      </w:pPr>
      <w:r w:rsidRPr="00E9271E">
        <w:rPr>
          <w:b/>
        </w:rPr>
        <w:t xml:space="preserve">АНАЛИЗ </w:t>
      </w:r>
      <w:r w:rsidR="00A614D7" w:rsidRPr="00E9271E">
        <w:rPr>
          <w:b/>
          <w:bCs/>
        </w:rPr>
        <w:t>ФИНАНСОВО-ИКОНОМИЧЕСКИ РЕЗУЛТАТИ</w:t>
      </w:r>
      <w:r w:rsidRPr="00E9271E">
        <w:rPr>
          <w:b/>
          <w:bCs/>
        </w:rPr>
        <w:t xml:space="preserve"> НА </w:t>
      </w:r>
      <w:r w:rsidR="00EF1A52" w:rsidRPr="00E9271E">
        <w:rPr>
          <w:b/>
          <w:bCs/>
        </w:rPr>
        <w:t>ДРУЖЕСТВО</w:t>
      </w:r>
      <w:r w:rsidRPr="00E9271E">
        <w:rPr>
          <w:b/>
          <w:bCs/>
        </w:rPr>
        <w:t>ТО</w:t>
      </w:r>
    </w:p>
    <w:p w:rsidR="00514BA2" w:rsidRPr="00E9271E" w:rsidRDefault="00514BA2" w:rsidP="00F60F1C">
      <w:pPr>
        <w:spacing w:line="360" w:lineRule="auto"/>
        <w:ind w:firstLine="708"/>
        <w:jc w:val="both"/>
        <w:rPr>
          <w:b/>
        </w:rPr>
      </w:pPr>
      <w:r w:rsidRPr="00E9271E">
        <w:rPr>
          <w:b/>
        </w:rPr>
        <w:t>Приходи</w:t>
      </w:r>
    </w:p>
    <w:p w:rsidR="00AE07AE" w:rsidRPr="00E9271E" w:rsidRDefault="00AE07AE" w:rsidP="00F60F1C">
      <w:pPr>
        <w:spacing w:line="360" w:lineRule="auto"/>
        <w:ind w:firstLine="709"/>
        <w:jc w:val="both"/>
      </w:pPr>
      <w:r w:rsidRPr="00E9271E">
        <w:t>Реализираните</w:t>
      </w:r>
      <w:r w:rsidR="00EC7922" w:rsidRPr="00E9271E">
        <w:t xml:space="preserve"> </w:t>
      </w:r>
      <w:r w:rsidRPr="00E9271E">
        <w:t xml:space="preserve">от </w:t>
      </w:r>
      <w:r w:rsidR="00EF1A52" w:rsidRPr="00E9271E">
        <w:t>дружество</w:t>
      </w:r>
      <w:r w:rsidR="00DB2440" w:rsidRPr="00E9271E">
        <w:t>то приходи</w:t>
      </w:r>
      <w:r w:rsidRPr="00E9271E">
        <w:t xml:space="preserve"> са посочени в следната таблица:</w:t>
      </w:r>
    </w:p>
    <w:p w:rsidR="00AE07AE" w:rsidRPr="00E9271E" w:rsidRDefault="00F448B2" w:rsidP="00F60F1C">
      <w:pPr>
        <w:spacing w:line="360" w:lineRule="auto"/>
        <w:ind w:left="4248"/>
        <w:jc w:val="right"/>
        <w:rPr>
          <w:i/>
          <w:sz w:val="18"/>
          <w:szCs w:val="18"/>
        </w:rPr>
      </w:pPr>
      <w:r w:rsidRPr="00E9271E">
        <w:rPr>
          <w:i/>
          <w:sz w:val="18"/>
          <w:szCs w:val="18"/>
        </w:rPr>
        <w:t xml:space="preserve"> </w:t>
      </w:r>
      <w:r w:rsidR="006D3E62" w:rsidRPr="00E9271E">
        <w:rPr>
          <w:i/>
          <w:sz w:val="18"/>
          <w:szCs w:val="18"/>
        </w:rPr>
        <w:t xml:space="preserve"> </w:t>
      </w:r>
      <w:r w:rsidR="00514BA2" w:rsidRPr="00E9271E">
        <w:rPr>
          <w:i/>
          <w:sz w:val="18"/>
          <w:szCs w:val="18"/>
        </w:rPr>
        <w:t>Всички сум</w:t>
      </w:r>
      <w:r w:rsidR="000F1084" w:rsidRPr="00E9271E">
        <w:rPr>
          <w:i/>
          <w:sz w:val="18"/>
          <w:szCs w:val="18"/>
        </w:rPr>
        <w:t>и</w:t>
      </w:r>
      <w:r w:rsidR="00514BA2" w:rsidRPr="00E9271E">
        <w:rPr>
          <w:i/>
          <w:sz w:val="18"/>
          <w:szCs w:val="18"/>
        </w:rPr>
        <w:t xml:space="preserve"> са в хиляди лева</w:t>
      </w:r>
    </w:p>
    <w:tbl>
      <w:tblPr>
        <w:tblW w:w="430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0"/>
        <w:gridCol w:w="1670"/>
        <w:gridCol w:w="1670"/>
      </w:tblGrid>
      <w:tr w:rsidR="00A305BC" w:rsidRPr="00E9271E" w:rsidTr="00A305BC">
        <w:trPr>
          <w:jc w:val="center"/>
        </w:trPr>
        <w:tc>
          <w:tcPr>
            <w:tcW w:w="2910" w:type="pct"/>
            <w:vAlign w:val="center"/>
          </w:tcPr>
          <w:p w:rsidR="00A305BC" w:rsidRPr="00E9271E" w:rsidRDefault="00A305BC" w:rsidP="00F60F1C">
            <w:pPr>
              <w:spacing w:line="360" w:lineRule="auto"/>
              <w:rPr>
                <w:sz w:val="22"/>
                <w:szCs w:val="22"/>
              </w:rPr>
            </w:pPr>
            <w:r w:rsidRPr="00E9271E">
              <w:rPr>
                <w:sz w:val="22"/>
                <w:szCs w:val="22"/>
              </w:rPr>
              <w:t>Година/период</w:t>
            </w:r>
          </w:p>
        </w:tc>
        <w:tc>
          <w:tcPr>
            <w:tcW w:w="1045" w:type="pct"/>
          </w:tcPr>
          <w:p w:rsidR="00A305BC" w:rsidRPr="00E9271E" w:rsidRDefault="00D61EAE" w:rsidP="00F60F1C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E9271E">
              <w:rPr>
                <w:sz w:val="22"/>
                <w:szCs w:val="22"/>
                <w:lang w:val="en-US"/>
              </w:rPr>
              <w:t>31.03.</w:t>
            </w:r>
            <w:r w:rsidR="009D6385" w:rsidRPr="00E9271E">
              <w:rPr>
                <w:sz w:val="22"/>
                <w:szCs w:val="22"/>
                <w:lang w:val="en-US"/>
              </w:rPr>
              <w:t>201</w:t>
            </w:r>
            <w:r w:rsidRPr="00E9271E">
              <w:rPr>
                <w:sz w:val="22"/>
                <w:szCs w:val="22"/>
                <w:lang w:val="en-US"/>
              </w:rPr>
              <w:t>5</w:t>
            </w:r>
            <w:r w:rsidR="00482FA1" w:rsidRPr="00E9271E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45" w:type="pct"/>
          </w:tcPr>
          <w:p w:rsidR="00A305BC" w:rsidRPr="00E9271E" w:rsidRDefault="00D61EAE" w:rsidP="00F60F1C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E9271E">
              <w:rPr>
                <w:sz w:val="22"/>
                <w:szCs w:val="22"/>
              </w:rPr>
              <w:t>201</w:t>
            </w:r>
            <w:r w:rsidRPr="00E9271E">
              <w:rPr>
                <w:sz w:val="22"/>
                <w:szCs w:val="22"/>
                <w:lang w:val="en-US"/>
              </w:rPr>
              <w:t>4</w:t>
            </w:r>
            <w:r w:rsidR="00A305BC" w:rsidRPr="00E9271E">
              <w:rPr>
                <w:sz w:val="22"/>
                <w:szCs w:val="22"/>
              </w:rPr>
              <w:t xml:space="preserve"> г.</w:t>
            </w:r>
          </w:p>
        </w:tc>
      </w:tr>
      <w:tr w:rsidR="00E9271E" w:rsidRPr="00E9271E" w:rsidTr="00A305BC">
        <w:trPr>
          <w:jc w:val="center"/>
        </w:trPr>
        <w:tc>
          <w:tcPr>
            <w:tcW w:w="2910" w:type="pct"/>
            <w:vAlign w:val="center"/>
          </w:tcPr>
          <w:p w:rsidR="00A305BC" w:rsidRPr="00E9271E" w:rsidRDefault="00A305BC" w:rsidP="00F60F1C">
            <w:pPr>
              <w:spacing w:line="360" w:lineRule="auto"/>
              <w:rPr>
                <w:sz w:val="22"/>
                <w:szCs w:val="22"/>
              </w:rPr>
            </w:pPr>
            <w:r w:rsidRPr="00E9271E">
              <w:rPr>
                <w:sz w:val="22"/>
                <w:szCs w:val="22"/>
              </w:rPr>
              <w:t>Общо приходи</w:t>
            </w:r>
          </w:p>
        </w:tc>
        <w:tc>
          <w:tcPr>
            <w:tcW w:w="1045" w:type="pct"/>
          </w:tcPr>
          <w:p w:rsidR="00A305BC" w:rsidRPr="00E9271E" w:rsidRDefault="00252BE5" w:rsidP="009D6385">
            <w:pPr>
              <w:spacing w:line="360" w:lineRule="auto"/>
              <w:jc w:val="center"/>
              <w:rPr>
                <w:sz w:val="22"/>
                <w:szCs w:val="22"/>
                <w:lang w:val="en-US"/>
              </w:rPr>
            </w:pPr>
            <w:r w:rsidRPr="00E9271E">
              <w:rPr>
                <w:sz w:val="22"/>
                <w:szCs w:val="22"/>
                <w:lang w:val="en-US"/>
              </w:rPr>
              <w:t>2 123</w:t>
            </w:r>
          </w:p>
        </w:tc>
        <w:tc>
          <w:tcPr>
            <w:tcW w:w="1045" w:type="pct"/>
          </w:tcPr>
          <w:p w:rsidR="00A305BC" w:rsidRPr="00E9271E" w:rsidRDefault="00D61EAE" w:rsidP="00F60F1C">
            <w:pPr>
              <w:spacing w:line="360" w:lineRule="auto"/>
              <w:jc w:val="center"/>
              <w:rPr>
                <w:sz w:val="22"/>
                <w:szCs w:val="22"/>
                <w:lang w:val="en-US"/>
              </w:rPr>
            </w:pPr>
            <w:r w:rsidRPr="00E9271E">
              <w:rPr>
                <w:sz w:val="22"/>
                <w:szCs w:val="22"/>
              </w:rPr>
              <w:t>9 0</w:t>
            </w:r>
            <w:r w:rsidRPr="00E9271E">
              <w:rPr>
                <w:sz w:val="22"/>
                <w:szCs w:val="22"/>
                <w:lang w:val="en-US"/>
              </w:rPr>
              <w:t>34</w:t>
            </w:r>
          </w:p>
        </w:tc>
      </w:tr>
    </w:tbl>
    <w:p w:rsidR="00831835" w:rsidRPr="00E9271E" w:rsidRDefault="00831835" w:rsidP="00614732">
      <w:pPr>
        <w:spacing w:line="360" w:lineRule="auto"/>
        <w:jc w:val="both"/>
        <w:rPr>
          <w:sz w:val="22"/>
          <w:szCs w:val="22"/>
        </w:rPr>
      </w:pPr>
    </w:p>
    <w:p w:rsidR="00AE07AE" w:rsidRPr="00E9271E" w:rsidRDefault="00AE07AE" w:rsidP="00F60F1C">
      <w:pPr>
        <w:spacing w:line="360" w:lineRule="auto"/>
        <w:ind w:firstLine="709"/>
        <w:jc w:val="both"/>
      </w:pPr>
    </w:p>
    <w:p w:rsidR="00514BA2" w:rsidRPr="00E9271E" w:rsidRDefault="00514BA2" w:rsidP="00F60F1C">
      <w:pPr>
        <w:spacing w:line="360" w:lineRule="auto"/>
        <w:ind w:firstLine="708"/>
        <w:jc w:val="both"/>
        <w:rPr>
          <w:b/>
        </w:rPr>
      </w:pPr>
      <w:r w:rsidRPr="00E9271E">
        <w:rPr>
          <w:b/>
        </w:rPr>
        <w:t>Оперативни разходи</w:t>
      </w:r>
    </w:p>
    <w:p w:rsidR="009C41EF" w:rsidRPr="00E9271E" w:rsidRDefault="00944878" w:rsidP="00F60F1C">
      <w:pPr>
        <w:spacing w:line="360" w:lineRule="auto"/>
        <w:ind w:firstLine="709"/>
        <w:jc w:val="both"/>
      </w:pPr>
      <w:r w:rsidRPr="00E9271E">
        <w:t xml:space="preserve">Най-голям относителен дял в разходите от оперативна дейност на </w:t>
      </w:r>
      <w:r w:rsidR="00EF1A52" w:rsidRPr="00E9271E">
        <w:t>Дружество</w:t>
      </w:r>
      <w:r w:rsidRPr="00E9271E">
        <w:t>то заемат разходи</w:t>
      </w:r>
      <w:r w:rsidR="007F0E27" w:rsidRPr="00E9271E">
        <w:t>те за материали и външни услуги</w:t>
      </w:r>
      <w:r w:rsidRPr="00E9271E">
        <w:t>, разходите за възнаграждения на персонала и осигуровки</w:t>
      </w:r>
      <w:r w:rsidR="00EC7922" w:rsidRPr="00E9271E">
        <w:t xml:space="preserve"> </w:t>
      </w:r>
      <w:r w:rsidR="007F0E27" w:rsidRPr="00E9271E">
        <w:t>и разходите за амортизация</w:t>
      </w:r>
      <w:r w:rsidRPr="00E9271E">
        <w:t>. Конкретните стойности за</w:t>
      </w:r>
      <w:r w:rsidR="000E26E8" w:rsidRPr="00E9271E">
        <w:t xml:space="preserve"> </w:t>
      </w:r>
      <w:r w:rsidR="00271532" w:rsidRPr="00E9271E">
        <w:t xml:space="preserve"> първо тримесечие на 2015 </w:t>
      </w:r>
      <w:r w:rsidR="00DA79D0" w:rsidRPr="00E9271E">
        <w:t xml:space="preserve">година и </w:t>
      </w:r>
      <w:r w:rsidR="00271532" w:rsidRPr="00E9271E">
        <w:t>2014</w:t>
      </w:r>
      <w:r w:rsidR="00DA79D0" w:rsidRPr="00E9271E">
        <w:t xml:space="preserve"> година</w:t>
      </w:r>
      <w:r w:rsidRPr="00E9271E">
        <w:t xml:space="preserve"> са дадени в следващата таблица:</w:t>
      </w:r>
    </w:p>
    <w:p w:rsidR="00472B05" w:rsidRPr="00E9271E" w:rsidRDefault="00472B05" w:rsidP="00F60F1C">
      <w:pPr>
        <w:spacing w:line="360" w:lineRule="auto"/>
        <w:ind w:firstLine="709"/>
        <w:jc w:val="both"/>
      </w:pPr>
    </w:p>
    <w:p w:rsidR="00944878" w:rsidRPr="00E9271E" w:rsidRDefault="00F40ABC" w:rsidP="00F40ABC">
      <w:pPr>
        <w:spacing w:line="360" w:lineRule="auto"/>
        <w:ind w:left="5664"/>
        <w:jc w:val="center"/>
        <w:rPr>
          <w:i/>
          <w:sz w:val="18"/>
          <w:szCs w:val="18"/>
        </w:rPr>
      </w:pPr>
      <w:r w:rsidRPr="00E9271E">
        <w:rPr>
          <w:i/>
          <w:sz w:val="18"/>
          <w:szCs w:val="18"/>
          <w:lang w:val="en-US"/>
        </w:rPr>
        <w:t xml:space="preserve">         </w:t>
      </w:r>
      <w:r w:rsidR="007F0E27" w:rsidRPr="00E9271E">
        <w:rPr>
          <w:i/>
          <w:sz w:val="18"/>
          <w:szCs w:val="18"/>
        </w:rPr>
        <w:t>Всички сум</w:t>
      </w:r>
      <w:r w:rsidR="006700B4" w:rsidRPr="00E9271E">
        <w:rPr>
          <w:i/>
          <w:sz w:val="18"/>
          <w:szCs w:val="18"/>
        </w:rPr>
        <w:t>и</w:t>
      </w:r>
      <w:r w:rsidR="007F0E27" w:rsidRPr="00E9271E">
        <w:rPr>
          <w:i/>
          <w:sz w:val="18"/>
          <w:szCs w:val="18"/>
        </w:rPr>
        <w:t xml:space="preserve"> са в хиляди лева</w:t>
      </w:r>
    </w:p>
    <w:tbl>
      <w:tblPr>
        <w:tblW w:w="4913" w:type="pct"/>
        <w:jc w:val="center"/>
        <w:tblInd w:w="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14"/>
        <w:gridCol w:w="2112"/>
        <w:gridCol w:w="2000"/>
      </w:tblGrid>
      <w:tr w:rsidR="00437EC0" w:rsidRPr="00E9271E" w:rsidTr="00E2391A">
        <w:trPr>
          <w:jc w:val="center"/>
        </w:trPr>
        <w:tc>
          <w:tcPr>
            <w:tcW w:w="2747" w:type="pct"/>
            <w:vAlign w:val="center"/>
          </w:tcPr>
          <w:p w:rsidR="00194076" w:rsidRPr="00E9271E" w:rsidRDefault="00194076" w:rsidP="00DA7F05">
            <w:pPr>
              <w:spacing w:line="360" w:lineRule="auto"/>
              <w:rPr>
                <w:b/>
                <w:sz w:val="22"/>
                <w:szCs w:val="22"/>
              </w:rPr>
            </w:pPr>
            <w:r w:rsidRPr="00E9271E">
              <w:rPr>
                <w:b/>
                <w:sz w:val="22"/>
                <w:szCs w:val="22"/>
              </w:rPr>
              <w:t>Година/ разход</w:t>
            </w:r>
          </w:p>
        </w:tc>
        <w:tc>
          <w:tcPr>
            <w:tcW w:w="1157" w:type="pct"/>
            <w:vAlign w:val="center"/>
          </w:tcPr>
          <w:p w:rsidR="00194076" w:rsidRPr="00E9271E" w:rsidRDefault="003D1952" w:rsidP="00DA7F05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E9271E">
              <w:rPr>
                <w:b/>
                <w:sz w:val="22"/>
                <w:szCs w:val="22"/>
                <w:lang w:val="en-US"/>
              </w:rPr>
              <w:t>31.03.</w:t>
            </w:r>
            <w:r w:rsidRPr="00E9271E">
              <w:rPr>
                <w:b/>
                <w:sz w:val="22"/>
                <w:szCs w:val="22"/>
              </w:rPr>
              <w:t>201</w:t>
            </w:r>
            <w:r w:rsidRPr="00E9271E">
              <w:rPr>
                <w:b/>
                <w:sz w:val="22"/>
                <w:szCs w:val="22"/>
                <w:lang w:val="en-US"/>
              </w:rPr>
              <w:t>5</w:t>
            </w:r>
            <w:r w:rsidR="00194076" w:rsidRPr="00E9271E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096" w:type="pct"/>
            <w:vAlign w:val="center"/>
          </w:tcPr>
          <w:p w:rsidR="00194076" w:rsidRPr="00E9271E" w:rsidRDefault="003D1952" w:rsidP="00DA7F05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E9271E">
              <w:rPr>
                <w:b/>
                <w:sz w:val="22"/>
                <w:szCs w:val="22"/>
              </w:rPr>
              <w:t>201</w:t>
            </w:r>
            <w:r w:rsidRPr="00E9271E">
              <w:rPr>
                <w:b/>
                <w:sz w:val="22"/>
                <w:szCs w:val="22"/>
                <w:lang w:val="en-US"/>
              </w:rPr>
              <w:t>4</w:t>
            </w:r>
            <w:r w:rsidR="00194076" w:rsidRPr="00E9271E">
              <w:rPr>
                <w:b/>
                <w:sz w:val="22"/>
                <w:szCs w:val="22"/>
              </w:rPr>
              <w:t xml:space="preserve"> г.</w:t>
            </w:r>
          </w:p>
        </w:tc>
      </w:tr>
      <w:tr w:rsidR="00437EC0" w:rsidRPr="00E9271E" w:rsidTr="00E2391A">
        <w:trPr>
          <w:jc w:val="center"/>
        </w:trPr>
        <w:tc>
          <w:tcPr>
            <w:tcW w:w="2747" w:type="pct"/>
            <w:vAlign w:val="center"/>
          </w:tcPr>
          <w:p w:rsidR="003D1952" w:rsidRPr="00E9271E" w:rsidRDefault="003D1952" w:rsidP="00DA7F05">
            <w:pPr>
              <w:spacing w:line="360" w:lineRule="auto"/>
              <w:rPr>
                <w:sz w:val="22"/>
                <w:szCs w:val="22"/>
              </w:rPr>
            </w:pPr>
            <w:r w:rsidRPr="00E9271E">
              <w:rPr>
                <w:sz w:val="22"/>
                <w:szCs w:val="22"/>
              </w:rPr>
              <w:t>Разходи за материали</w:t>
            </w:r>
          </w:p>
        </w:tc>
        <w:tc>
          <w:tcPr>
            <w:tcW w:w="1157" w:type="pct"/>
            <w:vAlign w:val="center"/>
          </w:tcPr>
          <w:p w:rsidR="003D1952" w:rsidRPr="00E9271E" w:rsidRDefault="005F15CC" w:rsidP="00DA7F05">
            <w:pPr>
              <w:spacing w:line="360" w:lineRule="auto"/>
              <w:jc w:val="center"/>
              <w:rPr>
                <w:sz w:val="22"/>
                <w:szCs w:val="22"/>
                <w:lang w:val="en-US"/>
              </w:rPr>
            </w:pPr>
            <w:r w:rsidRPr="00E9271E">
              <w:rPr>
                <w:sz w:val="22"/>
                <w:szCs w:val="22"/>
                <w:lang w:val="en-US"/>
              </w:rPr>
              <w:t>376</w:t>
            </w:r>
          </w:p>
        </w:tc>
        <w:tc>
          <w:tcPr>
            <w:tcW w:w="1096" w:type="pct"/>
            <w:vAlign w:val="center"/>
          </w:tcPr>
          <w:p w:rsidR="003D1952" w:rsidRPr="00E9271E" w:rsidRDefault="003D1952" w:rsidP="00F80460">
            <w:pPr>
              <w:spacing w:line="360" w:lineRule="auto"/>
              <w:jc w:val="center"/>
              <w:rPr>
                <w:sz w:val="22"/>
                <w:szCs w:val="22"/>
                <w:lang w:val="en-US"/>
              </w:rPr>
            </w:pPr>
            <w:r w:rsidRPr="00E9271E">
              <w:rPr>
                <w:sz w:val="22"/>
                <w:szCs w:val="22"/>
                <w:lang w:val="en-US"/>
              </w:rPr>
              <w:t>1,233</w:t>
            </w:r>
          </w:p>
        </w:tc>
      </w:tr>
      <w:tr w:rsidR="00437EC0" w:rsidRPr="00E9271E" w:rsidTr="00E2391A">
        <w:trPr>
          <w:jc w:val="center"/>
        </w:trPr>
        <w:tc>
          <w:tcPr>
            <w:tcW w:w="2747" w:type="pct"/>
            <w:vAlign w:val="center"/>
          </w:tcPr>
          <w:p w:rsidR="003D1952" w:rsidRPr="00E2391A" w:rsidRDefault="003D1952" w:rsidP="00DA7F05">
            <w:pPr>
              <w:spacing w:line="360" w:lineRule="auto"/>
              <w:rPr>
                <w:sz w:val="22"/>
                <w:szCs w:val="22"/>
              </w:rPr>
            </w:pPr>
            <w:r w:rsidRPr="00E2391A">
              <w:rPr>
                <w:sz w:val="22"/>
                <w:szCs w:val="22"/>
              </w:rPr>
              <w:t>Разходи за външни услуги</w:t>
            </w:r>
          </w:p>
        </w:tc>
        <w:tc>
          <w:tcPr>
            <w:tcW w:w="1157" w:type="pct"/>
            <w:vAlign w:val="center"/>
          </w:tcPr>
          <w:p w:rsidR="003D1952" w:rsidRPr="00E2391A" w:rsidRDefault="005F15CC" w:rsidP="00DA7F05">
            <w:pPr>
              <w:spacing w:line="360" w:lineRule="auto"/>
              <w:jc w:val="center"/>
              <w:rPr>
                <w:sz w:val="22"/>
                <w:szCs w:val="22"/>
                <w:lang w:val="en-US"/>
              </w:rPr>
            </w:pPr>
            <w:r w:rsidRPr="00E2391A">
              <w:rPr>
                <w:sz w:val="22"/>
                <w:szCs w:val="22"/>
                <w:lang w:val="en-US"/>
              </w:rPr>
              <w:t>206</w:t>
            </w:r>
          </w:p>
        </w:tc>
        <w:tc>
          <w:tcPr>
            <w:tcW w:w="1096" w:type="pct"/>
            <w:vAlign w:val="center"/>
          </w:tcPr>
          <w:p w:rsidR="003D1952" w:rsidRPr="00E2391A" w:rsidRDefault="003D1952" w:rsidP="00F80460">
            <w:pPr>
              <w:spacing w:line="360" w:lineRule="auto"/>
              <w:jc w:val="center"/>
              <w:rPr>
                <w:sz w:val="22"/>
                <w:szCs w:val="22"/>
                <w:lang w:val="en-US"/>
              </w:rPr>
            </w:pPr>
            <w:r w:rsidRPr="00E2391A">
              <w:rPr>
                <w:sz w:val="22"/>
                <w:szCs w:val="22"/>
                <w:lang w:val="en-US"/>
              </w:rPr>
              <w:t>1,060</w:t>
            </w:r>
          </w:p>
        </w:tc>
      </w:tr>
      <w:tr w:rsidR="00437EC0" w:rsidRPr="00E9271E" w:rsidTr="00E2391A">
        <w:trPr>
          <w:jc w:val="center"/>
        </w:trPr>
        <w:tc>
          <w:tcPr>
            <w:tcW w:w="2747" w:type="pct"/>
            <w:vAlign w:val="center"/>
          </w:tcPr>
          <w:p w:rsidR="003D1952" w:rsidRPr="00E2391A" w:rsidRDefault="003D1952" w:rsidP="00DA7F05">
            <w:pPr>
              <w:spacing w:line="360" w:lineRule="auto"/>
              <w:rPr>
                <w:sz w:val="22"/>
                <w:szCs w:val="22"/>
              </w:rPr>
            </w:pPr>
            <w:r w:rsidRPr="00E2391A">
              <w:rPr>
                <w:sz w:val="22"/>
                <w:szCs w:val="22"/>
              </w:rPr>
              <w:t>Разходи за възнаграждения и осигуровки</w:t>
            </w:r>
          </w:p>
        </w:tc>
        <w:tc>
          <w:tcPr>
            <w:tcW w:w="1157" w:type="pct"/>
            <w:vAlign w:val="center"/>
          </w:tcPr>
          <w:p w:rsidR="003D1952" w:rsidRPr="00E2391A" w:rsidRDefault="005F15CC" w:rsidP="00DA7F05">
            <w:pPr>
              <w:spacing w:line="360" w:lineRule="auto"/>
              <w:jc w:val="center"/>
              <w:rPr>
                <w:sz w:val="22"/>
                <w:szCs w:val="22"/>
                <w:lang w:val="en-US"/>
              </w:rPr>
            </w:pPr>
            <w:r w:rsidRPr="00E2391A">
              <w:rPr>
                <w:sz w:val="22"/>
                <w:szCs w:val="22"/>
                <w:lang w:val="en-US"/>
              </w:rPr>
              <w:t>385</w:t>
            </w:r>
          </w:p>
        </w:tc>
        <w:tc>
          <w:tcPr>
            <w:tcW w:w="1096" w:type="pct"/>
            <w:vAlign w:val="center"/>
          </w:tcPr>
          <w:p w:rsidR="003D1952" w:rsidRPr="00E2391A" w:rsidRDefault="003D1952" w:rsidP="00F80460">
            <w:pPr>
              <w:spacing w:line="360" w:lineRule="auto"/>
              <w:jc w:val="center"/>
              <w:rPr>
                <w:sz w:val="22"/>
                <w:szCs w:val="22"/>
                <w:lang w:val="en-US"/>
              </w:rPr>
            </w:pPr>
            <w:r w:rsidRPr="00E2391A">
              <w:rPr>
                <w:sz w:val="22"/>
                <w:szCs w:val="22"/>
              </w:rPr>
              <w:t>1,</w:t>
            </w:r>
            <w:r w:rsidRPr="00E2391A">
              <w:rPr>
                <w:sz w:val="22"/>
                <w:szCs w:val="22"/>
                <w:lang w:val="en-US"/>
              </w:rPr>
              <w:t>941</w:t>
            </w:r>
          </w:p>
        </w:tc>
      </w:tr>
      <w:tr w:rsidR="00437EC0" w:rsidRPr="00E9271E" w:rsidTr="00E2391A">
        <w:trPr>
          <w:jc w:val="center"/>
        </w:trPr>
        <w:tc>
          <w:tcPr>
            <w:tcW w:w="2747" w:type="pct"/>
            <w:vAlign w:val="center"/>
          </w:tcPr>
          <w:p w:rsidR="003D1952" w:rsidRPr="00E9271E" w:rsidRDefault="003D1952" w:rsidP="00DA7F05">
            <w:pPr>
              <w:spacing w:line="360" w:lineRule="auto"/>
              <w:rPr>
                <w:sz w:val="22"/>
                <w:szCs w:val="22"/>
              </w:rPr>
            </w:pPr>
            <w:r w:rsidRPr="00E9271E">
              <w:rPr>
                <w:sz w:val="22"/>
                <w:szCs w:val="22"/>
              </w:rPr>
              <w:t>Разходи за амортизация</w:t>
            </w:r>
          </w:p>
        </w:tc>
        <w:tc>
          <w:tcPr>
            <w:tcW w:w="1157" w:type="pct"/>
            <w:vAlign w:val="center"/>
          </w:tcPr>
          <w:p w:rsidR="003D1952" w:rsidRPr="00E9271E" w:rsidRDefault="005F15CC" w:rsidP="00DA7F05">
            <w:pPr>
              <w:spacing w:line="360" w:lineRule="auto"/>
              <w:jc w:val="center"/>
              <w:rPr>
                <w:sz w:val="22"/>
                <w:szCs w:val="22"/>
                <w:lang w:val="en-US"/>
              </w:rPr>
            </w:pPr>
            <w:r w:rsidRPr="00E9271E">
              <w:rPr>
                <w:sz w:val="22"/>
                <w:szCs w:val="22"/>
                <w:lang w:val="en-US"/>
              </w:rPr>
              <w:t>355</w:t>
            </w:r>
          </w:p>
        </w:tc>
        <w:tc>
          <w:tcPr>
            <w:tcW w:w="1096" w:type="pct"/>
            <w:vAlign w:val="center"/>
          </w:tcPr>
          <w:p w:rsidR="003D1952" w:rsidRPr="00E9271E" w:rsidRDefault="003D1952" w:rsidP="00F80460">
            <w:pPr>
              <w:spacing w:line="360" w:lineRule="auto"/>
              <w:jc w:val="center"/>
              <w:rPr>
                <w:sz w:val="22"/>
                <w:szCs w:val="22"/>
                <w:lang w:val="en-US"/>
              </w:rPr>
            </w:pPr>
            <w:r w:rsidRPr="00E9271E">
              <w:rPr>
                <w:sz w:val="22"/>
                <w:szCs w:val="22"/>
              </w:rPr>
              <w:t>1,</w:t>
            </w:r>
            <w:r w:rsidRPr="00E9271E">
              <w:rPr>
                <w:sz w:val="22"/>
                <w:szCs w:val="22"/>
                <w:lang w:val="en-US"/>
              </w:rPr>
              <w:t>458</w:t>
            </w:r>
          </w:p>
        </w:tc>
      </w:tr>
    </w:tbl>
    <w:p w:rsidR="00FE6CE2" w:rsidRPr="00E9271E" w:rsidRDefault="00FE6CE2" w:rsidP="00F60F1C">
      <w:pPr>
        <w:spacing w:line="360" w:lineRule="auto"/>
        <w:ind w:firstLine="709"/>
        <w:jc w:val="both"/>
        <w:rPr>
          <w:sz w:val="22"/>
          <w:szCs w:val="22"/>
        </w:rPr>
      </w:pPr>
    </w:p>
    <w:p w:rsidR="00944878" w:rsidRPr="00E9271E" w:rsidRDefault="00944878" w:rsidP="00F60F1C">
      <w:pPr>
        <w:spacing w:line="360" w:lineRule="auto"/>
        <w:ind w:firstLine="709"/>
        <w:jc w:val="both"/>
      </w:pPr>
      <w:r w:rsidRPr="00E9271E">
        <w:t xml:space="preserve">Наблюдава се </w:t>
      </w:r>
      <w:r w:rsidR="00C76221" w:rsidRPr="00E9271E">
        <w:t xml:space="preserve">запазване </w:t>
      </w:r>
      <w:r w:rsidR="008202CC" w:rsidRPr="00E9271E">
        <w:t>нивото на разходите през</w:t>
      </w:r>
      <w:r w:rsidR="00BE4D90" w:rsidRPr="00E9271E">
        <w:t xml:space="preserve"> първо тримесечие на 2015</w:t>
      </w:r>
      <w:r w:rsidR="00B23197" w:rsidRPr="00E9271E">
        <w:t xml:space="preserve"> </w:t>
      </w:r>
      <w:r w:rsidR="00D0509E" w:rsidRPr="00E9271E">
        <w:t xml:space="preserve">година </w:t>
      </w:r>
      <w:r w:rsidR="00B23197" w:rsidRPr="00E9271E">
        <w:t>в с</w:t>
      </w:r>
      <w:r w:rsidR="004648F2" w:rsidRPr="00E9271E">
        <w:t>равнение</w:t>
      </w:r>
      <w:r w:rsidR="00D12DD4" w:rsidRPr="00E9271E">
        <w:t xml:space="preserve"> с </w:t>
      </w:r>
      <w:r w:rsidR="00DA79D0" w:rsidRPr="00E9271E">
        <w:t>предходната година</w:t>
      </w:r>
      <w:r w:rsidR="00377A0A" w:rsidRPr="00E9271E">
        <w:t>.</w:t>
      </w:r>
    </w:p>
    <w:p w:rsidR="00944878" w:rsidRPr="00E9271E" w:rsidRDefault="00944878" w:rsidP="00F60F1C">
      <w:pPr>
        <w:spacing w:line="360" w:lineRule="auto"/>
        <w:ind w:firstLine="709"/>
        <w:jc w:val="both"/>
      </w:pPr>
    </w:p>
    <w:p w:rsidR="00944878" w:rsidRPr="00E9271E" w:rsidRDefault="00944878" w:rsidP="00F60F1C">
      <w:pPr>
        <w:spacing w:line="360" w:lineRule="auto"/>
        <w:ind w:firstLine="709"/>
        <w:jc w:val="both"/>
        <w:rPr>
          <w:b/>
        </w:rPr>
      </w:pPr>
      <w:r w:rsidRPr="00E9271E">
        <w:rPr>
          <w:b/>
        </w:rPr>
        <w:t>Финансов резултат</w:t>
      </w:r>
    </w:p>
    <w:p w:rsidR="00CD00DE" w:rsidRPr="00E9271E" w:rsidRDefault="00944878" w:rsidP="00F60F1C">
      <w:pPr>
        <w:spacing w:line="360" w:lineRule="auto"/>
        <w:ind w:firstLine="709"/>
        <w:jc w:val="both"/>
      </w:pPr>
      <w:r w:rsidRPr="00E9271E">
        <w:t>Финансови</w:t>
      </w:r>
      <w:r w:rsidR="00514BA2" w:rsidRPr="00E9271E">
        <w:t>т</w:t>
      </w:r>
      <w:r w:rsidR="00CD00DE" w:rsidRPr="00E9271E">
        <w:rPr>
          <w:lang w:val="en-US"/>
        </w:rPr>
        <w:t>e</w:t>
      </w:r>
      <w:r w:rsidRPr="00E9271E">
        <w:t xml:space="preserve"> резултат</w:t>
      </w:r>
      <w:r w:rsidR="00CD00DE" w:rsidRPr="00E9271E">
        <w:t>и</w:t>
      </w:r>
      <w:r w:rsidRPr="00E9271E">
        <w:t xml:space="preserve"> на </w:t>
      </w:r>
      <w:r w:rsidR="00EF1A52" w:rsidRPr="00E9271E">
        <w:t>Дружество</w:t>
      </w:r>
      <w:r w:rsidRPr="00E9271E">
        <w:t xml:space="preserve">то </w:t>
      </w:r>
      <w:r w:rsidR="00C32E66" w:rsidRPr="00E9271E">
        <w:t>за</w:t>
      </w:r>
      <w:r w:rsidR="00DD491A" w:rsidRPr="00E9271E">
        <w:t xml:space="preserve"> </w:t>
      </w:r>
      <w:r w:rsidR="00C57D8E" w:rsidRPr="00E9271E">
        <w:t>първо тримесечие на 2015 година и 2014</w:t>
      </w:r>
      <w:r w:rsidR="00DA79D0" w:rsidRPr="00E9271E">
        <w:t xml:space="preserve"> година</w:t>
      </w:r>
      <w:r w:rsidR="00CD00DE" w:rsidRPr="00E9271E">
        <w:t xml:space="preserve"> са дадени в следващата таблица:</w:t>
      </w:r>
    </w:p>
    <w:p w:rsidR="00EC0168" w:rsidRPr="00E9271E" w:rsidRDefault="00F40ABC" w:rsidP="00F40ABC">
      <w:pPr>
        <w:spacing w:line="360" w:lineRule="auto"/>
        <w:ind w:left="4956" w:firstLine="708"/>
        <w:jc w:val="center"/>
        <w:rPr>
          <w:i/>
          <w:sz w:val="18"/>
          <w:szCs w:val="18"/>
        </w:rPr>
      </w:pPr>
      <w:r w:rsidRPr="00E9271E">
        <w:rPr>
          <w:i/>
          <w:sz w:val="18"/>
          <w:szCs w:val="18"/>
          <w:lang w:val="en-US"/>
        </w:rPr>
        <w:t xml:space="preserve">       </w:t>
      </w:r>
      <w:r w:rsidR="00EC0168" w:rsidRPr="00E9271E">
        <w:rPr>
          <w:i/>
          <w:sz w:val="18"/>
          <w:szCs w:val="18"/>
        </w:rPr>
        <w:t>Всички суми са в хиляди лева</w:t>
      </w:r>
    </w:p>
    <w:tbl>
      <w:tblPr>
        <w:tblW w:w="4905" w:type="pct"/>
        <w:jc w:val="center"/>
        <w:tblInd w:w="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57"/>
        <w:gridCol w:w="2052"/>
        <w:gridCol w:w="1903"/>
      </w:tblGrid>
      <w:tr w:rsidR="00AD2106" w:rsidRPr="00E9271E" w:rsidTr="00E2391A">
        <w:trPr>
          <w:jc w:val="center"/>
        </w:trPr>
        <w:tc>
          <w:tcPr>
            <w:tcW w:w="2830" w:type="pct"/>
          </w:tcPr>
          <w:p w:rsidR="00AD2106" w:rsidRPr="00E9271E" w:rsidRDefault="00AD2106" w:rsidP="00F60F1C">
            <w:pPr>
              <w:spacing w:line="360" w:lineRule="auto"/>
              <w:rPr>
                <w:sz w:val="22"/>
                <w:szCs w:val="22"/>
              </w:rPr>
            </w:pPr>
            <w:r w:rsidRPr="00E9271E">
              <w:rPr>
                <w:sz w:val="22"/>
                <w:szCs w:val="22"/>
              </w:rPr>
              <w:t>Година/период</w:t>
            </w:r>
          </w:p>
        </w:tc>
        <w:tc>
          <w:tcPr>
            <w:tcW w:w="1126" w:type="pct"/>
          </w:tcPr>
          <w:p w:rsidR="00AD2106" w:rsidRPr="00E9271E" w:rsidRDefault="00437EC0" w:rsidP="00F60F1C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E9271E">
              <w:rPr>
                <w:sz w:val="22"/>
                <w:szCs w:val="22"/>
                <w:lang w:val="en-US"/>
              </w:rPr>
              <w:t>31.03.</w:t>
            </w:r>
            <w:r w:rsidRPr="00E9271E">
              <w:rPr>
                <w:sz w:val="22"/>
                <w:szCs w:val="22"/>
              </w:rPr>
              <w:t>201</w:t>
            </w:r>
            <w:r w:rsidRPr="00E9271E">
              <w:rPr>
                <w:sz w:val="22"/>
                <w:szCs w:val="22"/>
                <w:lang w:val="en-US"/>
              </w:rPr>
              <w:t>5</w:t>
            </w:r>
            <w:r w:rsidR="00026D4B" w:rsidRPr="00E9271E">
              <w:rPr>
                <w:sz w:val="22"/>
                <w:szCs w:val="22"/>
                <w:lang w:val="en-US"/>
              </w:rPr>
              <w:t xml:space="preserve"> </w:t>
            </w:r>
            <w:r w:rsidR="00026D4B" w:rsidRPr="00E9271E">
              <w:rPr>
                <w:sz w:val="22"/>
                <w:szCs w:val="22"/>
              </w:rPr>
              <w:t>г.</w:t>
            </w:r>
          </w:p>
        </w:tc>
        <w:tc>
          <w:tcPr>
            <w:tcW w:w="1044" w:type="pct"/>
          </w:tcPr>
          <w:p w:rsidR="00AD2106" w:rsidRPr="00E9271E" w:rsidRDefault="00437EC0" w:rsidP="00F60F1C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E9271E">
              <w:rPr>
                <w:sz w:val="22"/>
                <w:szCs w:val="22"/>
              </w:rPr>
              <w:t>201</w:t>
            </w:r>
            <w:r w:rsidRPr="00E9271E">
              <w:rPr>
                <w:sz w:val="22"/>
                <w:szCs w:val="22"/>
                <w:lang w:val="en-US"/>
              </w:rPr>
              <w:t>4</w:t>
            </w:r>
            <w:r w:rsidR="00AD2106" w:rsidRPr="00E9271E">
              <w:rPr>
                <w:sz w:val="22"/>
                <w:szCs w:val="22"/>
              </w:rPr>
              <w:t xml:space="preserve"> г.</w:t>
            </w:r>
          </w:p>
        </w:tc>
      </w:tr>
      <w:tr w:rsidR="00AD2106" w:rsidRPr="00E9271E" w:rsidTr="00E2391A">
        <w:trPr>
          <w:jc w:val="center"/>
        </w:trPr>
        <w:tc>
          <w:tcPr>
            <w:tcW w:w="2830" w:type="pct"/>
          </w:tcPr>
          <w:p w:rsidR="00AD2106" w:rsidRPr="00E9271E" w:rsidRDefault="00AD2106" w:rsidP="00F60F1C">
            <w:pPr>
              <w:spacing w:line="360" w:lineRule="auto"/>
              <w:rPr>
                <w:sz w:val="22"/>
                <w:szCs w:val="22"/>
              </w:rPr>
            </w:pPr>
            <w:r w:rsidRPr="00E9271E">
              <w:rPr>
                <w:sz w:val="22"/>
                <w:szCs w:val="22"/>
              </w:rPr>
              <w:t xml:space="preserve"> Печалба след данъци</w:t>
            </w:r>
          </w:p>
        </w:tc>
        <w:tc>
          <w:tcPr>
            <w:tcW w:w="1126" w:type="pct"/>
          </w:tcPr>
          <w:p w:rsidR="00AD2106" w:rsidRPr="00E9271E" w:rsidRDefault="00437EC0" w:rsidP="00F60F1C">
            <w:pPr>
              <w:spacing w:line="360" w:lineRule="auto"/>
              <w:jc w:val="center"/>
              <w:rPr>
                <w:sz w:val="22"/>
                <w:szCs w:val="22"/>
                <w:lang w:val="en-US"/>
              </w:rPr>
            </w:pPr>
            <w:r w:rsidRPr="00E9271E">
              <w:rPr>
                <w:sz w:val="22"/>
                <w:szCs w:val="22"/>
                <w:lang w:val="en-US"/>
              </w:rPr>
              <w:t>643</w:t>
            </w:r>
          </w:p>
        </w:tc>
        <w:tc>
          <w:tcPr>
            <w:tcW w:w="1044" w:type="pct"/>
          </w:tcPr>
          <w:p w:rsidR="00AD2106" w:rsidRPr="00E9271E" w:rsidRDefault="00437EC0" w:rsidP="00F60F1C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E9271E">
              <w:rPr>
                <w:sz w:val="22"/>
                <w:szCs w:val="22"/>
              </w:rPr>
              <w:t>2,</w:t>
            </w:r>
            <w:r w:rsidRPr="00E9271E">
              <w:rPr>
                <w:sz w:val="22"/>
                <w:szCs w:val="22"/>
                <w:lang w:val="en-US"/>
              </w:rPr>
              <w:t>508</w:t>
            </w:r>
          </w:p>
        </w:tc>
      </w:tr>
    </w:tbl>
    <w:p w:rsidR="00EC0168" w:rsidRPr="00E9271E" w:rsidRDefault="00EC0168" w:rsidP="00F60F1C">
      <w:pPr>
        <w:spacing w:line="360" w:lineRule="auto"/>
        <w:ind w:firstLine="709"/>
        <w:jc w:val="both"/>
        <w:rPr>
          <w:lang w:val="en-US"/>
        </w:rPr>
      </w:pPr>
    </w:p>
    <w:p w:rsidR="00D44DA0" w:rsidRPr="00E9271E" w:rsidRDefault="00D44DA0" w:rsidP="00F60F1C">
      <w:pPr>
        <w:spacing w:line="360" w:lineRule="auto"/>
        <w:ind w:right="-37" w:firstLine="709"/>
        <w:jc w:val="both"/>
        <w:rPr>
          <w:b/>
        </w:rPr>
      </w:pPr>
      <w:r w:rsidRPr="00E9271E">
        <w:rPr>
          <w:b/>
        </w:rPr>
        <w:t>Пасиви</w:t>
      </w:r>
    </w:p>
    <w:p w:rsidR="004B040F" w:rsidRPr="00E9271E" w:rsidRDefault="004B040F" w:rsidP="00F60F1C">
      <w:pPr>
        <w:spacing w:line="360" w:lineRule="auto"/>
        <w:ind w:firstLine="709"/>
        <w:jc w:val="both"/>
      </w:pPr>
    </w:p>
    <w:p w:rsidR="00D44DA0" w:rsidRPr="00E9271E" w:rsidRDefault="00D44DA0" w:rsidP="00F60F1C">
      <w:pPr>
        <w:spacing w:line="360" w:lineRule="auto"/>
        <w:ind w:firstLine="709"/>
        <w:jc w:val="both"/>
      </w:pPr>
      <w:r w:rsidRPr="00E9271E">
        <w:t>Балансовите стойно</w:t>
      </w:r>
      <w:r w:rsidR="005851AC" w:rsidRPr="00E9271E">
        <w:t>сти на пасивите за</w:t>
      </w:r>
      <w:r w:rsidR="00C57D8E" w:rsidRPr="00E9271E">
        <w:t xml:space="preserve"> първо тримесечие на 2015</w:t>
      </w:r>
      <w:r w:rsidR="00DA79D0" w:rsidRPr="00E9271E">
        <w:t xml:space="preserve"> година и</w:t>
      </w:r>
      <w:r w:rsidR="00592899" w:rsidRPr="00E9271E">
        <w:t xml:space="preserve"> </w:t>
      </w:r>
      <w:r w:rsidR="00C57D8E" w:rsidRPr="00E9271E">
        <w:t>2014</w:t>
      </w:r>
      <w:r w:rsidR="00F9514E" w:rsidRPr="00E9271E">
        <w:t xml:space="preserve"> </w:t>
      </w:r>
      <w:r w:rsidR="005851AC" w:rsidRPr="00E9271E">
        <w:t xml:space="preserve"> </w:t>
      </w:r>
      <w:r w:rsidR="00F9514E" w:rsidRPr="00E9271E">
        <w:t>година</w:t>
      </w:r>
      <w:r w:rsidRPr="00E9271E">
        <w:t xml:space="preserve"> са дадени в следващата таблица:</w:t>
      </w:r>
    </w:p>
    <w:p w:rsidR="00F448B2" w:rsidRPr="00E9271E" w:rsidRDefault="00F448B2" w:rsidP="00F60F1C">
      <w:pPr>
        <w:spacing w:line="360" w:lineRule="auto"/>
        <w:jc w:val="right"/>
        <w:rPr>
          <w:b/>
          <w:i/>
          <w:sz w:val="22"/>
          <w:szCs w:val="22"/>
        </w:rPr>
      </w:pPr>
      <w:r w:rsidRPr="00E9271E">
        <w:rPr>
          <w:b/>
          <w:i/>
          <w:sz w:val="22"/>
          <w:szCs w:val="22"/>
        </w:rPr>
        <w:t xml:space="preserve"> </w:t>
      </w:r>
      <w:r w:rsidR="00D44DA0" w:rsidRPr="00E9271E">
        <w:rPr>
          <w:b/>
          <w:i/>
          <w:sz w:val="22"/>
          <w:szCs w:val="22"/>
        </w:rPr>
        <w:tab/>
      </w:r>
      <w:r w:rsidR="00D44DA0" w:rsidRPr="00E9271E">
        <w:rPr>
          <w:b/>
          <w:i/>
          <w:sz w:val="22"/>
          <w:szCs w:val="22"/>
        </w:rPr>
        <w:tab/>
      </w:r>
      <w:r w:rsidR="00D44DA0" w:rsidRPr="00E9271E">
        <w:rPr>
          <w:b/>
          <w:i/>
          <w:sz w:val="22"/>
          <w:szCs w:val="22"/>
        </w:rPr>
        <w:tab/>
      </w:r>
      <w:r w:rsidR="00D44DA0" w:rsidRPr="00E9271E">
        <w:rPr>
          <w:b/>
          <w:i/>
          <w:sz w:val="22"/>
          <w:szCs w:val="22"/>
        </w:rPr>
        <w:tab/>
      </w:r>
      <w:r w:rsidR="00D44DA0" w:rsidRPr="00E9271E">
        <w:rPr>
          <w:b/>
          <w:i/>
          <w:sz w:val="22"/>
          <w:szCs w:val="22"/>
        </w:rPr>
        <w:tab/>
      </w:r>
      <w:r w:rsidR="00D44DA0" w:rsidRPr="00E9271E">
        <w:rPr>
          <w:b/>
          <w:i/>
          <w:sz w:val="22"/>
          <w:szCs w:val="22"/>
        </w:rPr>
        <w:tab/>
      </w:r>
      <w:r w:rsidRPr="00E9271E">
        <w:rPr>
          <w:b/>
          <w:i/>
          <w:sz w:val="22"/>
          <w:szCs w:val="22"/>
        </w:rPr>
        <w:t xml:space="preserve"> </w:t>
      </w:r>
      <w:r w:rsidR="00182AD7" w:rsidRPr="00E9271E">
        <w:rPr>
          <w:b/>
          <w:i/>
          <w:sz w:val="22"/>
          <w:szCs w:val="22"/>
        </w:rPr>
        <w:tab/>
      </w:r>
    </w:p>
    <w:p w:rsidR="00D44DA0" w:rsidRPr="00E9271E" w:rsidRDefault="00D44DA0" w:rsidP="00F40ABC">
      <w:pPr>
        <w:spacing w:line="360" w:lineRule="auto"/>
        <w:ind w:left="4956" w:firstLine="708"/>
        <w:jc w:val="center"/>
        <w:rPr>
          <w:i/>
          <w:sz w:val="18"/>
          <w:szCs w:val="18"/>
        </w:rPr>
      </w:pPr>
      <w:r w:rsidRPr="00E9271E">
        <w:rPr>
          <w:i/>
          <w:sz w:val="18"/>
          <w:szCs w:val="18"/>
        </w:rPr>
        <w:t>Всички суми са в хиляди лева</w:t>
      </w:r>
    </w:p>
    <w:tbl>
      <w:tblPr>
        <w:tblW w:w="481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0"/>
        <w:gridCol w:w="3154"/>
        <w:gridCol w:w="1580"/>
      </w:tblGrid>
      <w:tr w:rsidR="007F3BAD" w:rsidRPr="00E2391A" w:rsidTr="00E2391A">
        <w:trPr>
          <w:jc w:val="center"/>
        </w:trPr>
        <w:tc>
          <w:tcPr>
            <w:tcW w:w="2354" w:type="pct"/>
          </w:tcPr>
          <w:p w:rsidR="00AF581D" w:rsidRPr="00E9271E" w:rsidRDefault="00AF581D" w:rsidP="00E2391A">
            <w:pPr>
              <w:spacing w:line="360" w:lineRule="auto"/>
              <w:rPr>
                <w:sz w:val="22"/>
                <w:szCs w:val="22"/>
              </w:rPr>
            </w:pPr>
            <w:r w:rsidRPr="00E9271E">
              <w:rPr>
                <w:sz w:val="22"/>
                <w:szCs w:val="22"/>
              </w:rPr>
              <w:t>Година/период</w:t>
            </w:r>
          </w:p>
        </w:tc>
        <w:tc>
          <w:tcPr>
            <w:tcW w:w="1763" w:type="pct"/>
            <w:vAlign w:val="center"/>
          </w:tcPr>
          <w:p w:rsidR="00AF581D" w:rsidRPr="00E9271E" w:rsidRDefault="007F3BAD" w:rsidP="00E2391A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E2391A">
              <w:rPr>
                <w:sz w:val="22"/>
                <w:szCs w:val="22"/>
              </w:rPr>
              <w:t>31.03</w:t>
            </w:r>
            <w:r w:rsidR="00084978" w:rsidRPr="00E9271E">
              <w:rPr>
                <w:sz w:val="22"/>
                <w:szCs w:val="22"/>
              </w:rPr>
              <w:t>.</w:t>
            </w:r>
            <w:r w:rsidRPr="00E9271E">
              <w:rPr>
                <w:sz w:val="22"/>
                <w:szCs w:val="22"/>
              </w:rPr>
              <w:t>201</w:t>
            </w:r>
            <w:r w:rsidRPr="00E2391A">
              <w:rPr>
                <w:sz w:val="22"/>
                <w:szCs w:val="22"/>
              </w:rPr>
              <w:t>5</w:t>
            </w:r>
            <w:r w:rsidR="00050871" w:rsidRPr="00E9271E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83" w:type="pct"/>
            <w:vAlign w:val="center"/>
          </w:tcPr>
          <w:p w:rsidR="00AF581D" w:rsidRPr="00E9271E" w:rsidRDefault="007F3BAD" w:rsidP="00E2391A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E9271E">
              <w:rPr>
                <w:sz w:val="22"/>
                <w:szCs w:val="22"/>
              </w:rPr>
              <w:t>201</w:t>
            </w:r>
            <w:r w:rsidRPr="00E2391A">
              <w:rPr>
                <w:sz w:val="22"/>
                <w:szCs w:val="22"/>
              </w:rPr>
              <w:t>4</w:t>
            </w:r>
            <w:r w:rsidR="00AF581D" w:rsidRPr="00E9271E">
              <w:rPr>
                <w:sz w:val="22"/>
                <w:szCs w:val="22"/>
              </w:rPr>
              <w:t xml:space="preserve"> г.</w:t>
            </w:r>
          </w:p>
        </w:tc>
      </w:tr>
      <w:tr w:rsidR="007F3BAD" w:rsidRPr="00E2391A" w:rsidTr="00E2391A">
        <w:trPr>
          <w:jc w:val="center"/>
        </w:trPr>
        <w:tc>
          <w:tcPr>
            <w:tcW w:w="2354" w:type="pct"/>
          </w:tcPr>
          <w:p w:rsidR="007F3BAD" w:rsidRPr="00E9271E" w:rsidRDefault="007F3BAD" w:rsidP="00E2391A">
            <w:pPr>
              <w:spacing w:line="360" w:lineRule="auto"/>
              <w:rPr>
                <w:sz w:val="22"/>
                <w:szCs w:val="22"/>
              </w:rPr>
            </w:pPr>
            <w:r w:rsidRPr="00E9271E">
              <w:rPr>
                <w:sz w:val="22"/>
                <w:szCs w:val="22"/>
              </w:rPr>
              <w:t xml:space="preserve">Нетекущи пасиви </w:t>
            </w:r>
          </w:p>
        </w:tc>
        <w:tc>
          <w:tcPr>
            <w:tcW w:w="1763" w:type="pct"/>
            <w:vAlign w:val="center"/>
          </w:tcPr>
          <w:p w:rsidR="007F3BAD" w:rsidRPr="00E2391A" w:rsidRDefault="005F15CC" w:rsidP="00E2391A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E2391A">
              <w:rPr>
                <w:sz w:val="22"/>
                <w:szCs w:val="22"/>
              </w:rPr>
              <w:t>1,610</w:t>
            </w:r>
          </w:p>
        </w:tc>
        <w:tc>
          <w:tcPr>
            <w:tcW w:w="883" w:type="pct"/>
            <w:vAlign w:val="center"/>
          </w:tcPr>
          <w:p w:rsidR="007F3BAD" w:rsidRPr="00E9271E" w:rsidRDefault="007F3BAD" w:rsidP="00E2391A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E9271E">
              <w:rPr>
                <w:sz w:val="22"/>
                <w:szCs w:val="22"/>
              </w:rPr>
              <w:t>1,593</w:t>
            </w:r>
          </w:p>
        </w:tc>
      </w:tr>
      <w:tr w:rsidR="007F3BAD" w:rsidRPr="00E2391A" w:rsidTr="00E2391A">
        <w:trPr>
          <w:jc w:val="center"/>
        </w:trPr>
        <w:tc>
          <w:tcPr>
            <w:tcW w:w="2354" w:type="pct"/>
          </w:tcPr>
          <w:p w:rsidR="007F3BAD" w:rsidRPr="00E9271E" w:rsidRDefault="007F3BAD" w:rsidP="00E2391A">
            <w:pPr>
              <w:spacing w:line="360" w:lineRule="auto"/>
              <w:rPr>
                <w:sz w:val="22"/>
                <w:szCs w:val="22"/>
              </w:rPr>
            </w:pPr>
            <w:r w:rsidRPr="00E9271E">
              <w:rPr>
                <w:sz w:val="22"/>
                <w:szCs w:val="22"/>
              </w:rPr>
              <w:t>Текущи пасиви</w:t>
            </w:r>
          </w:p>
        </w:tc>
        <w:tc>
          <w:tcPr>
            <w:tcW w:w="1763" w:type="pct"/>
            <w:vAlign w:val="center"/>
          </w:tcPr>
          <w:p w:rsidR="007F3BAD" w:rsidRPr="00E2391A" w:rsidRDefault="005F15CC" w:rsidP="00E2391A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E2391A">
              <w:rPr>
                <w:sz w:val="22"/>
                <w:szCs w:val="22"/>
              </w:rPr>
              <w:t>492</w:t>
            </w:r>
          </w:p>
        </w:tc>
        <w:tc>
          <w:tcPr>
            <w:tcW w:w="883" w:type="pct"/>
            <w:vAlign w:val="center"/>
          </w:tcPr>
          <w:p w:rsidR="007F3BAD" w:rsidRPr="00E9271E" w:rsidRDefault="007F3BAD" w:rsidP="00E2391A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E9271E">
              <w:rPr>
                <w:sz w:val="22"/>
                <w:szCs w:val="22"/>
              </w:rPr>
              <w:t>725</w:t>
            </w:r>
          </w:p>
        </w:tc>
      </w:tr>
    </w:tbl>
    <w:p w:rsidR="00DA7F05" w:rsidRPr="00E9271E" w:rsidRDefault="00DA7F05" w:rsidP="00F60F1C">
      <w:pPr>
        <w:spacing w:line="360" w:lineRule="auto"/>
        <w:ind w:firstLine="709"/>
        <w:jc w:val="both"/>
        <w:rPr>
          <w:sz w:val="22"/>
          <w:szCs w:val="22"/>
        </w:rPr>
      </w:pPr>
    </w:p>
    <w:p w:rsidR="00F448B2" w:rsidRPr="00E9271E" w:rsidRDefault="00DB2107" w:rsidP="00F448B2">
      <w:pPr>
        <w:spacing w:line="360" w:lineRule="auto"/>
        <w:ind w:firstLine="709"/>
        <w:jc w:val="both"/>
      </w:pPr>
      <w:r w:rsidRPr="00E9271E">
        <w:lastRenderedPageBreak/>
        <w:t>Има намале</w:t>
      </w:r>
      <w:r w:rsidR="00C327F5" w:rsidRPr="00E9271E">
        <w:t>ние на</w:t>
      </w:r>
      <w:r w:rsidR="00A312FC" w:rsidRPr="00E9271E">
        <w:t xml:space="preserve"> крат</w:t>
      </w:r>
      <w:r w:rsidR="00D90EB6" w:rsidRPr="00E9271E">
        <w:t>косрочните пасиви за</w:t>
      </w:r>
      <w:r w:rsidR="00C327F5" w:rsidRPr="00E9271E">
        <w:t xml:space="preserve"> </w:t>
      </w:r>
      <w:r w:rsidR="00614732" w:rsidRPr="00E9271E">
        <w:t>първо тримесечие на 2015</w:t>
      </w:r>
      <w:r w:rsidR="00C327F5" w:rsidRPr="00E9271E">
        <w:t xml:space="preserve"> </w:t>
      </w:r>
      <w:r w:rsidR="00A312FC" w:rsidRPr="00E9271E">
        <w:t>година спрямо предходната година</w:t>
      </w:r>
      <w:r w:rsidR="00BF07A9" w:rsidRPr="00E9271E">
        <w:t>.</w:t>
      </w:r>
      <w:r w:rsidR="00F448B2" w:rsidRPr="00E9271E">
        <w:t xml:space="preserve"> Промяната на краткосрочните пасиви е в резултат </w:t>
      </w:r>
      <w:r w:rsidR="00084978" w:rsidRPr="00E9271E">
        <w:t xml:space="preserve">основно </w:t>
      </w:r>
      <w:r w:rsidR="00F448B2" w:rsidRPr="00E9271E">
        <w:t xml:space="preserve">на намаляване на задължението </w:t>
      </w:r>
      <w:r w:rsidR="00084978" w:rsidRPr="00E9271E">
        <w:t>за данъци</w:t>
      </w:r>
      <w:r w:rsidR="00614732" w:rsidRPr="00E9271E">
        <w:t>.</w:t>
      </w:r>
    </w:p>
    <w:p w:rsidR="00F60F1C" w:rsidRPr="00E9271E" w:rsidRDefault="00BF07A9" w:rsidP="00F60F1C">
      <w:pPr>
        <w:spacing w:line="360" w:lineRule="auto"/>
        <w:ind w:firstLine="709"/>
        <w:jc w:val="both"/>
        <w:rPr>
          <w:b/>
        </w:rPr>
      </w:pPr>
      <w:r w:rsidRPr="00E9271E">
        <w:t xml:space="preserve"> </w:t>
      </w:r>
      <w:r w:rsidR="00865425" w:rsidRPr="00E9271E">
        <w:t>Незначителна е п</w:t>
      </w:r>
      <w:r w:rsidRPr="00E9271E">
        <w:t>ромяната на дългосрочнит</w:t>
      </w:r>
      <w:r w:rsidR="00C327F5" w:rsidRPr="00E9271E">
        <w:t xml:space="preserve">е пасиви </w:t>
      </w:r>
      <w:r w:rsidR="00865425" w:rsidRPr="00E9271E">
        <w:t>спрямо предходната година</w:t>
      </w:r>
      <w:r w:rsidR="00507327" w:rsidRPr="00E9271E">
        <w:t xml:space="preserve">. </w:t>
      </w:r>
    </w:p>
    <w:p w:rsidR="00F074A3" w:rsidRPr="00E9271E" w:rsidRDefault="007A67FD" w:rsidP="00F60F1C">
      <w:pPr>
        <w:spacing w:line="360" w:lineRule="auto"/>
        <w:ind w:firstLine="709"/>
        <w:jc w:val="both"/>
        <w:rPr>
          <w:b/>
        </w:rPr>
      </w:pPr>
      <w:r w:rsidRPr="00E9271E">
        <w:rPr>
          <w:b/>
        </w:rPr>
        <w:t>Активи</w:t>
      </w:r>
    </w:p>
    <w:p w:rsidR="007A67FD" w:rsidRPr="00E9271E" w:rsidRDefault="007A67FD" w:rsidP="00F60F1C">
      <w:pPr>
        <w:spacing w:line="360" w:lineRule="auto"/>
        <w:ind w:firstLine="708"/>
        <w:jc w:val="both"/>
      </w:pPr>
      <w:r w:rsidRPr="00E9271E">
        <w:t>Балансовите стойности на активите</w:t>
      </w:r>
      <w:r w:rsidR="00EC7922" w:rsidRPr="00E9271E">
        <w:t xml:space="preserve"> </w:t>
      </w:r>
      <w:r w:rsidR="00E019A6" w:rsidRPr="00E9271E">
        <w:t>към 31.03</w:t>
      </w:r>
      <w:r w:rsidR="00DD491A" w:rsidRPr="00E9271E">
        <w:t>.</w:t>
      </w:r>
      <w:r w:rsidR="00E019A6" w:rsidRPr="00E9271E">
        <w:t>2015</w:t>
      </w:r>
      <w:r w:rsidR="00111B5F" w:rsidRPr="00E9271E">
        <w:t xml:space="preserve"> година </w:t>
      </w:r>
      <w:r w:rsidR="000E26E8" w:rsidRPr="00E9271E">
        <w:t xml:space="preserve"> и </w:t>
      </w:r>
      <w:r w:rsidR="007379D3" w:rsidRPr="00E9271E">
        <w:t>31.12.</w:t>
      </w:r>
      <w:r w:rsidR="00E019A6" w:rsidRPr="00E9271E">
        <w:t>2014</w:t>
      </w:r>
      <w:r w:rsidR="000E26E8" w:rsidRPr="00E9271E">
        <w:t xml:space="preserve"> </w:t>
      </w:r>
      <w:r w:rsidR="007379D3" w:rsidRPr="00E9271E">
        <w:t>година</w:t>
      </w:r>
      <w:r w:rsidRPr="00E9271E">
        <w:t xml:space="preserve"> са дадени в следващата таблица:</w:t>
      </w:r>
    </w:p>
    <w:p w:rsidR="008339D9" w:rsidRPr="00E9271E" w:rsidRDefault="006700B4" w:rsidP="00F40ABC">
      <w:pPr>
        <w:spacing w:line="360" w:lineRule="auto"/>
        <w:ind w:left="4956" w:firstLine="708"/>
        <w:jc w:val="center"/>
        <w:rPr>
          <w:i/>
          <w:sz w:val="18"/>
          <w:szCs w:val="18"/>
        </w:rPr>
      </w:pPr>
      <w:r w:rsidRPr="00E9271E">
        <w:rPr>
          <w:i/>
          <w:sz w:val="18"/>
          <w:szCs w:val="18"/>
        </w:rPr>
        <w:t>Всички суми</w:t>
      </w:r>
      <w:r w:rsidR="008339D9" w:rsidRPr="00E9271E">
        <w:rPr>
          <w:i/>
          <w:sz w:val="18"/>
          <w:szCs w:val="18"/>
        </w:rPr>
        <w:t xml:space="preserve"> са в хиляди лева</w:t>
      </w:r>
    </w:p>
    <w:tbl>
      <w:tblPr>
        <w:tblW w:w="4942" w:type="pct"/>
        <w:jc w:val="center"/>
        <w:tblInd w:w="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8"/>
        <w:gridCol w:w="2060"/>
        <w:gridCol w:w="1952"/>
      </w:tblGrid>
      <w:tr w:rsidR="00AA5CB3" w:rsidRPr="00E9271E" w:rsidTr="00E2391A">
        <w:trPr>
          <w:jc w:val="center"/>
        </w:trPr>
        <w:tc>
          <w:tcPr>
            <w:tcW w:w="2815" w:type="pct"/>
          </w:tcPr>
          <w:p w:rsidR="00AA5CB3" w:rsidRPr="00E9271E" w:rsidRDefault="00AA5CB3" w:rsidP="00F60F1C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E9271E">
              <w:rPr>
                <w:sz w:val="22"/>
                <w:szCs w:val="22"/>
              </w:rPr>
              <w:t>Година/период</w:t>
            </w:r>
          </w:p>
        </w:tc>
        <w:tc>
          <w:tcPr>
            <w:tcW w:w="1122" w:type="pct"/>
            <w:vAlign w:val="center"/>
          </w:tcPr>
          <w:p w:rsidR="00AA5CB3" w:rsidRPr="00E9271E" w:rsidRDefault="00717C17" w:rsidP="004C2340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E9271E">
              <w:rPr>
                <w:sz w:val="22"/>
                <w:szCs w:val="22"/>
                <w:lang w:val="en-US"/>
              </w:rPr>
              <w:t>31.03</w:t>
            </w:r>
            <w:r w:rsidR="00BA7330" w:rsidRPr="00E9271E">
              <w:rPr>
                <w:sz w:val="22"/>
                <w:szCs w:val="22"/>
                <w:lang w:val="en-US"/>
              </w:rPr>
              <w:t>.</w:t>
            </w:r>
            <w:r w:rsidR="00BA7330" w:rsidRPr="00E9271E">
              <w:rPr>
                <w:sz w:val="22"/>
                <w:szCs w:val="22"/>
              </w:rPr>
              <w:t>201</w:t>
            </w:r>
            <w:r w:rsidR="00BA7330" w:rsidRPr="00E9271E">
              <w:rPr>
                <w:sz w:val="22"/>
                <w:szCs w:val="22"/>
                <w:lang w:val="en-US"/>
              </w:rPr>
              <w:t>5</w:t>
            </w:r>
            <w:r w:rsidR="00E33003" w:rsidRPr="00E9271E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63" w:type="pct"/>
            <w:vAlign w:val="center"/>
          </w:tcPr>
          <w:p w:rsidR="00AA5CB3" w:rsidRPr="00E9271E" w:rsidRDefault="00BA7330" w:rsidP="004C2340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E9271E">
              <w:rPr>
                <w:sz w:val="22"/>
                <w:szCs w:val="22"/>
              </w:rPr>
              <w:t>201</w:t>
            </w:r>
            <w:r w:rsidRPr="00E9271E">
              <w:rPr>
                <w:sz w:val="22"/>
                <w:szCs w:val="22"/>
                <w:lang w:val="en-US"/>
              </w:rPr>
              <w:t>4</w:t>
            </w:r>
            <w:r w:rsidR="00AA5CB3" w:rsidRPr="00E9271E">
              <w:rPr>
                <w:sz w:val="22"/>
                <w:szCs w:val="22"/>
              </w:rPr>
              <w:t xml:space="preserve"> г.</w:t>
            </w:r>
          </w:p>
        </w:tc>
      </w:tr>
      <w:tr w:rsidR="00AA5CB3" w:rsidRPr="00E9271E" w:rsidTr="00E2391A">
        <w:trPr>
          <w:jc w:val="center"/>
        </w:trPr>
        <w:tc>
          <w:tcPr>
            <w:tcW w:w="2815" w:type="pct"/>
          </w:tcPr>
          <w:p w:rsidR="00AA5CB3" w:rsidRPr="00E9271E" w:rsidRDefault="00AA5CB3" w:rsidP="00F60F1C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E9271E">
              <w:rPr>
                <w:sz w:val="22"/>
                <w:szCs w:val="22"/>
              </w:rPr>
              <w:t xml:space="preserve">Нетекущи активи </w:t>
            </w:r>
          </w:p>
        </w:tc>
        <w:tc>
          <w:tcPr>
            <w:tcW w:w="1122" w:type="pct"/>
            <w:vAlign w:val="center"/>
          </w:tcPr>
          <w:p w:rsidR="00AA5CB3" w:rsidRPr="00E9271E" w:rsidRDefault="005F15CC" w:rsidP="004C2340">
            <w:pPr>
              <w:spacing w:line="360" w:lineRule="auto"/>
              <w:jc w:val="center"/>
              <w:rPr>
                <w:sz w:val="22"/>
                <w:szCs w:val="22"/>
                <w:lang w:val="en-US"/>
              </w:rPr>
            </w:pPr>
            <w:r w:rsidRPr="00E9271E">
              <w:rPr>
                <w:sz w:val="22"/>
                <w:szCs w:val="22"/>
                <w:lang w:val="en-US"/>
              </w:rPr>
              <w:t>65,818</w:t>
            </w:r>
          </w:p>
        </w:tc>
        <w:tc>
          <w:tcPr>
            <w:tcW w:w="1063" w:type="pct"/>
            <w:vAlign w:val="center"/>
          </w:tcPr>
          <w:p w:rsidR="00AA5CB3" w:rsidRPr="00E9271E" w:rsidRDefault="00BA7330" w:rsidP="004C2340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E9271E">
              <w:rPr>
                <w:sz w:val="22"/>
                <w:szCs w:val="22"/>
              </w:rPr>
              <w:t>66,148</w:t>
            </w:r>
          </w:p>
        </w:tc>
      </w:tr>
      <w:tr w:rsidR="00AA5CB3" w:rsidRPr="00E9271E" w:rsidTr="00E2391A">
        <w:trPr>
          <w:jc w:val="center"/>
        </w:trPr>
        <w:tc>
          <w:tcPr>
            <w:tcW w:w="2815" w:type="pct"/>
          </w:tcPr>
          <w:p w:rsidR="00AA5CB3" w:rsidRPr="00E9271E" w:rsidRDefault="00AA5CB3" w:rsidP="00F60F1C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E9271E">
              <w:rPr>
                <w:sz w:val="22"/>
                <w:szCs w:val="22"/>
              </w:rPr>
              <w:t>Текущи активи</w:t>
            </w:r>
          </w:p>
        </w:tc>
        <w:tc>
          <w:tcPr>
            <w:tcW w:w="1122" w:type="pct"/>
            <w:vAlign w:val="center"/>
          </w:tcPr>
          <w:p w:rsidR="00AA5CB3" w:rsidRPr="00E9271E" w:rsidRDefault="005F15CC" w:rsidP="005F15CC">
            <w:pPr>
              <w:spacing w:line="360" w:lineRule="auto"/>
              <w:jc w:val="center"/>
              <w:rPr>
                <w:sz w:val="22"/>
                <w:szCs w:val="22"/>
                <w:lang w:val="en-US"/>
              </w:rPr>
            </w:pPr>
            <w:r w:rsidRPr="00E9271E">
              <w:rPr>
                <w:sz w:val="22"/>
                <w:szCs w:val="22"/>
              </w:rPr>
              <w:t>1</w:t>
            </w:r>
            <w:r w:rsidRPr="00E9271E">
              <w:rPr>
                <w:sz w:val="22"/>
                <w:szCs w:val="22"/>
                <w:lang w:val="en-US"/>
              </w:rPr>
              <w:t>5</w:t>
            </w:r>
            <w:r w:rsidRPr="00E9271E">
              <w:rPr>
                <w:sz w:val="22"/>
                <w:szCs w:val="22"/>
              </w:rPr>
              <w:t>,</w:t>
            </w:r>
            <w:r w:rsidRPr="00E9271E">
              <w:rPr>
                <w:sz w:val="22"/>
                <w:szCs w:val="22"/>
                <w:lang w:val="en-US"/>
              </w:rPr>
              <w:t>001</w:t>
            </w:r>
          </w:p>
        </w:tc>
        <w:tc>
          <w:tcPr>
            <w:tcW w:w="1063" w:type="pct"/>
            <w:vAlign w:val="center"/>
          </w:tcPr>
          <w:p w:rsidR="00AA5CB3" w:rsidRPr="00E9271E" w:rsidRDefault="00BA7330" w:rsidP="004C2340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E9271E">
              <w:rPr>
                <w:sz w:val="22"/>
                <w:szCs w:val="22"/>
              </w:rPr>
              <w:t>14,244</w:t>
            </w:r>
          </w:p>
        </w:tc>
      </w:tr>
    </w:tbl>
    <w:p w:rsidR="00816618" w:rsidRPr="00E9271E" w:rsidRDefault="00F448B2" w:rsidP="00F60F1C">
      <w:pPr>
        <w:spacing w:line="360" w:lineRule="auto"/>
        <w:ind w:firstLine="708"/>
        <w:jc w:val="both"/>
        <w:rPr>
          <w:sz w:val="22"/>
          <w:szCs w:val="22"/>
        </w:rPr>
      </w:pPr>
      <w:r w:rsidRPr="00E9271E">
        <w:rPr>
          <w:sz w:val="22"/>
          <w:szCs w:val="22"/>
        </w:rPr>
        <w:t xml:space="preserve"> </w:t>
      </w:r>
    </w:p>
    <w:p w:rsidR="00143936" w:rsidRPr="00E9271E" w:rsidRDefault="00842210" w:rsidP="001E778A">
      <w:pPr>
        <w:spacing w:line="360" w:lineRule="auto"/>
        <w:ind w:firstLine="708"/>
        <w:jc w:val="both"/>
      </w:pPr>
      <w:r w:rsidRPr="00E9271E">
        <w:t>Намалението</w:t>
      </w:r>
      <w:r w:rsidR="00B952F9" w:rsidRPr="00E9271E">
        <w:t xml:space="preserve"> на </w:t>
      </w:r>
      <w:r w:rsidR="00994FB6" w:rsidRPr="00E9271E">
        <w:t>нетекущите</w:t>
      </w:r>
      <w:r w:rsidR="00B952F9" w:rsidRPr="00E9271E">
        <w:t xml:space="preserve"> активи</w:t>
      </w:r>
      <w:r w:rsidR="006D3E62" w:rsidRPr="00E9271E">
        <w:t xml:space="preserve"> през </w:t>
      </w:r>
      <w:r w:rsidR="001839DC" w:rsidRPr="00E9271E">
        <w:t>първо тримесечие на</w:t>
      </w:r>
      <w:r w:rsidR="001E7ECB" w:rsidRPr="00E9271E">
        <w:t xml:space="preserve"> </w:t>
      </w:r>
      <w:r w:rsidR="006D3E62" w:rsidRPr="00E9271E">
        <w:t>201</w:t>
      </w:r>
      <w:r w:rsidR="001839DC" w:rsidRPr="00E9271E">
        <w:t>5</w:t>
      </w:r>
      <w:r w:rsidR="006D3E62" w:rsidRPr="00E9271E">
        <w:t xml:space="preserve"> година</w:t>
      </w:r>
      <w:r w:rsidR="00AE2FA7" w:rsidRPr="00E9271E">
        <w:t xml:space="preserve"> е </w:t>
      </w:r>
      <w:r w:rsidR="0062024E" w:rsidRPr="00E9271E">
        <w:t>в резултат начислени</w:t>
      </w:r>
      <w:r w:rsidR="00AE2FA7" w:rsidRPr="00E9271E">
        <w:t>те амортизации</w:t>
      </w:r>
      <w:r w:rsidR="00AA18D5" w:rsidRPr="00E9271E">
        <w:t xml:space="preserve"> за </w:t>
      </w:r>
      <w:r w:rsidR="001839DC" w:rsidRPr="00E9271E">
        <w:t>тримесечието на 2015</w:t>
      </w:r>
      <w:r w:rsidR="00B17A51" w:rsidRPr="00E9271E">
        <w:t xml:space="preserve"> година</w:t>
      </w:r>
      <w:r w:rsidR="00FE2D62" w:rsidRPr="00E9271E">
        <w:t>.</w:t>
      </w:r>
      <w:r w:rsidR="00816618" w:rsidRPr="00E9271E">
        <w:t xml:space="preserve"> </w:t>
      </w:r>
    </w:p>
    <w:p w:rsidR="00B17A51" w:rsidRPr="00E9271E" w:rsidRDefault="001E778A" w:rsidP="00B17A51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bCs/>
        </w:rPr>
      </w:pPr>
      <w:r w:rsidRPr="00E9271E">
        <w:t xml:space="preserve">Промяната в текущите активи </w:t>
      </w:r>
      <w:r w:rsidR="00D84961" w:rsidRPr="00E9271E">
        <w:t>към 31.03.2015</w:t>
      </w:r>
      <w:r w:rsidR="00326786" w:rsidRPr="00E9271E">
        <w:t xml:space="preserve"> г. спря</w:t>
      </w:r>
      <w:r w:rsidR="00D84961" w:rsidRPr="00E9271E">
        <w:t>мо 31.12.2014</w:t>
      </w:r>
      <w:r w:rsidR="00F448B2" w:rsidRPr="00E9271E">
        <w:t xml:space="preserve"> г. се дължи на</w:t>
      </w:r>
      <w:r w:rsidR="00365F9F" w:rsidRPr="00E9271E">
        <w:t xml:space="preserve"> увеличение</w:t>
      </w:r>
      <w:r w:rsidRPr="00E9271E">
        <w:t xml:space="preserve"> на парич</w:t>
      </w:r>
      <w:r w:rsidR="009C0C21" w:rsidRPr="00E9271E">
        <w:t>ните средства</w:t>
      </w:r>
      <w:r w:rsidR="00F56F9A">
        <w:t>.</w:t>
      </w:r>
    </w:p>
    <w:p w:rsidR="00886248" w:rsidRPr="00F56F9A" w:rsidRDefault="00886248" w:rsidP="00143936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color w:val="FF0000"/>
        </w:rPr>
      </w:pPr>
      <w:r w:rsidRPr="00F56F9A">
        <w:rPr>
          <w:color w:val="FF0000"/>
        </w:rPr>
        <w:t xml:space="preserve">Дружеството извърши в края на 2013 г. процедура по реда чл. 13 </w:t>
      </w:r>
      <w:r w:rsidRPr="00F56F9A">
        <w:rPr>
          <w:b/>
          <w:color w:val="FF0000"/>
        </w:rPr>
        <w:t>б</w:t>
      </w:r>
      <w:r w:rsidRPr="00F56F9A">
        <w:rPr>
          <w:color w:val="FF0000"/>
        </w:rPr>
        <w:t xml:space="preserve"> от Правилника за реда за упражняване правата на държавата в търговските дружества с държавно участие в капитала за избор на изпълнители за предоставяне на финансови услуги от кредитни или финансови институции, съгласно изискванията на Постановление №127/27.05.2013 г. на Министерски съвет. Финансовите средства бяха разпределени в </w:t>
      </w:r>
      <w:r w:rsidR="00F448B2" w:rsidRPr="00F56F9A">
        <w:rPr>
          <w:color w:val="FF0000"/>
        </w:rPr>
        <w:t>пет</w:t>
      </w:r>
      <w:r w:rsidRPr="00F56F9A">
        <w:rPr>
          <w:color w:val="FF0000"/>
        </w:rPr>
        <w:t xml:space="preserve"> банки.</w:t>
      </w:r>
    </w:p>
    <w:p w:rsidR="001818E2" w:rsidRPr="00E9271E" w:rsidRDefault="001818E2" w:rsidP="001818E2">
      <w:pPr>
        <w:widowControl w:val="0"/>
        <w:spacing w:line="360" w:lineRule="auto"/>
        <w:ind w:firstLine="708"/>
        <w:jc w:val="both"/>
      </w:pPr>
      <w:r w:rsidRPr="00E9271E">
        <w:t>Отчита се значително намаление на приходите от лихви при запазване на размера на депозитите и на банковите институции</w:t>
      </w:r>
      <w:r w:rsidR="00F56F9A">
        <w:t>,</w:t>
      </w:r>
      <w:r w:rsidRPr="00E9271E">
        <w:t xml:space="preserve"> в които е извършен депозита. Причина за намаляване на приходите от лихви е намаляването на лихвени</w:t>
      </w:r>
      <w:r w:rsidR="00F56F9A">
        <w:t>те</w:t>
      </w:r>
      <w:r w:rsidRPr="00E9271E">
        <w:t xml:space="preserve"> процент</w:t>
      </w:r>
      <w:r w:rsidR="00F56F9A">
        <w:t>и</w:t>
      </w:r>
      <w:r w:rsidRPr="00E9271E">
        <w:t xml:space="preserve"> по депозити във водещите български банки</w:t>
      </w:r>
      <w:r w:rsidR="00F56F9A">
        <w:t>.</w:t>
      </w:r>
    </w:p>
    <w:p w:rsidR="00143936" w:rsidRPr="00E9271E" w:rsidRDefault="00143936" w:rsidP="00F60F1C">
      <w:pPr>
        <w:spacing w:line="360" w:lineRule="auto"/>
        <w:ind w:firstLine="708"/>
        <w:jc w:val="both"/>
      </w:pPr>
    </w:p>
    <w:p w:rsidR="00A614D7" w:rsidRPr="00E9271E" w:rsidRDefault="00A614D7" w:rsidP="00F60F1C">
      <w:pPr>
        <w:spacing w:line="360" w:lineRule="auto"/>
        <w:ind w:right="-37" w:firstLine="709"/>
        <w:jc w:val="both"/>
        <w:rPr>
          <w:b/>
        </w:rPr>
      </w:pPr>
      <w:r w:rsidRPr="00E9271E">
        <w:rPr>
          <w:b/>
        </w:rPr>
        <w:t>Капитал</w:t>
      </w:r>
    </w:p>
    <w:p w:rsidR="00F074A3" w:rsidRPr="00E9271E" w:rsidRDefault="00F074A3" w:rsidP="00F60F1C">
      <w:pPr>
        <w:spacing w:line="360" w:lineRule="auto"/>
        <w:ind w:right="-37" w:firstLine="709"/>
        <w:jc w:val="both"/>
        <w:rPr>
          <w:b/>
        </w:rPr>
      </w:pPr>
    </w:p>
    <w:p w:rsidR="00A614D7" w:rsidRPr="00E9271E" w:rsidRDefault="00EF1E9F" w:rsidP="00F60F1C">
      <w:pPr>
        <w:spacing w:line="360" w:lineRule="auto"/>
        <w:ind w:right="-37" w:firstLine="709"/>
        <w:jc w:val="both"/>
      </w:pPr>
      <w:r w:rsidRPr="00E9271E">
        <w:t>Основният к</w:t>
      </w:r>
      <w:r w:rsidR="008339D9" w:rsidRPr="00E9271E">
        <w:t xml:space="preserve">апитал на </w:t>
      </w:r>
      <w:r w:rsidR="00EF1A52" w:rsidRPr="00E9271E">
        <w:t>дружество</w:t>
      </w:r>
      <w:r w:rsidR="00C12011" w:rsidRPr="00E9271E">
        <w:t>то към 3</w:t>
      </w:r>
      <w:r w:rsidR="00F72AF1" w:rsidRPr="00E9271E">
        <w:t>1.03</w:t>
      </w:r>
      <w:r w:rsidR="00A614D7" w:rsidRPr="00E9271E">
        <w:t>.20</w:t>
      </w:r>
      <w:r w:rsidRPr="00E9271E">
        <w:t>1</w:t>
      </w:r>
      <w:r w:rsidR="00F72AF1" w:rsidRPr="00E9271E">
        <w:t>5</w:t>
      </w:r>
      <w:r w:rsidR="00A614D7" w:rsidRPr="00E9271E">
        <w:t xml:space="preserve"> год</w:t>
      </w:r>
      <w:r w:rsidR="008339D9" w:rsidRPr="00E9271E">
        <w:t>ина</w:t>
      </w:r>
      <w:r w:rsidR="00EC7922" w:rsidRPr="00E9271E">
        <w:t xml:space="preserve"> </w:t>
      </w:r>
      <w:r w:rsidR="00A614D7" w:rsidRPr="00E9271E">
        <w:t>е в размер на 7</w:t>
      </w:r>
      <w:r w:rsidR="00D227DF" w:rsidRPr="00E9271E">
        <w:t>2</w:t>
      </w:r>
      <w:r w:rsidR="00A614D7" w:rsidRPr="00E9271E">
        <w:t>,</w:t>
      </w:r>
      <w:r w:rsidR="00CF6C38" w:rsidRPr="00E9271E">
        <w:t>065</w:t>
      </w:r>
      <w:r w:rsidR="00A614D7" w:rsidRPr="00E9271E">
        <w:t xml:space="preserve"> хил. лева и се състои от </w:t>
      </w:r>
      <w:r w:rsidRPr="00E9271E">
        <w:t>7,</w:t>
      </w:r>
      <w:r w:rsidR="00D227DF" w:rsidRPr="00E9271E">
        <w:t>206</w:t>
      </w:r>
      <w:r w:rsidRPr="00E9271E">
        <w:t>,</w:t>
      </w:r>
      <w:r w:rsidR="00D227DF" w:rsidRPr="00E9271E">
        <w:t>457</w:t>
      </w:r>
      <w:r w:rsidRPr="00E9271E">
        <w:t xml:space="preserve"> </w:t>
      </w:r>
      <w:r w:rsidR="008339D9" w:rsidRPr="00E9271E">
        <w:t xml:space="preserve">дяла, 10 лева за 1 </w:t>
      </w:r>
      <w:r w:rsidRPr="00E9271E">
        <w:t>дял</w:t>
      </w:r>
      <w:r w:rsidR="008339D9" w:rsidRPr="00E9271E">
        <w:t>.</w:t>
      </w:r>
    </w:p>
    <w:p w:rsidR="00A614D7" w:rsidRPr="00E9271E" w:rsidRDefault="00A614D7" w:rsidP="00F60F1C">
      <w:pPr>
        <w:spacing w:line="360" w:lineRule="auto"/>
        <w:ind w:right="-37" w:firstLine="709"/>
        <w:jc w:val="both"/>
      </w:pPr>
      <w:r w:rsidRPr="00E9271E">
        <w:t xml:space="preserve">Собственик на </w:t>
      </w:r>
      <w:r w:rsidR="00EF1A52" w:rsidRPr="00E9271E">
        <w:t>Дружество</w:t>
      </w:r>
      <w:r w:rsidRPr="00E9271E">
        <w:t>то</w:t>
      </w:r>
      <w:r w:rsidR="00EC7922" w:rsidRPr="00E9271E">
        <w:t xml:space="preserve"> </w:t>
      </w:r>
      <w:r w:rsidRPr="00E9271E">
        <w:t xml:space="preserve">е Министерство </w:t>
      </w:r>
      <w:r w:rsidR="007D3D92" w:rsidRPr="00E9271E">
        <w:t xml:space="preserve">на Външните Работи, притежаващо </w:t>
      </w:r>
      <w:r w:rsidRPr="00E9271E">
        <w:t>100 % от капитала.</w:t>
      </w:r>
    </w:p>
    <w:p w:rsidR="006B1C0E" w:rsidRPr="00E9271E" w:rsidRDefault="006B1C0E" w:rsidP="00F60F1C">
      <w:pPr>
        <w:spacing w:line="360" w:lineRule="auto"/>
        <w:ind w:firstLine="709"/>
        <w:jc w:val="both"/>
      </w:pPr>
      <w:r w:rsidRPr="00E9271E">
        <w:lastRenderedPageBreak/>
        <w:t xml:space="preserve">През изминалите години </w:t>
      </w:r>
      <w:r w:rsidR="00EF1A52" w:rsidRPr="00E9271E">
        <w:t>дружество</w:t>
      </w:r>
      <w:r w:rsidRPr="00E9271E">
        <w:t xml:space="preserve">то </w:t>
      </w:r>
      <w:r w:rsidR="00B952F9" w:rsidRPr="00E9271E">
        <w:t>е</w:t>
      </w:r>
      <w:r w:rsidRPr="00E9271E">
        <w:t xml:space="preserve"> платежоспособно и е</w:t>
      </w:r>
      <w:r w:rsidR="00EC7922" w:rsidRPr="00E9271E">
        <w:t xml:space="preserve"> </w:t>
      </w:r>
      <w:r w:rsidRPr="00E9271E">
        <w:t xml:space="preserve">в състояние да погаси падежите </w:t>
      </w:r>
      <w:r w:rsidR="00B952F9" w:rsidRPr="00E9271E">
        <w:t>по</w:t>
      </w:r>
      <w:r w:rsidRPr="00E9271E">
        <w:t xml:space="preserve"> текущите</w:t>
      </w:r>
      <w:r w:rsidR="00B952F9" w:rsidRPr="00E9271E">
        <w:t xml:space="preserve"> си</w:t>
      </w:r>
      <w:r w:rsidRPr="00E9271E">
        <w:t xml:space="preserve"> задължения.</w:t>
      </w:r>
    </w:p>
    <w:p w:rsidR="006B1C0E" w:rsidRPr="00E9271E" w:rsidRDefault="006B1C0E" w:rsidP="00F60F1C">
      <w:pPr>
        <w:spacing w:line="360" w:lineRule="auto"/>
        <w:ind w:firstLine="709"/>
        <w:jc w:val="both"/>
      </w:pPr>
      <w:r w:rsidRPr="00E9271E">
        <w:t>Коефициентите</w:t>
      </w:r>
      <w:r w:rsidR="00EC7922" w:rsidRPr="00E9271E">
        <w:t xml:space="preserve"> </w:t>
      </w:r>
      <w:r w:rsidRPr="00E9271E">
        <w:t xml:space="preserve">на бърза ликвидност </w:t>
      </w:r>
      <w:r w:rsidR="00DE67E0" w:rsidRPr="00E9271E">
        <w:t>и на абсолютна ликвид</w:t>
      </w:r>
      <w:r w:rsidR="009C28C0" w:rsidRPr="00E9271E">
        <w:t>нос</w:t>
      </w:r>
      <w:r w:rsidR="00E120F6" w:rsidRPr="00E9271E">
        <w:t>т</w:t>
      </w:r>
      <w:r w:rsidRPr="00E9271E">
        <w:t xml:space="preserve"> са посочени в следващата таблица:</w:t>
      </w:r>
    </w:p>
    <w:p w:rsidR="006B1C0E" w:rsidRPr="00E9271E" w:rsidRDefault="006B1C0E" w:rsidP="00F60F1C">
      <w:pPr>
        <w:spacing w:line="360" w:lineRule="auto"/>
        <w:ind w:firstLine="708"/>
        <w:jc w:val="both"/>
        <w:rPr>
          <w:sz w:val="22"/>
          <w:szCs w:val="22"/>
        </w:rPr>
      </w:pPr>
    </w:p>
    <w:tbl>
      <w:tblPr>
        <w:tblW w:w="494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90"/>
        <w:gridCol w:w="2912"/>
        <w:gridCol w:w="1744"/>
        <w:gridCol w:w="1634"/>
      </w:tblGrid>
      <w:tr w:rsidR="002B3D3A" w:rsidRPr="00E9271E" w:rsidTr="00E2391A">
        <w:trPr>
          <w:jc w:val="center"/>
        </w:trPr>
        <w:tc>
          <w:tcPr>
            <w:tcW w:w="1574" w:type="pct"/>
            <w:vAlign w:val="center"/>
          </w:tcPr>
          <w:p w:rsidR="002B3D3A" w:rsidRPr="00E9271E" w:rsidRDefault="002B3D3A" w:rsidP="004C2340">
            <w:pPr>
              <w:spacing w:line="276" w:lineRule="auto"/>
              <w:rPr>
                <w:sz w:val="22"/>
                <w:szCs w:val="22"/>
              </w:rPr>
            </w:pPr>
            <w:r w:rsidRPr="00E9271E">
              <w:rPr>
                <w:sz w:val="22"/>
                <w:szCs w:val="22"/>
              </w:rPr>
              <w:t>Година/ коефициент</w:t>
            </w:r>
          </w:p>
        </w:tc>
        <w:tc>
          <w:tcPr>
            <w:tcW w:w="1586" w:type="pct"/>
            <w:vAlign w:val="center"/>
          </w:tcPr>
          <w:p w:rsidR="002B3D3A" w:rsidRPr="00E9271E" w:rsidRDefault="002B3D3A" w:rsidP="00F60F1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9271E">
              <w:rPr>
                <w:sz w:val="22"/>
                <w:szCs w:val="22"/>
              </w:rPr>
              <w:t>формула</w:t>
            </w:r>
          </w:p>
        </w:tc>
        <w:tc>
          <w:tcPr>
            <w:tcW w:w="950" w:type="pct"/>
          </w:tcPr>
          <w:p w:rsidR="002B3D3A" w:rsidRPr="00E9271E" w:rsidRDefault="00BA7330" w:rsidP="007379D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9271E">
              <w:rPr>
                <w:sz w:val="22"/>
                <w:szCs w:val="22"/>
                <w:lang w:val="en-US"/>
              </w:rPr>
              <w:t>31.03.</w:t>
            </w:r>
            <w:r w:rsidRPr="00E9271E">
              <w:rPr>
                <w:sz w:val="22"/>
                <w:szCs w:val="22"/>
              </w:rPr>
              <w:t>201</w:t>
            </w:r>
            <w:r w:rsidRPr="00E9271E">
              <w:rPr>
                <w:sz w:val="22"/>
                <w:szCs w:val="22"/>
                <w:lang w:val="en-US"/>
              </w:rPr>
              <w:t>5</w:t>
            </w:r>
            <w:r w:rsidR="007379D3" w:rsidRPr="00E9271E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91" w:type="pct"/>
          </w:tcPr>
          <w:p w:rsidR="002B3D3A" w:rsidRPr="00E9271E" w:rsidRDefault="00BA7330" w:rsidP="00F60F1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9271E">
              <w:rPr>
                <w:sz w:val="22"/>
                <w:szCs w:val="22"/>
              </w:rPr>
              <w:t>201</w:t>
            </w:r>
            <w:r w:rsidRPr="00E9271E">
              <w:rPr>
                <w:sz w:val="22"/>
                <w:szCs w:val="22"/>
                <w:lang w:val="en-US"/>
              </w:rPr>
              <w:t>4</w:t>
            </w:r>
            <w:r w:rsidR="002B3D3A" w:rsidRPr="00E9271E">
              <w:rPr>
                <w:sz w:val="22"/>
                <w:szCs w:val="22"/>
              </w:rPr>
              <w:t xml:space="preserve"> г.</w:t>
            </w:r>
          </w:p>
        </w:tc>
      </w:tr>
      <w:tr w:rsidR="002B3D3A" w:rsidRPr="00E9271E" w:rsidTr="00E2391A">
        <w:trPr>
          <w:jc w:val="center"/>
        </w:trPr>
        <w:tc>
          <w:tcPr>
            <w:tcW w:w="1574" w:type="pct"/>
            <w:vAlign w:val="center"/>
          </w:tcPr>
          <w:p w:rsidR="002B3D3A" w:rsidRPr="00E9271E" w:rsidRDefault="002B3D3A" w:rsidP="004C2340">
            <w:pPr>
              <w:spacing w:line="276" w:lineRule="auto"/>
              <w:rPr>
                <w:sz w:val="22"/>
                <w:szCs w:val="22"/>
              </w:rPr>
            </w:pPr>
            <w:r w:rsidRPr="00E9271E">
              <w:rPr>
                <w:sz w:val="22"/>
                <w:szCs w:val="22"/>
              </w:rPr>
              <w:t>Коефициент на бърза ликвидност</w:t>
            </w:r>
          </w:p>
        </w:tc>
        <w:tc>
          <w:tcPr>
            <w:tcW w:w="1586" w:type="pct"/>
            <w:vAlign w:val="center"/>
          </w:tcPr>
          <w:p w:rsidR="002B3D3A" w:rsidRPr="00E9271E" w:rsidRDefault="002B3D3A" w:rsidP="00B17A51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9271E">
              <w:rPr>
                <w:sz w:val="22"/>
                <w:szCs w:val="22"/>
              </w:rPr>
              <w:t>(текущи вземания + текущи инвестиции + парични средства) / (текущи задължения)</w:t>
            </w:r>
          </w:p>
        </w:tc>
        <w:tc>
          <w:tcPr>
            <w:tcW w:w="950" w:type="pct"/>
            <w:vAlign w:val="center"/>
          </w:tcPr>
          <w:p w:rsidR="002B3D3A" w:rsidRPr="00E9271E" w:rsidRDefault="005C6665" w:rsidP="005C6665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  <w:r w:rsidRPr="00E9271E">
              <w:rPr>
                <w:sz w:val="22"/>
                <w:szCs w:val="22"/>
                <w:lang w:val="en-US"/>
              </w:rPr>
              <w:t>30.28</w:t>
            </w:r>
          </w:p>
        </w:tc>
        <w:tc>
          <w:tcPr>
            <w:tcW w:w="891" w:type="pct"/>
            <w:vAlign w:val="center"/>
          </w:tcPr>
          <w:p w:rsidR="002B3D3A" w:rsidRPr="00E9271E" w:rsidRDefault="00BA7330" w:rsidP="004C2340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  <w:r w:rsidRPr="00E9271E">
              <w:rPr>
                <w:sz w:val="22"/>
                <w:szCs w:val="22"/>
              </w:rPr>
              <w:t>1</w:t>
            </w:r>
            <w:r w:rsidRPr="00E9271E">
              <w:rPr>
                <w:sz w:val="22"/>
                <w:szCs w:val="22"/>
                <w:lang w:val="en-US"/>
              </w:rPr>
              <w:t>9.55</w:t>
            </w:r>
          </w:p>
        </w:tc>
      </w:tr>
      <w:tr w:rsidR="002B3D3A" w:rsidRPr="00E9271E" w:rsidTr="00E2391A">
        <w:trPr>
          <w:jc w:val="center"/>
        </w:trPr>
        <w:tc>
          <w:tcPr>
            <w:tcW w:w="1574" w:type="pct"/>
            <w:vAlign w:val="center"/>
          </w:tcPr>
          <w:p w:rsidR="002B3D3A" w:rsidRPr="00E9271E" w:rsidRDefault="002B3D3A" w:rsidP="00E2391A">
            <w:pPr>
              <w:spacing w:line="276" w:lineRule="auto"/>
              <w:rPr>
                <w:sz w:val="22"/>
                <w:szCs w:val="22"/>
              </w:rPr>
            </w:pPr>
            <w:r w:rsidRPr="00E9271E">
              <w:rPr>
                <w:sz w:val="22"/>
                <w:szCs w:val="22"/>
              </w:rPr>
              <w:t>Коефициент на абсолютна ликвидност</w:t>
            </w:r>
          </w:p>
        </w:tc>
        <w:tc>
          <w:tcPr>
            <w:tcW w:w="1586" w:type="pct"/>
            <w:vAlign w:val="center"/>
          </w:tcPr>
          <w:p w:rsidR="002B3D3A" w:rsidRPr="00E9271E" w:rsidRDefault="002B3D3A" w:rsidP="00F60F1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9271E">
              <w:rPr>
                <w:sz w:val="22"/>
                <w:szCs w:val="22"/>
              </w:rPr>
              <w:t>парични средства /</w:t>
            </w:r>
          </w:p>
          <w:p w:rsidR="002B3D3A" w:rsidRPr="00E9271E" w:rsidRDefault="002B3D3A" w:rsidP="00F60F1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9271E">
              <w:rPr>
                <w:sz w:val="22"/>
                <w:szCs w:val="22"/>
              </w:rPr>
              <w:t>текущи задължения</w:t>
            </w:r>
          </w:p>
        </w:tc>
        <w:tc>
          <w:tcPr>
            <w:tcW w:w="950" w:type="pct"/>
            <w:vAlign w:val="center"/>
          </w:tcPr>
          <w:p w:rsidR="002B3D3A" w:rsidRPr="00E9271E" w:rsidRDefault="005C6665" w:rsidP="004C2340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  <w:r w:rsidRPr="00E9271E">
              <w:rPr>
                <w:sz w:val="22"/>
                <w:szCs w:val="22"/>
                <w:lang w:val="en-US"/>
              </w:rPr>
              <w:t>24.42</w:t>
            </w:r>
          </w:p>
        </w:tc>
        <w:tc>
          <w:tcPr>
            <w:tcW w:w="891" w:type="pct"/>
            <w:vAlign w:val="center"/>
          </w:tcPr>
          <w:p w:rsidR="002B3D3A" w:rsidRPr="00E9271E" w:rsidRDefault="00BA7330" w:rsidP="004C2340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  <w:r w:rsidRPr="00E9271E">
              <w:rPr>
                <w:sz w:val="22"/>
                <w:szCs w:val="22"/>
                <w:lang w:val="en-US"/>
              </w:rPr>
              <w:t>15.76</w:t>
            </w:r>
          </w:p>
        </w:tc>
      </w:tr>
    </w:tbl>
    <w:p w:rsidR="006B1C0E" w:rsidRPr="00E9271E" w:rsidRDefault="006B1C0E" w:rsidP="00F60F1C">
      <w:pPr>
        <w:spacing w:line="360" w:lineRule="auto"/>
        <w:jc w:val="both"/>
        <w:rPr>
          <w:sz w:val="22"/>
          <w:szCs w:val="22"/>
        </w:rPr>
      </w:pPr>
    </w:p>
    <w:p w:rsidR="004B040F" w:rsidRPr="00E9271E" w:rsidRDefault="004B040F" w:rsidP="00F60F1C">
      <w:pPr>
        <w:spacing w:line="360" w:lineRule="auto"/>
        <w:ind w:firstLine="708"/>
        <w:jc w:val="both"/>
      </w:pPr>
    </w:p>
    <w:p w:rsidR="00F43493" w:rsidRPr="00E9271E" w:rsidRDefault="00B952F9" w:rsidP="00F60F1C">
      <w:pPr>
        <w:spacing w:line="360" w:lineRule="auto"/>
        <w:ind w:firstLine="708"/>
        <w:jc w:val="both"/>
      </w:pPr>
      <w:r w:rsidRPr="00E9271E">
        <w:t>Коефициентите на рентабилност на приходите от продажби</w:t>
      </w:r>
      <w:r w:rsidR="009C28C0" w:rsidRPr="00E9271E">
        <w:t xml:space="preserve"> </w:t>
      </w:r>
      <w:r w:rsidRPr="00E9271E">
        <w:t>и на рентабилност на собствения капитал</w:t>
      </w:r>
      <w:r w:rsidR="009C28C0" w:rsidRPr="00E9271E">
        <w:t>,</w:t>
      </w:r>
      <w:r w:rsidR="00F43493" w:rsidRPr="00E9271E">
        <w:t xml:space="preserve"> са посочени в следващата таблица:</w:t>
      </w:r>
    </w:p>
    <w:p w:rsidR="00256DE2" w:rsidRPr="00E9271E" w:rsidRDefault="00256DE2" w:rsidP="00F60F1C">
      <w:pPr>
        <w:spacing w:line="360" w:lineRule="auto"/>
        <w:jc w:val="both"/>
        <w:rPr>
          <w:sz w:val="22"/>
          <w:szCs w:val="22"/>
        </w:rPr>
      </w:pPr>
    </w:p>
    <w:tbl>
      <w:tblPr>
        <w:tblW w:w="494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87"/>
        <w:gridCol w:w="2679"/>
        <w:gridCol w:w="1610"/>
        <w:gridCol w:w="1504"/>
      </w:tblGrid>
      <w:tr w:rsidR="002B3D3A" w:rsidRPr="00E9271E" w:rsidTr="00E2391A">
        <w:trPr>
          <w:jc w:val="center"/>
        </w:trPr>
        <w:tc>
          <w:tcPr>
            <w:tcW w:w="1845" w:type="pct"/>
            <w:vAlign w:val="center"/>
          </w:tcPr>
          <w:p w:rsidR="002B3D3A" w:rsidRPr="00E9271E" w:rsidRDefault="002B3D3A" w:rsidP="004C2340">
            <w:pPr>
              <w:spacing w:line="276" w:lineRule="auto"/>
              <w:rPr>
                <w:sz w:val="22"/>
                <w:szCs w:val="22"/>
              </w:rPr>
            </w:pPr>
            <w:r w:rsidRPr="00E9271E">
              <w:rPr>
                <w:sz w:val="22"/>
                <w:szCs w:val="22"/>
              </w:rPr>
              <w:t>Период/ коефициент</w:t>
            </w:r>
          </w:p>
        </w:tc>
        <w:tc>
          <w:tcPr>
            <w:tcW w:w="1459" w:type="pct"/>
            <w:vAlign w:val="center"/>
          </w:tcPr>
          <w:p w:rsidR="002B3D3A" w:rsidRPr="00E9271E" w:rsidRDefault="002B3D3A" w:rsidP="004C2340">
            <w:pPr>
              <w:spacing w:line="276" w:lineRule="auto"/>
              <w:rPr>
                <w:sz w:val="22"/>
                <w:szCs w:val="22"/>
              </w:rPr>
            </w:pPr>
            <w:r w:rsidRPr="00E9271E">
              <w:rPr>
                <w:sz w:val="22"/>
                <w:szCs w:val="22"/>
              </w:rPr>
              <w:t>Формула</w:t>
            </w:r>
          </w:p>
        </w:tc>
        <w:tc>
          <w:tcPr>
            <w:tcW w:w="877" w:type="pct"/>
          </w:tcPr>
          <w:p w:rsidR="002B3D3A" w:rsidRPr="00E9271E" w:rsidRDefault="00BA7330" w:rsidP="00F60F1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9271E">
              <w:rPr>
                <w:sz w:val="22"/>
                <w:szCs w:val="22"/>
                <w:lang w:val="en-US"/>
              </w:rPr>
              <w:t>31.03.</w:t>
            </w:r>
            <w:r w:rsidRPr="00E9271E">
              <w:rPr>
                <w:sz w:val="22"/>
                <w:szCs w:val="22"/>
              </w:rPr>
              <w:t>201</w:t>
            </w:r>
            <w:r w:rsidRPr="00E9271E">
              <w:rPr>
                <w:sz w:val="22"/>
                <w:szCs w:val="22"/>
                <w:lang w:val="en-US"/>
              </w:rPr>
              <w:t>5</w:t>
            </w:r>
            <w:r w:rsidR="00D218A1" w:rsidRPr="00E9271E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19" w:type="pct"/>
          </w:tcPr>
          <w:p w:rsidR="002B3D3A" w:rsidRPr="00E9271E" w:rsidRDefault="00BA7330" w:rsidP="00F60F1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9271E">
              <w:rPr>
                <w:sz w:val="22"/>
                <w:szCs w:val="22"/>
              </w:rPr>
              <w:t>201</w:t>
            </w:r>
            <w:r w:rsidRPr="00E9271E">
              <w:rPr>
                <w:sz w:val="22"/>
                <w:szCs w:val="22"/>
                <w:lang w:val="en-US"/>
              </w:rPr>
              <w:t>4</w:t>
            </w:r>
            <w:r w:rsidR="002B3D3A" w:rsidRPr="00E9271E">
              <w:rPr>
                <w:sz w:val="22"/>
                <w:szCs w:val="22"/>
              </w:rPr>
              <w:t xml:space="preserve"> г.</w:t>
            </w:r>
          </w:p>
        </w:tc>
      </w:tr>
      <w:tr w:rsidR="002B3D3A" w:rsidRPr="00E9271E" w:rsidTr="00E2391A">
        <w:trPr>
          <w:jc w:val="center"/>
        </w:trPr>
        <w:tc>
          <w:tcPr>
            <w:tcW w:w="1845" w:type="pct"/>
            <w:vAlign w:val="center"/>
          </w:tcPr>
          <w:p w:rsidR="002B3D3A" w:rsidRPr="00E9271E" w:rsidRDefault="002B3D3A" w:rsidP="004C2340">
            <w:pPr>
              <w:spacing w:line="276" w:lineRule="auto"/>
              <w:rPr>
                <w:sz w:val="22"/>
                <w:szCs w:val="22"/>
              </w:rPr>
            </w:pPr>
            <w:r w:rsidRPr="00E9271E">
              <w:rPr>
                <w:sz w:val="22"/>
                <w:szCs w:val="22"/>
              </w:rPr>
              <w:t>Коефициент на рентабилност на приходите от продажби (%)</w:t>
            </w:r>
          </w:p>
        </w:tc>
        <w:tc>
          <w:tcPr>
            <w:tcW w:w="1459" w:type="pct"/>
            <w:vAlign w:val="center"/>
          </w:tcPr>
          <w:p w:rsidR="002B3D3A" w:rsidRPr="00E9271E" w:rsidRDefault="002B3D3A" w:rsidP="004C2340">
            <w:pPr>
              <w:spacing w:line="276" w:lineRule="auto"/>
              <w:rPr>
                <w:sz w:val="22"/>
                <w:szCs w:val="22"/>
              </w:rPr>
            </w:pPr>
            <w:r w:rsidRPr="00E9271E">
              <w:rPr>
                <w:sz w:val="22"/>
                <w:szCs w:val="22"/>
              </w:rPr>
              <w:t>Финансов резултат / нетен размер на при-ходите от продажби</w:t>
            </w:r>
          </w:p>
        </w:tc>
        <w:tc>
          <w:tcPr>
            <w:tcW w:w="877" w:type="pct"/>
            <w:vAlign w:val="center"/>
          </w:tcPr>
          <w:p w:rsidR="002B3D3A" w:rsidRPr="00E9271E" w:rsidRDefault="00A07083" w:rsidP="004C2340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  <w:r w:rsidRPr="00E9271E">
              <w:rPr>
                <w:sz w:val="22"/>
                <w:szCs w:val="22"/>
                <w:lang w:val="en-US"/>
              </w:rPr>
              <w:t>3</w:t>
            </w:r>
            <w:r w:rsidR="00DE54EA" w:rsidRPr="00E9271E">
              <w:rPr>
                <w:sz w:val="22"/>
                <w:szCs w:val="22"/>
                <w:lang w:val="en-US"/>
              </w:rPr>
              <w:t>4.87</w:t>
            </w:r>
          </w:p>
        </w:tc>
        <w:tc>
          <w:tcPr>
            <w:tcW w:w="819" w:type="pct"/>
            <w:vAlign w:val="center"/>
          </w:tcPr>
          <w:p w:rsidR="002B3D3A" w:rsidRPr="00E9271E" w:rsidRDefault="00BA7330" w:rsidP="004C2340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  <w:r w:rsidRPr="00E9271E">
              <w:rPr>
                <w:sz w:val="22"/>
                <w:szCs w:val="22"/>
                <w:lang w:val="en-US"/>
              </w:rPr>
              <w:t>30.18</w:t>
            </w:r>
          </w:p>
        </w:tc>
      </w:tr>
      <w:tr w:rsidR="002B3D3A" w:rsidRPr="00E9271E" w:rsidTr="00E2391A">
        <w:trPr>
          <w:jc w:val="center"/>
        </w:trPr>
        <w:tc>
          <w:tcPr>
            <w:tcW w:w="1845" w:type="pct"/>
            <w:vAlign w:val="center"/>
          </w:tcPr>
          <w:p w:rsidR="002B3D3A" w:rsidRPr="00E9271E" w:rsidRDefault="002B3D3A" w:rsidP="004C2340">
            <w:pPr>
              <w:spacing w:line="276" w:lineRule="auto"/>
              <w:rPr>
                <w:sz w:val="22"/>
                <w:szCs w:val="22"/>
              </w:rPr>
            </w:pPr>
            <w:r w:rsidRPr="00E9271E">
              <w:rPr>
                <w:sz w:val="22"/>
                <w:szCs w:val="22"/>
              </w:rPr>
              <w:t>Коефициент на рентабилност на собствения капитал (%)</w:t>
            </w:r>
          </w:p>
        </w:tc>
        <w:tc>
          <w:tcPr>
            <w:tcW w:w="1459" w:type="pct"/>
            <w:vAlign w:val="center"/>
          </w:tcPr>
          <w:p w:rsidR="002B3D3A" w:rsidRPr="00E9271E" w:rsidRDefault="002B3D3A" w:rsidP="004C2340">
            <w:pPr>
              <w:spacing w:line="276" w:lineRule="auto"/>
              <w:rPr>
                <w:sz w:val="22"/>
                <w:szCs w:val="22"/>
              </w:rPr>
            </w:pPr>
            <w:r w:rsidRPr="00E9271E">
              <w:rPr>
                <w:sz w:val="22"/>
                <w:szCs w:val="22"/>
              </w:rPr>
              <w:t>Счетоводна печалба/</w:t>
            </w:r>
          </w:p>
          <w:p w:rsidR="002B3D3A" w:rsidRPr="00E9271E" w:rsidRDefault="002B3D3A" w:rsidP="004C2340">
            <w:pPr>
              <w:spacing w:line="276" w:lineRule="auto"/>
              <w:rPr>
                <w:sz w:val="22"/>
                <w:szCs w:val="22"/>
              </w:rPr>
            </w:pPr>
            <w:r w:rsidRPr="00E9271E">
              <w:rPr>
                <w:sz w:val="22"/>
                <w:szCs w:val="22"/>
              </w:rPr>
              <w:t>Собствен капитал</w:t>
            </w:r>
          </w:p>
        </w:tc>
        <w:tc>
          <w:tcPr>
            <w:tcW w:w="877" w:type="pct"/>
            <w:vAlign w:val="center"/>
          </w:tcPr>
          <w:p w:rsidR="002B3D3A" w:rsidRPr="00E9271E" w:rsidRDefault="00835479" w:rsidP="004C2340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  <w:r w:rsidRPr="00E9271E">
              <w:rPr>
                <w:sz w:val="22"/>
                <w:szCs w:val="22"/>
                <w:lang w:val="en-US"/>
              </w:rPr>
              <w:t>0.8</w:t>
            </w:r>
            <w:r w:rsidR="00C8093D" w:rsidRPr="00E9271E"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819" w:type="pct"/>
            <w:vAlign w:val="center"/>
          </w:tcPr>
          <w:p w:rsidR="002B3D3A" w:rsidRPr="00E9271E" w:rsidRDefault="002B3D3A" w:rsidP="004C2340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  <w:r w:rsidRPr="00E9271E">
              <w:rPr>
                <w:sz w:val="22"/>
                <w:szCs w:val="22"/>
              </w:rPr>
              <w:t>3.</w:t>
            </w:r>
            <w:r w:rsidR="00A74AA2" w:rsidRPr="00E9271E">
              <w:rPr>
                <w:sz w:val="22"/>
                <w:szCs w:val="22"/>
              </w:rPr>
              <w:t>5</w:t>
            </w:r>
            <w:r w:rsidR="00BA7330" w:rsidRPr="00E9271E">
              <w:rPr>
                <w:sz w:val="22"/>
                <w:szCs w:val="22"/>
                <w:lang w:val="en-US"/>
              </w:rPr>
              <w:t>7</w:t>
            </w:r>
          </w:p>
        </w:tc>
      </w:tr>
    </w:tbl>
    <w:p w:rsidR="004B040F" w:rsidRPr="00E9271E" w:rsidRDefault="00FC62A5" w:rsidP="00F60F1C">
      <w:pPr>
        <w:spacing w:line="360" w:lineRule="auto"/>
        <w:jc w:val="both"/>
      </w:pPr>
      <w:r w:rsidRPr="00E9271E">
        <w:tab/>
      </w:r>
    </w:p>
    <w:p w:rsidR="004B040F" w:rsidRPr="00E9271E" w:rsidRDefault="00866FDB" w:rsidP="004B040F">
      <w:pPr>
        <w:spacing w:line="360" w:lineRule="auto"/>
        <w:ind w:firstLine="708"/>
        <w:jc w:val="both"/>
      </w:pPr>
      <w:r w:rsidRPr="00E9271E">
        <w:t>С</w:t>
      </w:r>
      <w:r w:rsidR="00EA5826" w:rsidRPr="00E9271E">
        <w:t>тойности</w:t>
      </w:r>
      <w:r w:rsidRPr="00E9271E">
        <w:t>те</w:t>
      </w:r>
      <w:r w:rsidR="00EA5826" w:rsidRPr="00E9271E">
        <w:t xml:space="preserve"> на коефициента на ефективност на разходите и на маржа на оперативната печ</w:t>
      </w:r>
      <w:r w:rsidRPr="00E9271E">
        <w:t>алба</w:t>
      </w:r>
      <w:r w:rsidR="00D569CA" w:rsidRPr="00E9271E">
        <w:t xml:space="preserve"> </w:t>
      </w:r>
      <w:r w:rsidR="009C28C0" w:rsidRPr="00E9271E">
        <w:t>са посочени в следващата таблица:</w:t>
      </w:r>
    </w:p>
    <w:tbl>
      <w:tblPr>
        <w:tblW w:w="4822" w:type="pct"/>
        <w:jc w:val="center"/>
        <w:tblInd w:w="-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96"/>
        <w:gridCol w:w="2658"/>
        <w:gridCol w:w="1736"/>
        <w:gridCol w:w="2067"/>
      </w:tblGrid>
      <w:tr w:rsidR="002B3D3A" w:rsidRPr="00E9271E" w:rsidTr="00E2391A">
        <w:trPr>
          <w:jc w:val="center"/>
        </w:trPr>
        <w:tc>
          <w:tcPr>
            <w:tcW w:w="1393" w:type="pct"/>
            <w:vAlign w:val="center"/>
          </w:tcPr>
          <w:p w:rsidR="002B3D3A" w:rsidRPr="00E9271E" w:rsidRDefault="002B3D3A" w:rsidP="004C2340">
            <w:pPr>
              <w:spacing w:line="276" w:lineRule="auto"/>
              <w:rPr>
                <w:sz w:val="22"/>
                <w:szCs w:val="22"/>
              </w:rPr>
            </w:pPr>
            <w:r w:rsidRPr="00E9271E">
              <w:rPr>
                <w:sz w:val="22"/>
                <w:szCs w:val="22"/>
              </w:rPr>
              <w:t>Период/ коефициент</w:t>
            </w:r>
          </w:p>
        </w:tc>
        <w:tc>
          <w:tcPr>
            <w:tcW w:w="1484" w:type="pct"/>
            <w:vAlign w:val="center"/>
          </w:tcPr>
          <w:p w:rsidR="002B3D3A" w:rsidRPr="00E9271E" w:rsidRDefault="002B3D3A" w:rsidP="004C2340">
            <w:pPr>
              <w:spacing w:line="276" w:lineRule="auto"/>
              <w:rPr>
                <w:sz w:val="22"/>
                <w:szCs w:val="22"/>
              </w:rPr>
            </w:pPr>
            <w:r w:rsidRPr="00E9271E">
              <w:rPr>
                <w:sz w:val="22"/>
                <w:szCs w:val="22"/>
              </w:rPr>
              <w:t>Формула</w:t>
            </w:r>
          </w:p>
        </w:tc>
        <w:tc>
          <w:tcPr>
            <w:tcW w:w="969" w:type="pct"/>
            <w:vAlign w:val="center"/>
          </w:tcPr>
          <w:p w:rsidR="002B3D3A" w:rsidRPr="00E9271E" w:rsidRDefault="00BA7330" w:rsidP="004C2340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9271E">
              <w:rPr>
                <w:sz w:val="22"/>
                <w:szCs w:val="22"/>
                <w:lang w:val="en-US"/>
              </w:rPr>
              <w:t>31.03.</w:t>
            </w:r>
            <w:r w:rsidRPr="00E9271E">
              <w:rPr>
                <w:sz w:val="22"/>
                <w:szCs w:val="22"/>
              </w:rPr>
              <w:t>201</w:t>
            </w:r>
            <w:r w:rsidRPr="00E9271E">
              <w:rPr>
                <w:sz w:val="22"/>
                <w:szCs w:val="22"/>
                <w:lang w:val="en-US"/>
              </w:rPr>
              <w:t>5</w:t>
            </w:r>
            <w:r w:rsidR="004D2C38" w:rsidRPr="00E9271E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54" w:type="pct"/>
            <w:vAlign w:val="center"/>
          </w:tcPr>
          <w:p w:rsidR="002B3D3A" w:rsidRPr="00E9271E" w:rsidRDefault="00BA7330" w:rsidP="004C2340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9271E">
              <w:rPr>
                <w:sz w:val="22"/>
                <w:szCs w:val="22"/>
              </w:rPr>
              <w:t>201</w:t>
            </w:r>
            <w:r w:rsidRPr="00E9271E">
              <w:rPr>
                <w:sz w:val="22"/>
                <w:szCs w:val="22"/>
                <w:lang w:val="en-US"/>
              </w:rPr>
              <w:t>4</w:t>
            </w:r>
            <w:r w:rsidR="002B3D3A" w:rsidRPr="00E9271E">
              <w:rPr>
                <w:sz w:val="22"/>
                <w:szCs w:val="22"/>
              </w:rPr>
              <w:t xml:space="preserve"> г.</w:t>
            </w:r>
          </w:p>
        </w:tc>
      </w:tr>
      <w:tr w:rsidR="002B3D3A" w:rsidRPr="00E9271E" w:rsidTr="00E2391A">
        <w:trPr>
          <w:jc w:val="center"/>
        </w:trPr>
        <w:tc>
          <w:tcPr>
            <w:tcW w:w="1393" w:type="pct"/>
            <w:vAlign w:val="center"/>
          </w:tcPr>
          <w:p w:rsidR="002B3D3A" w:rsidRPr="00E9271E" w:rsidRDefault="002B3D3A" w:rsidP="004C2340">
            <w:pPr>
              <w:spacing w:line="276" w:lineRule="auto"/>
              <w:rPr>
                <w:sz w:val="22"/>
                <w:szCs w:val="22"/>
              </w:rPr>
            </w:pPr>
            <w:r w:rsidRPr="00E9271E">
              <w:rPr>
                <w:sz w:val="22"/>
                <w:szCs w:val="22"/>
              </w:rPr>
              <w:t>Коефициент на разходите</w:t>
            </w:r>
          </w:p>
        </w:tc>
        <w:tc>
          <w:tcPr>
            <w:tcW w:w="1484" w:type="pct"/>
            <w:vAlign w:val="center"/>
          </w:tcPr>
          <w:p w:rsidR="002B3D3A" w:rsidRPr="00E9271E" w:rsidRDefault="002B3D3A" w:rsidP="004C2340">
            <w:pPr>
              <w:spacing w:line="276" w:lineRule="auto"/>
              <w:ind w:firstLine="34"/>
              <w:rPr>
                <w:sz w:val="22"/>
                <w:szCs w:val="22"/>
              </w:rPr>
            </w:pPr>
            <w:r w:rsidRPr="00E9271E">
              <w:rPr>
                <w:sz w:val="22"/>
                <w:szCs w:val="22"/>
              </w:rPr>
              <w:t>Приходи / Разходи</w:t>
            </w:r>
          </w:p>
        </w:tc>
        <w:tc>
          <w:tcPr>
            <w:tcW w:w="969" w:type="pct"/>
            <w:vAlign w:val="center"/>
          </w:tcPr>
          <w:p w:rsidR="002B3D3A" w:rsidRPr="00E9271E" w:rsidRDefault="003734AF" w:rsidP="004C2340">
            <w:pPr>
              <w:spacing w:line="276" w:lineRule="auto"/>
              <w:ind w:firstLine="34"/>
              <w:jc w:val="center"/>
              <w:rPr>
                <w:sz w:val="22"/>
                <w:szCs w:val="22"/>
                <w:lang w:val="en-US"/>
              </w:rPr>
            </w:pPr>
            <w:r w:rsidRPr="00E9271E">
              <w:rPr>
                <w:sz w:val="22"/>
                <w:szCs w:val="22"/>
                <w:lang w:val="en-US"/>
              </w:rPr>
              <w:t>1.44</w:t>
            </w:r>
          </w:p>
        </w:tc>
        <w:tc>
          <w:tcPr>
            <w:tcW w:w="1154" w:type="pct"/>
            <w:vAlign w:val="center"/>
          </w:tcPr>
          <w:p w:rsidR="002B3D3A" w:rsidRPr="00E9271E" w:rsidRDefault="00BA7330" w:rsidP="004C2340">
            <w:pPr>
              <w:spacing w:line="276" w:lineRule="auto"/>
              <w:ind w:firstLine="34"/>
              <w:jc w:val="center"/>
              <w:rPr>
                <w:sz w:val="22"/>
                <w:szCs w:val="22"/>
                <w:lang w:val="en-US"/>
              </w:rPr>
            </w:pPr>
            <w:r w:rsidRPr="00E9271E">
              <w:rPr>
                <w:sz w:val="22"/>
                <w:szCs w:val="22"/>
              </w:rPr>
              <w:t>1.4</w:t>
            </w:r>
            <w:r w:rsidRPr="00E9271E">
              <w:rPr>
                <w:sz w:val="22"/>
                <w:szCs w:val="22"/>
                <w:lang w:val="en-US"/>
              </w:rPr>
              <w:t>2</w:t>
            </w:r>
          </w:p>
        </w:tc>
      </w:tr>
      <w:tr w:rsidR="002B3D3A" w:rsidRPr="00E9271E" w:rsidTr="00E2391A">
        <w:trPr>
          <w:jc w:val="center"/>
        </w:trPr>
        <w:tc>
          <w:tcPr>
            <w:tcW w:w="1393" w:type="pct"/>
            <w:vAlign w:val="center"/>
          </w:tcPr>
          <w:p w:rsidR="002B3D3A" w:rsidRPr="00E9271E" w:rsidRDefault="002B3D3A" w:rsidP="004C2340">
            <w:pPr>
              <w:spacing w:line="276" w:lineRule="auto"/>
              <w:rPr>
                <w:sz w:val="22"/>
                <w:szCs w:val="22"/>
              </w:rPr>
            </w:pPr>
            <w:r w:rsidRPr="00E9271E">
              <w:rPr>
                <w:sz w:val="22"/>
                <w:szCs w:val="22"/>
              </w:rPr>
              <w:t>Марж на оперативната печалба (%)</w:t>
            </w:r>
          </w:p>
        </w:tc>
        <w:tc>
          <w:tcPr>
            <w:tcW w:w="1484" w:type="pct"/>
            <w:vAlign w:val="center"/>
          </w:tcPr>
          <w:p w:rsidR="002B3D3A" w:rsidRPr="00E9271E" w:rsidRDefault="002B3D3A" w:rsidP="004C2340">
            <w:pPr>
              <w:spacing w:line="276" w:lineRule="auto"/>
              <w:ind w:firstLine="34"/>
              <w:rPr>
                <w:sz w:val="22"/>
                <w:szCs w:val="22"/>
              </w:rPr>
            </w:pPr>
            <w:r w:rsidRPr="00E9271E">
              <w:rPr>
                <w:sz w:val="22"/>
                <w:szCs w:val="22"/>
              </w:rPr>
              <w:t>Печалба от оперативната дейност / Приходи от оперативната дейност</w:t>
            </w:r>
          </w:p>
        </w:tc>
        <w:tc>
          <w:tcPr>
            <w:tcW w:w="969" w:type="pct"/>
            <w:vAlign w:val="center"/>
          </w:tcPr>
          <w:p w:rsidR="002B3D3A" w:rsidRPr="00E9271E" w:rsidRDefault="004047D5" w:rsidP="004C2340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  <w:r w:rsidRPr="00E9271E">
              <w:rPr>
                <w:sz w:val="22"/>
                <w:szCs w:val="22"/>
                <w:lang w:val="en-US"/>
              </w:rPr>
              <w:t>32.83</w:t>
            </w:r>
          </w:p>
        </w:tc>
        <w:tc>
          <w:tcPr>
            <w:tcW w:w="1154" w:type="pct"/>
            <w:vAlign w:val="center"/>
          </w:tcPr>
          <w:p w:rsidR="002B3D3A" w:rsidRPr="00E9271E" w:rsidRDefault="00D62D33" w:rsidP="004C2340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  <w:r w:rsidRPr="00E9271E">
              <w:rPr>
                <w:sz w:val="22"/>
                <w:szCs w:val="22"/>
                <w:lang w:val="en-US"/>
              </w:rPr>
              <w:t>30.73</w:t>
            </w:r>
          </w:p>
        </w:tc>
      </w:tr>
    </w:tbl>
    <w:p w:rsidR="006B1C0E" w:rsidRPr="00E9271E" w:rsidRDefault="006B1C0E" w:rsidP="00F60F1C">
      <w:pPr>
        <w:spacing w:line="360" w:lineRule="auto"/>
        <w:ind w:firstLine="708"/>
        <w:jc w:val="both"/>
        <w:rPr>
          <w:sz w:val="22"/>
          <w:szCs w:val="22"/>
        </w:rPr>
      </w:pPr>
    </w:p>
    <w:p w:rsidR="001B1ED3" w:rsidRPr="00E9271E" w:rsidRDefault="00DD4F71" w:rsidP="00F60F1C">
      <w:pPr>
        <w:pStyle w:val="BodyText"/>
        <w:tabs>
          <w:tab w:val="left" w:pos="357"/>
        </w:tabs>
        <w:spacing w:line="360" w:lineRule="auto"/>
        <w:jc w:val="both"/>
      </w:pPr>
      <w:r w:rsidRPr="00E9271E">
        <w:rPr>
          <w:sz w:val="22"/>
          <w:szCs w:val="22"/>
        </w:rPr>
        <w:tab/>
      </w:r>
      <w:r w:rsidR="001B1ED3" w:rsidRPr="00E9271E">
        <w:t xml:space="preserve">В хода на обичайната си дейност дружеството може да бъде изложено на различни финансови рискове, най-важните, от които са: пазарен (включващ валутен риск, риск от промяна на справедливата стойност и ценови риск), кредитен риск, ликвиден риск и риск на лихвено-обвързани парични потоци. Финансовите рискове текущо се идентифицират, измерват и наблюдават с помощта на различни контролни механизми, за да се определят адекватни цени на услугите, предоставяни от дружеството, цената на </w:t>
      </w:r>
      <w:r w:rsidR="001B1ED3" w:rsidRPr="00E9271E">
        <w:lastRenderedPageBreak/>
        <w:t>привлечените заеми и да се оценят адекватно формите на поддържане на свободните ликвидни средства, без да се допуска неоправдана концентрация на даден риск.</w:t>
      </w:r>
    </w:p>
    <w:p w:rsidR="001B1ED3" w:rsidRPr="00E9271E" w:rsidRDefault="001B1ED3" w:rsidP="00F60F1C">
      <w:pPr>
        <w:pStyle w:val="BodyText"/>
        <w:tabs>
          <w:tab w:val="left" w:pos="426"/>
        </w:tabs>
        <w:spacing w:line="360" w:lineRule="auto"/>
        <w:jc w:val="both"/>
      </w:pPr>
      <w:r w:rsidRPr="00E9271E">
        <w:tab/>
        <w:t xml:space="preserve">По-долу са описани различните видове рискове, на които е изложено дружеството при осъществяване на търговските </w:t>
      </w:r>
      <w:r w:rsidR="00B305DB" w:rsidRPr="00E9271E">
        <w:t>си</w:t>
      </w:r>
      <w:r w:rsidRPr="00E9271E">
        <w:t xml:space="preserve"> операции, както и възприетият подход при управлението на тези рискове.</w:t>
      </w:r>
    </w:p>
    <w:p w:rsidR="001B1ED3" w:rsidRPr="00E9271E" w:rsidRDefault="001B1ED3" w:rsidP="00F60F1C">
      <w:pPr>
        <w:pStyle w:val="BodyText"/>
        <w:tabs>
          <w:tab w:val="left" w:pos="426"/>
        </w:tabs>
        <w:spacing w:line="360" w:lineRule="auto"/>
        <w:jc w:val="both"/>
        <w:rPr>
          <w:b/>
        </w:rPr>
      </w:pPr>
      <w:r w:rsidRPr="00E9271E">
        <w:rPr>
          <w:b/>
        </w:rPr>
        <w:tab/>
        <w:t>Валутен риск</w:t>
      </w:r>
    </w:p>
    <w:p w:rsidR="001B1ED3" w:rsidRPr="00E9271E" w:rsidRDefault="001B1ED3" w:rsidP="00F60F1C">
      <w:pPr>
        <w:pStyle w:val="BodyText"/>
        <w:tabs>
          <w:tab w:val="left" w:pos="426"/>
        </w:tabs>
        <w:spacing w:line="360" w:lineRule="auto"/>
        <w:jc w:val="both"/>
      </w:pPr>
      <w:r w:rsidRPr="00E9271E">
        <w:tab/>
        <w:t>Дружеството не е изложено на значителен валутен риск, тъй като преобладаващата част от сделките на дружеството се договарят, извършват и отчитат в евро.</w:t>
      </w:r>
    </w:p>
    <w:p w:rsidR="001B1ED3" w:rsidRPr="00E9271E" w:rsidRDefault="00DD4F71" w:rsidP="00F60F1C">
      <w:pPr>
        <w:pStyle w:val="BodyText"/>
        <w:tabs>
          <w:tab w:val="left" w:pos="426"/>
        </w:tabs>
        <w:spacing w:line="360" w:lineRule="auto"/>
        <w:jc w:val="both"/>
        <w:rPr>
          <w:b/>
        </w:rPr>
      </w:pPr>
      <w:r w:rsidRPr="00E9271E">
        <w:rPr>
          <w:b/>
        </w:rPr>
        <w:tab/>
      </w:r>
      <w:r w:rsidR="001B1ED3" w:rsidRPr="00E9271E">
        <w:rPr>
          <w:b/>
        </w:rPr>
        <w:t>Ценови риск</w:t>
      </w:r>
    </w:p>
    <w:p w:rsidR="001B1ED3" w:rsidRPr="00E9271E" w:rsidRDefault="001B1ED3" w:rsidP="00F60F1C">
      <w:pPr>
        <w:pStyle w:val="BodyText"/>
        <w:tabs>
          <w:tab w:val="left" w:pos="426"/>
        </w:tabs>
        <w:spacing w:line="360" w:lineRule="auto"/>
        <w:jc w:val="both"/>
      </w:pPr>
      <w:r w:rsidRPr="00E9271E">
        <w:tab/>
        <w:t>Дружеството не е изложено на пряк ценови риск, защото неговите приходи се ценообразуват на основата на пазарни цени за извършваните услуги, които се актуализират регулярно.</w:t>
      </w:r>
    </w:p>
    <w:p w:rsidR="001B1ED3" w:rsidRPr="00E9271E" w:rsidRDefault="00DD4F71" w:rsidP="00F60F1C">
      <w:pPr>
        <w:pStyle w:val="BodyText"/>
        <w:tabs>
          <w:tab w:val="left" w:pos="426"/>
        </w:tabs>
        <w:spacing w:line="360" w:lineRule="auto"/>
        <w:jc w:val="both"/>
        <w:rPr>
          <w:b/>
        </w:rPr>
      </w:pPr>
      <w:r w:rsidRPr="00E9271E">
        <w:rPr>
          <w:b/>
        </w:rPr>
        <w:tab/>
      </w:r>
      <w:r w:rsidR="001B1ED3" w:rsidRPr="00E9271E">
        <w:rPr>
          <w:b/>
        </w:rPr>
        <w:t>Кредитен риск</w:t>
      </w:r>
    </w:p>
    <w:p w:rsidR="001B1ED3" w:rsidRPr="00E9271E" w:rsidRDefault="001B1ED3" w:rsidP="00F60F1C">
      <w:pPr>
        <w:pStyle w:val="BodyText"/>
        <w:tabs>
          <w:tab w:val="left" w:pos="426"/>
        </w:tabs>
        <w:spacing w:line="360" w:lineRule="auto"/>
        <w:jc w:val="both"/>
      </w:pPr>
      <w:r w:rsidRPr="00E9271E">
        <w:tab/>
        <w:t>При осъществяване на своята дейност дружеството е изложено на кредитен риск, който е свързан с възможността някой от контрагентите му да не бъде в състояние да изпълни изцяло и в обичайно предвидените срокове задълженията си към него. Финансовите активи на дружеството са концентрирани в две групи: парични средства и вземания. Паричните средства в дружеството и разплащателните операции са съсредоточени в търговски банки със стабилна ликвидност, което ограничава риска относно паричните средства и паричните еквиваленти. Събираемостта и концентрацията на вземанията се контролира текущо и стриктно, съгласно установената политика на дружеството.</w:t>
      </w:r>
    </w:p>
    <w:p w:rsidR="001B1ED3" w:rsidRPr="00E9271E" w:rsidRDefault="00DD4F71" w:rsidP="00F60F1C">
      <w:pPr>
        <w:pStyle w:val="BodyText"/>
        <w:tabs>
          <w:tab w:val="left" w:pos="426"/>
        </w:tabs>
        <w:spacing w:line="360" w:lineRule="auto"/>
        <w:jc w:val="both"/>
        <w:rPr>
          <w:b/>
        </w:rPr>
      </w:pPr>
      <w:r w:rsidRPr="00E9271E">
        <w:rPr>
          <w:b/>
        </w:rPr>
        <w:tab/>
      </w:r>
      <w:r w:rsidR="001B1ED3" w:rsidRPr="00E9271E">
        <w:rPr>
          <w:b/>
        </w:rPr>
        <w:t>Ликвиден риск</w:t>
      </w:r>
    </w:p>
    <w:p w:rsidR="001B1ED3" w:rsidRPr="00E9271E" w:rsidRDefault="001B1ED3" w:rsidP="00F60F1C">
      <w:pPr>
        <w:tabs>
          <w:tab w:val="left" w:pos="426"/>
        </w:tabs>
        <w:spacing w:line="360" w:lineRule="auto"/>
        <w:jc w:val="both"/>
      </w:pPr>
      <w:r w:rsidRPr="00E9271E">
        <w:tab/>
        <w:t>Ликвидният риск се изразява в негативната ситуация дружеството да не бъде в състояние да посрещне безусловно всички свои задължения съгласно техния падеж. То провежда консервативна политика по управление на ликвидността, чрез която постоянно поддържа оптимален ликвиден запас парични средства и добра способност за финансиране на стопанската си дейност.</w:t>
      </w:r>
    </w:p>
    <w:p w:rsidR="006B1C0E" w:rsidRPr="00E9271E" w:rsidRDefault="00EC17DE" w:rsidP="00F60F1C">
      <w:pPr>
        <w:spacing w:line="360" w:lineRule="auto"/>
        <w:ind w:firstLine="708"/>
        <w:jc w:val="both"/>
      </w:pPr>
      <w:r w:rsidRPr="00E9271E">
        <w:t xml:space="preserve">Предвид </w:t>
      </w:r>
      <w:r w:rsidR="00A22C31" w:rsidRPr="00E9271E">
        <w:t>обстоятелството, че финансовата криза засегна най-силно пазара на недвижими имоти в страна</w:t>
      </w:r>
      <w:r w:rsidR="006879D7" w:rsidRPr="00E9271E">
        <w:t>та</w:t>
      </w:r>
      <w:r w:rsidR="00A22C31" w:rsidRPr="00E9271E">
        <w:t xml:space="preserve">, „АДИС” ЕООД разработи стратегия за подобряване на своите пазарни позиции. </w:t>
      </w:r>
    </w:p>
    <w:p w:rsidR="007F0E27" w:rsidRPr="00E9271E" w:rsidRDefault="007F0E27" w:rsidP="00F60F1C">
      <w:pPr>
        <w:spacing w:line="360" w:lineRule="auto"/>
        <w:ind w:firstLine="708"/>
        <w:jc w:val="both"/>
      </w:pPr>
      <w:r w:rsidRPr="00E9271E">
        <w:lastRenderedPageBreak/>
        <w:t>Основен проблем при реализиране</w:t>
      </w:r>
      <w:r w:rsidR="001B1ED3" w:rsidRPr="00E9271E">
        <w:t>то на сделките</w:t>
      </w:r>
      <w:r w:rsidRPr="00E9271E">
        <w:t xml:space="preserve"> е усложнената процедура за отдаване под наем на активи, собственост на </w:t>
      </w:r>
      <w:r w:rsidR="00EF1A52" w:rsidRPr="00E9271E">
        <w:t>дружество</w:t>
      </w:r>
      <w:r w:rsidRPr="00E9271E">
        <w:t>то. Същата е регламентирана в</w:t>
      </w:r>
      <w:r w:rsidR="00C466EF" w:rsidRPr="00E9271E">
        <w:t xml:space="preserve"> </w:t>
      </w:r>
      <w:r w:rsidRPr="00E9271E">
        <w:t xml:space="preserve">чл. </w:t>
      </w:r>
      <w:r w:rsidR="00182AD7" w:rsidRPr="00E9271E">
        <w:t xml:space="preserve">14 </w:t>
      </w:r>
      <w:r w:rsidRPr="00E9271E">
        <w:t xml:space="preserve">от </w:t>
      </w:r>
      <w:r w:rsidR="00182AD7" w:rsidRPr="00E9271E">
        <w:t>ПРУПДТДДУК.</w:t>
      </w:r>
      <w:r w:rsidRPr="00E9271E">
        <w:t xml:space="preserve"> Времетраенето на процедурата е над </w:t>
      </w:r>
      <w:r w:rsidR="00182AD7" w:rsidRPr="00E9271E">
        <w:t>30</w:t>
      </w:r>
      <w:r w:rsidRPr="00E9271E">
        <w:t xml:space="preserve"> дни.</w:t>
      </w:r>
    </w:p>
    <w:p w:rsidR="00A93EC0" w:rsidRPr="00E9271E" w:rsidRDefault="007F0E27" w:rsidP="00F60F1C">
      <w:pPr>
        <w:spacing w:line="360" w:lineRule="auto"/>
        <w:jc w:val="both"/>
      </w:pPr>
      <w:r w:rsidRPr="00E9271E">
        <w:tab/>
      </w:r>
      <w:r w:rsidR="00182AD7" w:rsidRPr="00E9271E">
        <w:t>Законът ни ограничава да бъдем гъвкави и приспособими към пазарните условия, тъй като процедурата е строго</w:t>
      </w:r>
      <w:r w:rsidR="00C108C0" w:rsidRPr="00E9271E">
        <w:t xml:space="preserve"> формална, минималната цена е фиксирана и вероятността от съдебно обжалване на процедурите ни </w:t>
      </w:r>
      <w:r w:rsidR="00EA7AC7" w:rsidRPr="00E9271E">
        <w:t>правят неконкурентни на пазара</w:t>
      </w:r>
      <w:r w:rsidR="00EA7AC7" w:rsidRPr="00E9271E">
        <w:rPr>
          <w:lang w:val="en-US"/>
        </w:rPr>
        <w:t xml:space="preserve">, </w:t>
      </w:r>
      <w:r w:rsidR="00EA7AC7" w:rsidRPr="00E9271E">
        <w:t>д</w:t>
      </w:r>
      <w:r w:rsidR="00C108C0" w:rsidRPr="00E9271E">
        <w:t>окато конкуренцията на свободния пазар може да договаря цените в момента на сключване на сделката и частните собственици са склонни на големи отстъпки. Много от потенциалните ни клиенти (най-вече чуждестранни лица) желаят в най-кратки срокове да наемат имот, но поради дългата процедура, АДИС ЕООД не би могло да покрие техните очаквания.</w:t>
      </w:r>
    </w:p>
    <w:p w:rsidR="00A93EC0" w:rsidRPr="00E9271E" w:rsidRDefault="00A93EC0" w:rsidP="00F60F1C">
      <w:pPr>
        <w:spacing w:line="360" w:lineRule="auto"/>
        <w:jc w:val="both"/>
        <w:rPr>
          <w:lang w:val="en-US"/>
        </w:rPr>
      </w:pPr>
      <w:r w:rsidRPr="00E9271E">
        <w:tab/>
        <w:t>Друг неблагоприятен фактор, който влияе върху дейността на дружеството е откритата процедура за приватизация през м.декември 2011 г., във връзка с което клиентите ни се чувстват несигурни при</w:t>
      </w:r>
      <w:r w:rsidR="00A74731" w:rsidRPr="00E9271E">
        <w:t xml:space="preserve"> сключване</w:t>
      </w:r>
      <w:r w:rsidRPr="00E9271E">
        <w:t xml:space="preserve"> на дългосрочни договори.</w:t>
      </w:r>
    </w:p>
    <w:p w:rsidR="007F0E27" w:rsidRPr="00E9271E" w:rsidRDefault="00D44DA0" w:rsidP="00F60F1C">
      <w:pPr>
        <w:spacing w:line="360" w:lineRule="auto"/>
        <w:ind w:firstLine="708"/>
        <w:jc w:val="both"/>
      </w:pPr>
      <w:r w:rsidRPr="00E9271E">
        <w:t>С</w:t>
      </w:r>
      <w:r w:rsidR="007F0E27" w:rsidRPr="00E9271E">
        <w:t xml:space="preserve"> цел</w:t>
      </w:r>
      <w:r w:rsidR="00C466EF" w:rsidRPr="00E9271E">
        <w:t xml:space="preserve"> </w:t>
      </w:r>
      <w:r w:rsidR="007F0E27" w:rsidRPr="00E9271E">
        <w:t>запазване на пазарния сегмент и завоюване на нови клиенти,</w:t>
      </w:r>
      <w:r w:rsidR="00C466EF" w:rsidRPr="00E9271E">
        <w:t xml:space="preserve"> </w:t>
      </w:r>
      <w:r w:rsidR="007F0E27" w:rsidRPr="00E9271E">
        <w:t xml:space="preserve">„АДИС” ЕООД разработи стратегия за подобряване на своите пазарни позиции. На базата на анализ на състоянието на пазара на луксозни недвижими имоти и оценка на силните и слаби страни на бизнеса на </w:t>
      </w:r>
      <w:r w:rsidR="00EF1A52" w:rsidRPr="00E9271E">
        <w:t>дружество</w:t>
      </w:r>
      <w:r w:rsidR="007F0E27" w:rsidRPr="00E9271E">
        <w:t>то са направени конкретни предложения и предприети действия за запазване на пазарните позиции чрез различни маркетингови инструменти.</w:t>
      </w:r>
    </w:p>
    <w:p w:rsidR="00202A18" w:rsidRPr="00E9271E" w:rsidRDefault="00202A18" w:rsidP="00F60F1C">
      <w:pPr>
        <w:spacing w:line="360" w:lineRule="auto"/>
        <w:ind w:firstLine="708"/>
        <w:jc w:val="both"/>
      </w:pPr>
      <w:r w:rsidRPr="00E9271E">
        <w:t>Ръководството на “АДИС” ЕООД счита, че ще продължи и за в бъдеще успешно да осигурява необходимите за продължаване на дейността му финансови средства, както от съществуващите към датата на баланса източници така и от нови такива, включително от неговия едноличен собственик. Считаме</w:t>
      </w:r>
      <w:r w:rsidR="00D44DA0" w:rsidRPr="00E9271E">
        <w:t>,</w:t>
      </w:r>
      <w:r w:rsidRPr="00E9271E">
        <w:t xml:space="preserve"> че не съществува намерение или обективна</w:t>
      </w:r>
      <w:r w:rsidR="00F96453" w:rsidRPr="00E9271E">
        <w:t xml:space="preserve"> </w:t>
      </w:r>
      <w:r w:rsidRPr="00E9271E">
        <w:t xml:space="preserve">необходимост Дружеството да съкрати съществено обема на дейността си или да преустанови дейността си в близко бъдеще. </w:t>
      </w:r>
    </w:p>
    <w:p w:rsidR="00202A18" w:rsidRPr="00E9271E" w:rsidRDefault="00202A18" w:rsidP="00F60F1C">
      <w:pPr>
        <w:spacing w:line="360" w:lineRule="auto"/>
        <w:ind w:firstLine="708"/>
        <w:jc w:val="both"/>
      </w:pPr>
    </w:p>
    <w:sectPr w:rsidR="00202A18" w:rsidRPr="00E9271E" w:rsidSect="00F40ABC">
      <w:headerReference w:type="default" r:id="rId8"/>
      <w:footerReference w:type="default" r:id="rId9"/>
      <w:pgSz w:w="11906" w:h="16838" w:code="9"/>
      <w:pgMar w:top="1135" w:right="1416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1C2" w:rsidRDefault="000271C2" w:rsidP="009C41EF">
      <w:r>
        <w:separator/>
      </w:r>
    </w:p>
  </w:endnote>
  <w:endnote w:type="continuationSeparator" w:id="0">
    <w:p w:rsidR="000271C2" w:rsidRDefault="000271C2" w:rsidP="009C41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f0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79C1" w:rsidRDefault="005079C1">
    <w:pPr>
      <w:pStyle w:val="Footer"/>
      <w:jc w:val="right"/>
    </w:pPr>
  </w:p>
  <w:p w:rsidR="00D950BD" w:rsidRDefault="00D950BD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E300D">
      <w:rPr>
        <w:noProof/>
      </w:rPr>
      <w:t>6</w:t>
    </w:r>
    <w:r>
      <w:rPr>
        <w:noProof/>
      </w:rPr>
      <w:fldChar w:fldCharType="end"/>
    </w:r>
  </w:p>
  <w:p w:rsidR="00D950BD" w:rsidRPr="00D950BD" w:rsidRDefault="00D950BD" w:rsidP="00D950BD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1C2" w:rsidRDefault="000271C2" w:rsidP="009C41EF">
      <w:r>
        <w:separator/>
      </w:r>
    </w:p>
  </w:footnote>
  <w:footnote w:type="continuationSeparator" w:id="0">
    <w:p w:rsidR="000271C2" w:rsidRDefault="000271C2" w:rsidP="009C41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529E" w:rsidRPr="0098426C" w:rsidRDefault="0041529E" w:rsidP="009C41EF">
    <w:pPr>
      <w:pStyle w:val="Header"/>
      <w:pBdr>
        <w:bottom w:val="single" w:sz="4" w:space="1" w:color="auto"/>
      </w:pBdr>
      <w:jc w:val="center"/>
      <w:rPr>
        <w:rFonts w:ascii="Cambria" w:hAnsi="Cambria"/>
        <w:b/>
      </w:rPr>
    </w:pPr>
    <w:r w:rsidRPr="0098426C">
      <w:rPr>
        <w:rFonts w:ascii="Cambria" w:hAnsi="Cambria"/>
        <w:b/>
      </w:rPr>
      <w:t>АГЕНЦИЯ ДИПЛОМАТИЧЕСКИ ИМОТИ В СТРАНАТА ЕООД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8.85pt;height:8.85pt" o:bullet="t">
        <v:imagedata r:id="rId1" o:title="BD10299_"/>
      </v:shape>
    </w:pict>
  </w:numPicBullet>
  <w:abstractNum w:abstractNumId="0">
    <w:nsid w:val="0D890134"/>
    <w:multiLevelType w:val="multilevel"/>
    <w:tmpl w:val="92E85E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9125F1D"/>
    <w:multiLevelType w:val="multilevel"/>
    <w:tmpl w:val="4D702B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FB733B1"/>
    <w:multiLevelType w:val="hybridMultilevel"/>
    <w:tmpl w:val="2444A9A8"/>
    <w:lvl w:ilvl="0" w:tplc="4E50D2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94F879E8">
      <w:start w:val="2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color w:val="auto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1EF5955"/>
    <w:multiLevelType w:val="multilevel"/>
    <w:tmpl w:val="AD504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F457DD0"/>
    <w:multiLevelType w:val="hybridMultilevel"/>
    <w:tmpl w:val="F01E55F8"/>
    <w:lvl w:ilvl="0" w:tplc="BEC4E676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5">
    <w:nsid w:val="46D76DAA"/>
    <w:multiLevelType w:val="hybridMultilevel"/>
    <w:tmpl w:val="1A04858A"/>
    <w:lvl w:ilvl="0" w:tplc="94F879E8">
      <w:start w:val="2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eastAsia="Times New Roman" w:hAnsi="Symbol" w:cs="Times New Roman" w:hint="default"/>
        <w:color w:val="auto"/>
      </w:rPr>
    </w:lvl>
    <w:lvl w:ilvl="1" w:tplc="6C5A2A0E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D99261D"/>
    <w:multiLevelType w:val="multilevel"/>
    <w:tmpl w:val="AFDAD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4493ECB"/>
    <w:multiLevelType w:val="multilevel"/>
    <w:tmpl w:val="9FC26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75F1240"/>
    <w:multiLevelType w:val="multilevel"/>
    <w:tmpl w:val="A6FC7B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E8317E1"/>
    <w:multiLevelType w:val="multilevel"/>
    <w:tmpl w:val="96F0E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6743774"/>
    <w:multiLevelType w:val="hybridMultilevel"/>
    <w:tmpl w:val="2156508C"/>
    <w:lvl w:ilvl="0" w:tplc="4E50D2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D256B74"/>
    <w:multiLevelType w:val="hybridMultilevel"/>
    <w:tmpl w:val="2FEA9934"/>
    <w:lvl w:ilvl="0" w:tplc="4E50D2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6C5A2A0E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  <w:lvlOverride w:ilvl="0">
      <w:startOverride w:val="1"/>
    </w:lvlOverride>
  </w:num>
  <w:num w:numId="3">
    <w:abstractNumId w:val="7"/>
    <w:lvlOverride w:ilvl="0">
      <w:startOverride w:val="2"/>
    </w:lvlOverride>
  </w:num>
  <w:num w:numId="4">
    <w:abstractNumId w:val="7"/>
    <w:lvlOverride w:ilvl="0">
      <w:startOverride w:val="3"/>
    </w:lvlOverride>
  </w:num>
  <w:num w:numId="5">
    <w:abstractNumId w:val="7"/>
    <w:lvlOverride w:ilvl="0">
      <w:startOverride w:val="4"/>
    </w:lvlOverride>
  </w:num>
  <w:num w:numId="6">
    <w:abstractNumId w:val="7"/>
    <w:lvlOverride w:ilvl="0">
      <w:startOverride w:val="5"/>
    </w:lvlOverride>
  </w:num>
  <w:num w:numId="7">
    <w:abstractNumId w:val="1"/>
    <w:lvlOverride w:ilvl="0">
      <w:startOverride w:val="1"/>
    </w:lvlOverride>
  </w:num>
  <w:num w:numId="8">
    <w:abstractNumId w:val="1"/>
    <w:lvlOverride w:ilvl="0">
      <w:startOverride w:val="2"/>
    </w:lvlOverride>
  </w:num>
  <w:num w:numId="9">
    <w:abstractNumId w:val="3"/>
    <w:lvlOverride w:ilvl="0">
      <w:startOverride w:val="6"/>
    </w:lvlOverride>
  </w:num>
  <w:num w:numId="10">
    <w:abstractNumId w:val="3"/>
    <w:lvlOverride w:ilvl="0">
      <w:startOverride w:val="7"/>
    </w:lvlOverride>
  </w:num>
  <w:num w:numId="11">
    <w:abstractNumId w:val="3"/>
    <w:lvlOverride w:ilvl="0">
      <w:startOverride w:val="8"/>
    </w:lvlOverride>
  </w:num>
  <w:num w:numId="12">
    <w:abstractNumId w:val="3"/>
    <w:lvlOverride w:ilvl="0">
      <w:startOverride w:val="9"/>
    </w:lvlOverride>
  </w:num>
  <w:num w:numId="13">
    <w:abstractNumId w:val="8"/>
    <w:lvlOverride w:ilvl="0">
      <w:startOverride w:val="10"/>
    </w:lvlOverride>
  </w:num>
  <w:num w:numId="14">
    <w:abstractNumId w:val="8"/>
    <w:lvlOverride w:ilvl="0">
      <w:startOverride w:val="11"/>
    </w:lvlOverride>
  </w:num>
  <w:num w:numId="15">
    <w:abstractNumId w:val="8"/>
    <w:lvlOverride w:ilvl="0">
      <w:startOverride w:val="12"/>
    </w:lvlOverride>
  </w:num>
  <w:num w:numId="16">
    <w:abstractNumId w:val="8"/>
    <w:lvlOverride w:ilvl="0">
      <w:startOverride w:val="13"/>
    </w:lvlOverride>
  </w:num>
  <w:num w:numId="17">
    <w:abstractNumId w:val="8"/>
    <w:lvlOverride w:ilvl="0">
      <w:startOverride w:val="14"/>
    </w:lvlOverride>
  </w:num>
  <w:num w:numId="18">
    <w:abstractNumId w:val="8"/>
    <w:lvlOverride w:ilvl="0">
      <w:startOverride w:val="15"/>
    </w:lvlOverride>
  </w:num>
  <w:num w:numId="19">
    <w:abstractNumId w:val="9"/>
    <w:lvlOverride w:ilvl="0">
      <w:startOverride w:val="16"/>
    </w:lvlOverride>
  </w:num>
  <w:num w:numId="20">
    <w:abstractNumId w:val="9"/>
    <w:lvlOverride w:ilvl="0">
      <w:startOverride w:val="17"/>
    </w:lvlOverride>
  </w:num>
  <w:num w:numId="21">
    <w:abstractNumId w:val="9"/>
    <w:lvlOverride w:ilvl="0">
      <w:startOverride w:val="18"/>
    </w:lvlOverride>
  </w:num>
  <w:num w:numId="22">
    <w:abstractNumId w:val="6"/>
    <w:lvlOverride w:ilvl="0">
      <w:startOverride w:val="19"/>
    </w:lvlOverride>
  </w:num>
  <w:num w:numId="23">
    <w:abstractNumId w:val="6"/>
    <w:lvlOverride w:ilvl="0">
      <w:startOverride w:val="20"/>
    </w:lvlOverride>
  </w:num>
  <w:num w:numId="24">
    <w:abstractNumId w:val="6"/>
    <w:lvlOverride w:ilvl="0">
      <w:startOverride w:val="21"/>
    </w:lvlOverride>
  </w:num>
  <w:num w:numId="25">
    <w:abstractNumId w:val="0"/>
    <w:lvlOverride w:ilvl="0">
      <w:startOverride w:val="22"/>
    </w:lvlOverride>
  </w:num>
  <w:num w:numId="26">
    <w:abstractNumId w:val="0"/>
    <w:lvlOverride w:ilvl="0">
      <w:startOverride w:val="23"/>
    </w:lvlOverride>
  </w:num>
  <w:num w:numId="27">
    <w:abstractNumId w:val="0"/>
    <w:lvlOverride w:ilvl="0">
      <w:startOverride w:val="24"/>
    </w:lvlOverride>
  </w:num>
  <w:num w:numId="28">
    <w:abstractNumId w:val="0"/>
    <w:lvlOverride w:ilvl="0">
      <w:startOverride w:val="25"/>
    </w:lvlOverride>
  </w:num>
  <w:num w:numId="29">
    <w:abstractNumId w:val="2"/>
  </w:num>
  <w:num w:numId="30">
    <w:abstractNumId w:val="10"/>
  </w:num>
  <w:num w:numId="31">
    <w:abstractNumId w:val="5"/>
  </w:num>
  <w:num w:numId="32">
    <w:abstractNumId w:val="11"/>
  </w:num>
  <w:num w:numId="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B25B3"/>
    <w:rsid w:val="00001898"/>
    <w:rsid w:val="00015090"/>
    <w:rsid w:val="00020A61"/>
    <w:rsid w:val="00024041"/>
    <w:rsid w:val="00026D4B"/>
    <w:rsid w:val="000271C2"/>
    <w:rsid w:val="00027B5F"/>
    <w:rsid w:val="00043385"/>
    <w:rsid w:val="00043446"/>
    <w:rsid w:val="00050871"/>
    <w:rsid w:val="00055D8F"/>
    <w:rsid w:val="00062BD6"/>
    <w:rsid w:val="000639CE"/>
    <w:rsid w:val="00064CCB"/>
    <w:rsid w:val="00084978"/>
    <w:rsid w:val="000869D0"/>
    <w:rsid w:val="000921E8"/>
    <w:rsid w:val="00095619"/>
    <w:rsid w:val="000A0C4E"/>
    <w:rsid w:val="000A2EA0"/>
    <w:rsid w:val="000A4BA5"/>
    <w:rsid w:val="000A50EF"/>
    <w:rsid w:val="000B4CD0"/>
    <w:rsid w:val="000B5219"/>
    <w:rsid w:val="000B621F"/>
    <w:rsid w:val="000B6C9B"/>
    <w:rsid w:val="000C029F"/>
    <w:rsid w:val="000C409A"/>
    <w:rsid w:val="000C4DC7"/>
    <w:rsid w:val="000D0BFF"/>
    <w:rsid w:val="000D138F"/>
    <w:rsid w:val="000D1481"/>
    <w:rsid w:val="000D52EE"/>
    <w:rsid w:val="000D5DCA"/>
    <w:rsid w:val="000D77B5"/>
    <w:rsid w:val="000E26E8"/>
    <w:rsid w:val="000E675B"/>
    <w:rsid w:val="000F1084"/>
    <w:rsid w:val="000F247E"/>
    <w:rsid w:val="000F698F"/>
    <w:rsid w:val="00100AA9"/>
    <w:rsid w:val="00100F07"/>
    <w:rsid w:val="00110E08"/>
    <w:rsid w:val="00111B5F"/>
    <w:rsid w:val="00112F4C"/>
    <w:rsid w:val="0011475C"/>
    <w:rsid w:val="00117D2F"/>
    <w:rsid w:val="00120F16"/>
    <w:rsid w:val="0012209B"/>
    <w:rsid w:val="00131A9C"/>
    <w:rsid w:val="00132E42"/>
    <w:rsid w:val="001411B2"/>
    <w:rsid w:val="00143936"/>
    <w:rsid w:val="001447C4"/>
    <w:rsid w:val="00145375"/>
    <w:rsid w:val="0014594C"/>
    <w:rsid w:val="0014713D"/>
    <w:rsid w:val="00150BD5"/>
    <w:rsid w:val="00155B51"/>
    <w:rsid w:val="0016279F"/>
    <w:rsid w:val="00162934"/>
    <w:rsid w:val="00177F2A"/>
    <w:rsid w:val="00180C3D"/>
    <w:rsid w:val="001818E2"/>
    <w:rsid w:val="00182AD7"/>
    <w:rsid w:val="001838CE"/>
    <w:rsid w:val="001839DC"/>
    <w:rsid w:val="00183A7F"/>
    <w:rsid w:val="00183ADC"/>
    <w:rsid w:val="0019096F"/>
    <w:rsid w:val="00194076"/>
    <w:rsid w:val="00195AC3"/>
    <w:rsid w:val="001972A6"/>
    <w:rsid w:val="001A03D8"/>
    <w:rsid w:val="001A6A4A"/>
    <w:rsid w:val="001B118B"/>
    <w:rsid w:val="001B1ED3"/>
    <w:rsid w:val="001B25B3"/>
    <w:rsid w:val="001B3E1C"/>
    <w:rsid w:val="001B7D21"/>
    <w:rsid w:val="001C30AF"/>
    <w:rsid w:val="001C4968"/>
    <w:rsid w:val="001D009E"/>
    <w:rsid w:val="001D2B20"/>
    <w:rsid w:val="001D59D4"/>
    <w:rsid w:val="001D62FC"/>
    <w:rsid w:val="001D79E2"/>
    <w:rsid w:val="001E188B"/>
    <w:rsid w:val="001E211A"/>
    <w:rsid w:val="001E624E"/>
    <w:rsid w:val="001E74E8"/>
    <w:rsid w:val="001E778A"/>
    <w:rsid w:val="001E7ECB"/>
    <w:rsid w:val="001F283B"/>
    <w:rsid w:val="001F3F54"/>
    <w:rsid w:val="001F55E1"/>
    <w:rsid w:val="001F5905"/>
    <w:rsid w:val="00201B7A"/>
    <w:rsid w:val="00202A18"/>
    <w:rsid w:val="002068E4"/>
    <w:rsid w:val="00206D71"/>
    <w:rsid w:val="002162F5"/>
    <w:rsid w:val="00227128"/>
    <w:rsid w:val="00227ED5"/>
    <w:rsid w:val="00237A5F"/>
    <w:rsid w:val="002441FD"/>
    <w:rsid w:val="002450DC"/>
    <w:rsid w:val="00252BE5"/>
    <w:rsid w:val="0025328D"/>
    <w:rsid w:val="00256DE2"/>
    <w:rsid w:val="00257370"/>
    <w:rsid w:val="00257610"/>
    <w:rsid w:val="0026074D"/>
    <w:rsid w:val="002619C4"/>
    <w:rsid w:val="00262C93"/>
    <w:rsid w:val="00267C8B"/>
    <w:rsid w:val="00271532"/>
    <w:rsid w:val="0028454D"/>
    <w:rsid w:val="002858A6"/>
    <w:rsid w:val="002874BD"/>
    <w:rsid w:val="00292CB5"/>
    <w:rsid w:val="002962A8"/>
    <w:rsid w:val="0029727A"/>
    <w:rsid w:val="002A1221"/>
    <w:rsid w:val="002A3D9C"/>
    <w:rsid w:val="002A6CC5"/>
    <w:rsid w:val="002B3765"/>
    <w:rsid w:val="002B3D3A"/>
    <w:rsid w:val="002B496A"/>
    <w:rsid w:val="002B763A"/>
    <w:rsid w:val="002C0C6A"/>
    <w:rsid w:val="002C4285"/>
    <w:rsid w:val="002C781C"/>
    <w:rsid w:val="002D7B92"/>
    <w:rsid w:val="002E2295"/>
    <w:rsid w:val="002E61ED"/>
    <w:rsid w:val="002F1AE2"/>
    <w:rsid w:val="002F3E56"/>
    <w:rsid w:val="002F4871"/>
    <w:rsid w:val="00302B22"/>
    <w:rsid w:val="00306A43"/>
    <w:rsid w:val="00311EB8"/>
    <w:rsid w:val="0031391C"/>
    <w:rsid w:val="00325D23"/>
    <w:rsid w:val="00326786"/>
    <w:rsid w:val="00351863"/>
    <w:rsid w:val="00365F9F"/>
    <w:rsid w:val="003734AF"/>
    <w:rsid w:val="00377A0A"/>
    <w:rsid w:val="00381C4D"/>
    <w:rsid w:val="0038759A"/>
    <w:rsid w:val="00391ECD"/>
    <w:rsid w:val="003A3F75"/>
    <w:rsid w:val="003A4855"/>
    <w:rsid w:val="003A79A8"/>
    <w:rsid w:val="003A7CBF"/>
    <w:rsid w:val="003B19DD"/>
    <w:rsid w:val="003B475A"/>
    <w:rsid w:val="003B76F1"/>
    <w:rsid w:val="003C24D1"/>
    <w:rsid w:val="003C2D01"/>
    <w:rsid w:val="003C65E1"/>
    <w:rsid w:val="003D1952"/>
    <w:rsid w:val="003D2A8E"/>
    <w:rsid w:val="003D74E5"/>
    <w:rsid w:val="003E0713"/>
    <w:rsid w:val="003E465D"/>
    <w:rsid w:val="003F7101"/>
    <w:rsid w:val="0040210A"/>
    <w:rsid w:val="004047D5"/>
    <w:rsid w:val="00414513"/>
    <w:rsid w:val="0041529E"/>
    <w:rsid w:val="00417C39"/>
    <w:rsid w:val="00417DFE"/>
    <w:rsid w:val="0042010F"/>
    <w:rsid w:val="004230FC"/>
    <w:rsid w:val="00434672"/>
    <w:rsid w:val="00437EC0"/>
    <w:rsid w:val="00442F8D"/>
    <w:rsid w:val="004548BC"/>
    <w:rsid w:val="00454DBF"/>
    <w:rsid w:val="00456BE2"/>
    <w:rsid w:val="0046006F"/>
    <w:rsid w:val="004645D7"/>
    <w:rsid w:val="004648F2"/>
    <w:rsid w:val="00465D1F"/>
    <w:rsid w:val="00466E08"/>
    <w:rsid w:val="004701F9"/>
    <w:rsid w:val="00470E1F"/>
    <w:rsid w:val="00472B05"/>
    <w:rsid w:val="0047310A"/>
    <w:rsid w:val="00474562"/>
    <w:rsid w:val="00475B0D"/>
    <w:rsid w:val="004804D9"/>
    <w:rsid w:val="00482C86"/>
    <w:rsid w:val="00482DFA"/>
    <w:rsid w:val="00482FA1"/>
    <w:rsid w:val="004858F3"/>
    <w:rsid w:val="004920BE"/>
    <w:rsid w:val="0049467C"/>
    <w:rsid w:val="004A3437"/>
    <w:rsid w:val="004A4B9C"/>
    <w:rsid w:val="004A6337"/>
    <w:rsid w:val="004A6BC2"/>
    <w:rsid w:val="004B040F"/>
    <w:rsid w:val="004B48BB"/>
    <w:rsid w:val="004B5FD5"/>
    <w:rsid w:val="004B7CD8"/>
    <w:rsid w:val="004C06DD"/>
    <w:rsid w:val="004C19D5"/>
    <w:rsid w:val="004C2340"/>
    <w:rsid w:val="004D2C38"/>
    <w:rsid w:val="004E06AC"/>
    <w:rsid w:val="004E0FDD"/>
    <w:rsid w:val="004E391A"/>
    <w:rsid w:val="004F3A43"/>
    <w:rsid w:val="00503435"/>
    <w:rsid w:val="00507327"/>
    <w:rsid w:val="005079C1"/>
    <w:rsid w:val="00514BA2"/>
    <w:rsid w:val="00517989"/>
    <w:rsid w:val="00525634"/>
    <w:rsid w:val="005412CC"/>
    <w:rsid w:val="00545468"/>
    <w:rsid w:val="00555478"/>
    <w:rsid w:val="00567246"/>
    <w:rsid w:val="00572763"/>
    <w:rsid w:val="00580905"/>
    <w:rsid w:val="0058144C"/>
    <w:rsid w:val="005851AC"/>
    <w:rsid w:val="00592899"/>
    <w:rsid w:val="00597921"/>
    <w:rsid w:val="00597F8D"/>
    <w:rsid w:val="005A0A8B"/>
    <w:rsid w:val="005A4522"/>
    <w:rsid w:val="005B02FD"/>
    <w:rsid w:val="005B5ECD"/>
    <w:rsid w:val="005B62BA"/>
    <w:rsid w:val="005B6431"/>
    <w:rsid w:val="005C1692"/>
    <w:rsid w:val="005C6665"/>
    <w:rsid w:val="005D590D"/>
    <w:rsid w:val="005D5C3A"/>
    <w:rsid w:val="005E0F39"/>
    <w:rsid w:val="005E2768"/>
    <w:rsid w:val="005F15CC"/>
    <w:rsid w:val="005F5ED1"/>
    <w:rsid w:val="005F6258"/>
    <w:rsid w:val="0060002F"/>
    <w:rsid w:val="00600BC5"/>
    <w:rsid w:val="00602540"/>
    <w:rsid w:val="0060476F"/>
    <w:rsid w:val="0060662B"/>
    <w:rsid w:val="00611D5A"/>
    <w:rsid w:val="0061391F"/>
    <w:rsid w:val="00614732"/>
    <w:rsid w:val="006170FB"/>
    <w:rsid w:val="00620079"/>
    <w:rsid w:val="0062024E"/>
    <w:rsid w:val="00623857"/>
    <w:rsid w:val="006238E0"/>
    <w:rsid w:val="0063214C"/>
    <w:rsid w:val="00632329"/>
    <w:rsid w:val="0063320B"/>
    <w:rsid w:val="00633749"/>
    <w:rsid w:val="00637562"/>
    <w:rsid w:val="006376C7"/>
    <w:rsid w:val="00651981"/>
    <w:rsid w:val="006620DA"/>
    <w:rsid w:val="006700B4"/>
    <w:rsid w:val="006845F9"/>
    <w:rsid w:val="00685D7A"/>
    <w:rsid w:val="00686637"/>
    <w:rsid w:val="006879D7"/>
    <w:rsid w:val="00691942"/>
    <w:rsid w:val="006927DA"/>
    <w:rsid w:val="006A1F79"/>
    <w:rsid w:val="006A2613"/>
    <w:rsid w:val="006A7E4E"/>
    <w:rsid w:val="006B1C0E"/>
    <w:rsid w:val="006B670B"/>
    <w:rsid w:val="006D3E62"/>
    <w:rsid w:val="006D46D9"/>
    <w:rsid w:val="006D6AB3"/>
    <w:rsid w:val="006F3838"/>
    <w:rsid w:val="006F76F3"/>
    <w:rsid w:val="00713227"/>
    <w:rsid w:val="00713AC9"/>
    <w:rsid w:val="00717C17"/>
    <w:rsid w:val="0072001A"/>
    <w:rsid w:val="00720A5A"/>
    <w:rsid w:val="00720DC5"/>
    <w:rsid w:val="00721C92"/>
    <w:rsid w:val="0073135C"/>
    <w:rsid w:val="00732D62"/>
    <w:rsid w:val="007369DB"/>
    <w:rsid w:val="007379D3"/>
    <w:rsid w:val="007436F8"/>
    <w:rsid w:val="00745332"/>
    <w:rsid w:val="00747B07"/>
    <w:rsid w:val="00747B6D"/>
    <w:rsid w:val="007534EA"/>
    <w:rsid w:val="007549B9"/>
    <w:rsid w:val="00754B20"/>
    <w:rsid w:val="00756EE0"/>
    <w:rsid w:val="0075772C"/>
    <w:rsid w:val="007648D4"/>
    <w:rsid w:val="00775628"/>
    <w:rsid w:val="007760DD"/>
    <w:rsid w:val="007829B0"/>
    <w:rsid w:val="0079187A"/>
    <w:rsid w:val="0079192D"/>
    <w:rsid w:val="00796750"/>
    <w:rsid w:val="007A349A"/>
    <w:rsid w:val="007A67FD"/>
    <w:rsid w:val="007B2BFE"/>
    <w:rsid w:val="007B6388"/>
    <w:rsid w:val="007C4DA5"/>
    <w:rsid w:val="007D3D92"/>
    <w:rsid w:val="007E077E"/>
    <w:rsid w:val="007E0F08"/>
    <w:rsid w:val="007E4B06"/>
    <w:rsid w:val="007E6683"/>
    <w:rsid w:val="007E7472"/>
    <w:rsid w:val="007F0E27"/>
    <w:rsid w:val="007F3BAD"/>
    <w:rsid w:val="0080254E"/>
    <w:rsid w:val="00802B8F"/>
    <w:rsid w:val="00806409"/>
    <w:rsid w:val="008068A0"/>
    <w:rsid w:val="008079F8"/>
    <w:rsid w:val="00816618"/>
    <w:rsid w:val="00817EE7"/>
    <w:rsid w:val="008202CC"/>
    <w:rsid w:val="00822A3F"/>
    <w:rsid w:val="00824368"/>
    <w:rsid w:val="00825F42"/>
    <w:rsid w:val="00827FBB"/>
    <w:rsid w:val="008308EC"/>
    <w:rsid w:val="00831835"/>
    <w:rsid w:val="008339D9"/>
    <w:rsid w:val="00835479"/>
    <w:rsid w:val="00842210"/>
    <w:rsid w:val="00847D14"/>
    <w:rsid w:val="00850083"/>
    <w:rsid w:val="008523E3"/>
    <w:rsid w:val="00852BD4"/>
    <w:rsid w:val="00865425"/>
    <w:rsid w:val="00866FDB"/>
    <w:rsid w:val="00870718"/>
    <w:rsid w:val="0087146B"/>
    <w:rsid w:val="00871B6B"/>
    <w:rsid w:val="00880D2C"/>
    <w:rsid w:val="0088168A"/>
    <w:rsid w:val="00886248"/>
    <w:rsid w:val="00890217"/>
    <w:rsid w:val="008945F4"/>
    <w:rsid w:val="00895552"/>
    <w:rsid w:val="008A1418"/>
    <w:rsid w:val="008A19F2"/>
    <w:rsid w:val="008A4001"/>
    <w:rsid w:val="008C20D1"/>
    <w:rsid w:val="008D02C3"/>
    <w:rsid w:val="008D1818"/>
    <w:rsid w:val="008E042F"/>
    <w:rsid w:val="008E1B41"/>
    <w:rsid w:val="008E6148"/>
    <w:rsid w:val="008F536D"/>
    <w:rsid w:val="008F5CC5"/>
    <w:rsid w:val="00901F57"/>
    <w:rsid w:val="00906F7B"/>
    <w:rsid w:val="009110BB"/>
    <w:rsid w:val="009159AE"/>
    <w:rsid w:val="00917611"/>
    <w:rsid w:val="0092721C"/>
    <w:rsid w:val="0094469F"/>
    <w:rsid w:val="00944878"/>
    <w:rsid w:val="009520CC"/>
    <w:rsid w:val="0095298E"/>
    <w:rsid w:val="00967508"/>
    <w:rsid w:val="009714A9"/>
    <w:rsid w:val="0098426C"/>
    <w:rsid w:val="00994FB6"/>
    <w:rsid w:val="0099669F"/>
    <w:rsid w:val="009B230E"/>
    <w:rsid w:val="009B2AAD"/>
    <w:rsid w:val="009C0C21"/>
    <w:rsid w:val="009C28C0"/>
    <w:rsid w:val="009C41EF"/>
    <w:rsid w:val="009C4EF8"/>
    <w:rsid w:val="009D2A34"/>
    <w:rsid w:val="009D6385"/>
    <w:rsid w:val="009D711F"/>
    <w:rsid w:val="009E0BD6"/>
    <w:rsid w:val="009E692C"/>
    <w:rsid w:val="009F00C5"/>
    <w:rsid w:val="009F05B0"/>
    <w:rsid w:val="009F2148"/>
    <w:rsid w:val="00A05502"/>
    <w:rsid w:val="00A06ED9"/>
    <w:rsid w:val="00A07083"/>
    <w:rsid w:val="00A14B57"/>
    <w:rsid w:val="00A16570"/>
    <w:rsid w:val="00A172DD"/>
    <w:rsid w:val="00A22C31"/>
    <w:rsid w:val="00A305BC"/>
    <w:rsid w:val="00A312FC"/>
    <w:rsid w:val="00A32FD2"/>
    <w:rsid w:val="00A37A23"/>
    <w:rsid w:val="00A50570"/>
    <w:rsid w:val="00A614D7"/>
    <w:rsid w:val="00A66E01"/>
    <w:rsid w:val="00A73CD0"/>
    <w:rsid w:val="00A74731"/>
    <w:rsid w:val="00A74AA2"/>
    <w:rsid w:val="00A804D6"/>
    <w:rsid w:val="00A80E80"/>
    <w:rsid w:val="00A8244D"/>
    <w:rsid w:val="00A83481"/>
    <w:rsid w:val="00A83606"/>
    <w:rsid w:val="00A862F0"/>
    <w:rsid w:val="00A87E2A"/>
    <w:rsid w:val="00A92425"/>
    <w:rsid w:val="00A93EC0"/>
    <w:rsid w:val="00A97871"/>
    <w:rsid w:val="00A97B0A"/>
    <w:rsid w:val="00A97BC6"/>
    <w:rsid w:val="00AA18D5"/>
    <w:rsid w:val="00AA3701"/>
    <w:rsid w:val="00AA4611"/>
    <w:rsid w:val="00AA5CB3"/>
    <w:rsid w:val="00AB679B"/>
    <w:rsid w:val="00AB6A30"/>
    <w:rsid w:val="00AC325B"/>
    <w:rsid w:val="00AC36B5"/>
    <w:rsid w:val="00AD2106"/>
    <w:rsid w:val="00AD38D7"/>
    <w:rsid w:val="00AD4740"/>
    <w:rsid w:val="00AD5A16"/>
    <w:rsid w:val="00AD75B8"/>
    <w:rsid w:val="00AE07AE"/>
    <w:rsid w:val="00AE2FA7"/>
    <w:rsid w:val="00AF0E31"/>
    <w:rsid w:val="00AF1DB6"/>
    <w:rsid w:val="00AF465A"/>
    <w:rsid w:val="00AF581D"/>
    <w:rsid w:val="00B01A52"/>
    <w:rsid w:val="00B037D1"/>
    <w:rsid w:val="00B04C7F"/>
    <w:rsid w:val="00B05623"/>
    <w:rsid w:val="00B0788D"/>
    <w:rsid w:val="00B07B6E"/>
    <w:rsid w:val="00B12476"/>
    <w:rsid w:val="00B17A51"/>
    <w:rsid w:val="00B21885"/>
    <w:rsid w:val="00B21B3E"/>
    <w:rsid w:val="00B2286A"/>
    <w:rsid w:val="00B23156"/>
    <w:rsid w:val="00B23197"/>
    <w:rsid w:val="00B26412"/>
    <w:rsid w:val="00B305DB"/>
    <w:rsid w:val="00B365F9"/>
    <w:rsid w:val="00B42A1A"/>
    <w:rsid w:val="00B54C6C"/>
    <w:rsid w:val="00B55312"/>
    <w:rsid w:val="00B61411"/>
    <w:rsid w:val="00B65166"/>
    <w:rsid w:val="00B8054B"/>
    <w:rsid w:val="00B82697"/>
    <w:rsid w:val="00B84831"/>
    <w:rsid w:val="00B84859"/>
    <w:rsid w:val="00B91782"/>
    <w:rsid w:val="00B952F9"/>
    <w:rsid w:val="00BA2093"/>
    <w:rsid w:val="00BA7330"/>
    <w:rsid w:val="00BB2D72"/>
    <w:rsid w:val="00BC7AD5"/>
    <w:rsid w:val="00BC7FBD"/>
    <w:rsid w:val="00BD61C3"/>
    <w:rsid w:val="00BE29DC"/>
    <w:rsid w:val="00BE4D90"/>
    <w:rsid w:val="00BE6558"/>
    <w:rsid w:val="00BF07A9"/>
    <w:rsid w:val="00BF4041"/>
    <w:rsid w:val="00BF4747"/>
    <w:rsid w:val="00BF6653"/>
    <w:rsid w:val="00C01AA2"/>
    <w:rsid w:val="00C108C0"/>
    <w:rsid w:val="00C113B9"/>
    <w:rsid w:val="00C12011"/>
    <w:rsid w:val="00C206F6"/>
    <w:rsid w:val="00C219DD"/>
    <w:rsid w:val="00C241A7"/>
    <w:rsid w:val="00C304B1"/>
    <w:rsid w:val="00C327F5"/>
    <w:rsid w:val="00C32E66"/>
    <w:rsid w:val="00C332BF"/>
    <w:rsid w:val="00C3377A"/>
    <w:rsid w:val="00C36BE7"/>
    <w:rsid w:val="00C37FD4"/>
    <w:rsid w:val="00C43913"/>
    <w:rsid w:val="00C4599F"/>
    <w:rsid w:val="00C466EF"/>
    <w:rsid w:val="00C55050"/>
    <w:rsid w:val="00C57D8E"/>
    <w:rsid w:val="00C729B7"/>
    <w:rsid w:val="00C76221"/>
    <w:rsid w:val="00C763FB"/>
    <w:rsid w:val="00C8093D"/>
    <w:rsid w:val="00C823BE"/>
    <w:rsid w:val="00C905D7"/>
    <w:rsid w:val="00C95514"/>
    <w:rsid w:val="00CA4FAE"/>
    <w:rsid w:val="00CA4FF0"/>
    <w:rsid w:val="00CC0F2D"/>
    <w:rsid w:val="00CD00DE"/>
    <w:rsid w:val="00CF24B9"/>
    <w:rsid w:val="00CF3C02"/>
    <w:rsid w:val="00CF6C38"/>
    <w:rsid w:val="00D0509E"/>
    <w:rsid w:val="00D06DD6"/>
    <w:rsid w:val="00D118A6"/>
    <w:rsid w:val="00D12DD4"/>
    <w:rsid w:val="00D16235"/>
    <w:rsid w:val="00D1722F"/>
    <w:rsid w:val="00D20BED"/>
    <w:rsid w:val="00D213DC"/>
    <w:rsid w:val="00D218A1"/>
    <w:rsid w:val="00D227DF"/>
    <w:rsid w:val="00D24B5F"/>
    <w:rsid w:val="00D34723"/>
    <w:rsid w:val="00D43DF2"/>
    <w:rsid w:val="00D44DA0"/>
    <w:rsid w:val="00D5151B"/>
    <w:rsid w:val="00D569CA"/>
    <w:rsid w:val="00D61EAE"/>
    <w:rsid w:val="00D62D33"/>
    <w:rsid w:val="00D67A12"/>
    <w:rsid w:val="00D71E4A"/>
    <w:rsid w:val="00D7392E"/>
    <w:rsid w:val="00D80270"/>
    <w:rsid w:val="00D84961"/>
    <w:rsid w:val="00D90EB6"/>
    <w:rsid w:val="00D950BD"/>
    <w:rsid w:val="00D9716B"/>
    <w:rsid w:val="00D97C47"/>
    <w:rsid w:val="00DA5680"/>
    <w:rsid w:val="00DA79D0"/>
    <w:rsid w:val="00DA7F05"/>
    <w:rsid w:val="00DB2107"/>
    <w:rsid w:val="00DB2440"/>
    <w:rsid w:val="00DB2E15"/>
    <w:rsid w:val="00DB4C65"/>
    <w:rsid w:val="00DC278A"/>
    <w:rsid w:val="00DD491A"/>
    <w:rsid w:val="00DD4F71"/>
    <w:rsid w:val="00DD6564"/>
    <w:rsid w:val="00DE0418"/>
    <w:rsid w:val="00DE300D"/>
    <w:rsid w:val="00DE4A89"/>
    <w:rsid w:val="00DE54EA"/>
    <w:rsid w:val="00DE6098"/>
    <w:rsid w:val="00DE67E0"/>
    <w:rsid w:val="00DF3968"/>
    <w:rsid w:val="00DF5F60"/>
    <w:rsid w:val="00E019A6"/>
    <w:rsid w:val="00E104F8"/>
    <w:rsid w:val="00E12061"/>
    <w:rsid w:val="00E120F6"/>
    <w:rsid w:val="00E12C7C"/>
    <w:rsid w:val="00E13E7B"/>
    <w:rsid w:val="00E140D1"/>
    <w:rsid w:val="00E14D77"/>
    <w:rsid w:val="00E21F0C"/>
    <w:rsid w:val="00E2391A"/>
    <w:rsid w:val="00E33003"/>
    <w:rsid w:val="00E369AC"/>
    <w:rsid w:val="00E41AB9"/>
    <w:rsid w:val="00E473DD"/>
    <w:rsid w:val="00E50332"/>
    <w:rsid w:val="00E575CD"/>
    <w:rsid w:val="00E6079A"/>
    <w:rsid w:val="00E7472B"/>
    <w:rsid w:val="00E82FAB"/>
    <w:rsid w:val="00E902E3"/>
    <w:rsid w:val="00E9271E"/>
    <w:rsid w:val="00E92C74"/>
    <w:rsid w:val="00EA1752"/>
    <w:rsid w:val="00EA1AC6"/>
    <w:rsid w:val="00EA4197"/>
    <w:rsid w:val="00EA5826"/>
    <w:rsid w:val="00EA58BE"/>
    <w:rsid w:val="00EA7AC7"/>
    <w:rsid w:val="00EB07DC"/>
    <w:rsid w:val="00EC0168"/>
    <w:rsid w:val="00EC0BCA"/>
    <w:rsid w:val="00EC17DE"/>
    <w:rsid w:val="00EC5042"/>
    <w:rsid w:val="00EC7922"/>
    <w:rsid w:val="00ED443E"/>
    <w:rsid w:val="00ED6CBE"/>
    <w:rsid w:val="00EE54C4"/>
    <w:rsid w:val="00EE65F5"/>
    <w:rsid w:val="00EE71C9"/>
    <w:rsid w:val="00EE7676"/>
    <w:rsid w:val="00EF1A52"/>
    <w:rsid w:val="00EF1E9F"/>
    <w:rsid w:val="00F0034A"/>
    <w:rsid w:val="00F0686C"/>
    <w:rsid w:val="00F074A3"/>
    <w:rsid w:val="00F12D5C"/>
    <w:rsid w:val="00F1305E"/>
    <w:rsid w:val="00F227D9"/>
    <w:rsid w:val="00F31BD1"/>
    <w:rsid w:val="00F34B85"/>
    <w:rsid w:val="00F35502"/>
    <w:rsid w:val="00F35776"/>
    <w:rsid w:val="00F3593E"/>
    <w:rsid w:val="00F4079B"/>
    <w:rsid w:val="00F40ABC"/>
    <w:rsid w:val="00F43493"/>
    <w:rsid w:val="00F448B2"/>
    <w:rsid w:val="00F52B8F"/>
    <w:rsid w:val="00F55E13"/>
    <w:rsid w:val="00F56F9A"/>
    <w:rsid w:val="00F60F1C"/>
    <w:rsid w:val="00F6103B"/>
    <w:rsid w:val="00F61251"/>
    <w:rsid w:val="00F72AF1"/>
    <w:rsid w:val="00F73799"/>
    <w:rsid w:val="00F738CA"/>
    <w:rsid w:val="00F739CE"/>
    <w:rsid w:val="00F76961"/>
    <w:rsid w:val="00F80460"/>
    <w:rsid w:val="00F848BC"/>
    <w:rsid w:val="00F93F96"/>
    <w:rsid w:val="00F9514E"/>
    <w:rsid w:val="00F96453"/>
    <w:rsid w:val="00FA08BD"/>
    <w:rsid w:val="00FA4905"/>
    <w:rsid w:val="00FA7409"/>
    <w:rsid w:val="00FC6081"/>
    <w:rsid w:val="00FC62A5"/>
    <w:rsid w:val="00FC7E9C"/>
    <w:rsid w:val="00FE07BB"/>
    <w:rsid w:val="00FE22A7"/>
    <w:rsid w:val="00FE2D62"/>
    <w:rsid w:val="00FE3D0F"/>
    <w:rsid w:val="00FE4DEA"/>
    <w:rsid w:val="00FE6CE2"/>
    <w:rsid w:val="00FE77D1"/>
    <w:rsid w:val="00FE7AE2"/>
    <w:rsid w:val="00FF1BF7"/>
    <w:rsid w:val="00FF345F"/>
    <w:rsid w:val="00FF7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bg-BG" w:eastAsia="bg-BG"/>
    </w:rPr>
  </w:style>
  <w:style w:type="paragraph" w:styleId="Heading1">
    <w:name w:val="heading 1"/>
    <w:basedOn w:val="Normal"/>
    <w:next w:val="Normal"/>
    <w:link w:val="Heading1Char"/>
    <w:qFormat/>
    <w:rsid w:val="00F9645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1B118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qFormat/>
    <w:rsid w:val="001B25B3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1B25B3"/>
    <w:pPr>
      <w:spacing w:before="100" w:beforeAutospacing="1" w:after="100" w:afterAutospacing="1"/>
    </w:pPr>
  </w:style>
  <w:style w:type="character" w:customStyle="1" w:styleId="nw1">
    <w:name w:val="nw1"/>
    <w:basedOn w:val="DefaultParagraphFont"/>
    <w:rsid w:val="001B118B"/>
  </w:style>
  <w:style w:type="character" w:customStyle="1" w:styleId="ff01">
    <w:name w:val="ff01"/>
    <w:rsid w:val="001B118B"/>
    <w:rPr>
      <w:rFonts w:ascii="ff0" w:hAnsi="ff0" w:hint="default"/>
    </w:rPr>
  </w:style>
  <w:style w:type="character" w:customStyle="1" w:styleId="ib1">
    <w:name w:val="ib1"/>
    <w:rsid w:val="001B118B"/>
    <w:rPr>
      <w:spacing w:val="0"/>
    </w:rPr>
  </w:style>
  <w:style w:type="paragraph" w:styleId="BalloonText">
    <w:name w:val="Balloon Text"/>
    <w:basedOn w:val="Normal"/>
    <w:semiHidden/>
    <w:rsid w:val="00EE767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AE07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qFormat/>
    <w:rsid w:val="001972A6"/>
    <w:pPr>
      <w:jc w:val="center"/>
    </w:pPr>
    <w:rPr>
      <w:b/>
      <w:sz w:val="20"/>
      <w:szCs w:val="20"/>
      <w:u w:val="single"/>
    </w:rPr>
  </w:style>
  <w:style w:type="paragraph" w:styleId="BodyText2">
    <w:name w:val="Body Text 2"/>
    <w:basedOn w:val="Normal"/>
    <w:next w:val="Normal"/>
    <w:link w:val="BodyText2Char"/>
    <w:rsid w:val="007F0E27"/>
    <w:pPr>
      <w:autoSpaceDE w:val="0"/>
      <w:autoSpaceDN w:val="0"/>
      <w:adjustRightInd w:val="0"/>
    </w:pPr>
    <w:rPr>
      <w:rFonts w:ascii="Arial" w:hAnsi="Arial"/>
    </w:rPr>
  </w:style>
  <w:style w:type="character" w:customStyle="1" w:styleId="BodyText2Char">
    <w:name w:val="Body Text 2 Char"/>
    <w:link w:val="BodyText2"/>
    <w:rsid w:val="007F0E27"/>
    <w:rPr>
      <w:rFonts w:ascii="Arial" w:hAnsi="Arial"/>
      <w:sz w:val="24"/>
      <w:szCs w:val="24"/>
    </w:rPr>
  </w:style>
  <w:style w:type="paragraph" w:styleId="Header">
    <w:name w:val="header"/>
    <w:basedOn w:val="Normal"/>
    <w:link w:val="HeaderChar"/>
    <w:rsid w:val="009C41E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9C41EF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9C41EF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9C41EF"/>
    <w:rPr>
      <w:sz w:val="24"/>
      <w:szCs w:val="24"/>
    </w:rPr>
  </w:style>
  <w:style w:type="character" w:styleId="CommentReference">
    <w:name w:val="annotation reference"/>
    <w:semiHidden/>
    <w:rsid w:val="001D2B20"/>
    <w:rPr>
      <w:sz w:val="16"/>
      <w:szCs w:val="16"/>
    </w:rPr>
  </w:style>
  <w:style w:type="paragraph" w:styleId="CommentText">
    <w:name w:val="annotation text"/>
    <w:basedOn w:val="Normal"/>
    <w:semiHidden/>
    <w:rsid w:val="001D2B20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D2B20"/>
    <w:rPr>
      <w:b/>
      <w:bCs/>
    </w:rPr>
  </w:style>
  <w:style w:type="paragraph" w:styleId="BodyText">
    <w:name w:val="Body Text"/>
    <w:basedOn w:val="Normal"/>
    <w:link w:val="BodyTextChar"/>
    <w:rsid w:val="00202A18"/>
    <w:pPr>
      <w:spacing w:after="120"/>
    </w:pPr>
  </w:style>
  <w:style w:type="character" w:customStyle="1" w:styleId="BodyTextChar">
    <w:name w:val="Body Text Char"/>
    <w:link w:val="BodyText"/>
    <w:rsid w:val="00202A18"/>
    <w:rPr>
      <w:sz w:val="24"/>
      <w:szCs w:val="24"/>
    </w:rPr>
  </w:style>
  <w:style w:type="paragraph" w:styleId="EndnoteText">
    <w:name w:val="endnote text"/>
    <w:basedOn w:val="Normal"/>
    <w:link w:val="EndnoteTextChar"/>
    <w:rsid w:val="003A4855"/>
    <w:rPr>
      <w:sz w:val="20"/>
      <w:szCs w:val="20"/>
    </w:rPr>
  </w:style>
  <w:style w:type="character" w:customStyle="1" w:styleId="EndnoteTextChar">
    <w:name w:val="Endnote Text Char"/>
    <w:link w:val="EndnoteText"/>
    <w:rsid w:val="003A4855"/>
    <w:rPr>
      <w:lang w:val="bg-BG" w:eastAsia="bg-BG"/>
    </w:rPr>
  </w:style>
  <w:style w:type="character" w:styleId="EndnoteReference">
    <w:name w:val="endnote reference"/>
    <w:rsid w:val="003A4855"/>
    <w:rPr>
      <w:vertAlign w:val="superscript"/>
    </w:rPr>
  </w:style>
  <w:style w:type="character" w:styleId="Emphasis">
    <w:name w:val="Emphasis"/>
    <w:qFormat/>
    <w:rsid w:val="00F96453"/>
    <w:rPr>
      <w:i/>
      <w:iCs/>
    </w:rPr>
  </w:style>
  <w:style w:type="character" w:customStyle="1" w:styleId="Heading1Char">
    <w:name w:val="Heading 1 Char"/>
    <w:link w:val="Heading1"/>
    <w:rsid w:val="00F96453"/>
    <w:rPr>
      <w:rFonts w:ascii="Cambria" w:eastAsia="Times New Roman" w:hAnsi="Cambria" w:cs="Times New Roman"/>
      <w:b/>
      <w:bCs/>
      <w:kern w:val="32"/>
      <w:sz w:val="32"/>
      <w:szCs w:val="32"/>
      <w:lang w:val="bg-BG" w:eastAsia="bg-BG"/>
    </w:rPr>
  </w:style>
  <w:style w:type="character" w:styleId="Strong">
    <w:name w:val="Strong"/>
    <w:qFormat/>
    <w:rsid w:val="00F96453"/>
    <w:rPr>
      <w:b/>
      <w:bCs/>
    </w:rPr>
  </w:style>
  <w:style w:type="paragraph" w:styleId="Subtitle">
    <w:name w:val="Subtitle"/>
    <w:basedOn w:val="Normal"/>
    <w:next w:val="Normal"/>
    <w:link w:val="SubtitleChar"/>
    <w:qFormat/>
    <w:rsid w:val="00F96453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link w:val="Subtitle"/>
    <w:rsid w:val="00F96453"/>
    <w:rPr>
      <w:rFonts w:ascii="Cambria" w:eastAsia="Times New Roman" w:hAnsi="Cambria" w:cs="Times New Roman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31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88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5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868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871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8444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459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2903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4959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9591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3598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09667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14830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4440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1272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06600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556846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593059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806612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585135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524928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136981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199638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058840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070400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128182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635429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488247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86963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279185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450787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581981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215683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447225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198355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666692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864796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906482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093404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350365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366100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285488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129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92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94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273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89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2159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23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8840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3241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2365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02802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3506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57586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59000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790884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504309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294167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70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3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49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01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903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51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1629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9549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83196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5082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21933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32696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9945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60180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627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74827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923732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128283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753088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526636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713263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889030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135798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405935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425546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105905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16817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770506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968042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842256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486114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331350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625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72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27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086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1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2956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4072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6447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394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1037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31542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109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82709">
          <w:marLeft w:val="2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1728">
          <w:marLeft w:val="2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248214">
          <w:marLeft w:val="2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84101">
          <w:marLeft w:val="2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737984">
          <w:marLeft w:val="2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11196">
          <w:marLeft w:val="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765816">
          <w:marLeft w:val="2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457747">
          <w:marLeft w:val="2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50432">
          <w:marLeft w:val="2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357095">
          <w:marLeft w:val="2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79216">
          <w:marLeft w:val="2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253230">
          <w:marLeft w:val="2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86436">
          <w:marLeft w:val="2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20030">
          <w:marLeft w:val="2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456429">
          <w:marLeft w:val="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71417">
          <w:marLeft w:val="2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5771">
          <w:marLeft w:val="2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225858">
          <w:marLeft w:val="2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09524">
          <w:marLeft w:val="2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411403">
          <w:marLeft w:val="2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622630">
          <w:marLeft w:val="2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39904">
          <w:marLeft w:val="2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593111">
          <w:marLeft w:val="2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1EAC61-92FC-42CE-B302-9AEB39F32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1444</Words>
  <Characters>8231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АНАЛИЗ НА ПАЗАРНИТЕ ПОЗИЦИИ НА</vt:lpstr>
    </vt:vector>
  </TitlesOfParts>
  <Company>ADIS LTD</Company>
  <LinksUpToDate>false</LinksUpToDate>
  <CharactersWithSpaces>9656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АНАЛИЗ НА ПАЗАРНИТЕ ПОЗИЦИИ НА</dc:title>
  <dc:creator>SNEJANA BRATOEVA</dc:creator>
  <cp:keywords>Analysis</cp:keywords>
  <cp:lastModifiedBy>S Bratoeva</cp:lastModifiedBy>
  <cp:revision>3</cp:revision>
  <cp:lastPrinted>2014-07-17T12:43:00Z</cp:lastPrinted>
  <dcterms:created xsi:type="dcterms:W3CDTF">2015-04-17T09:17:00Z</dcterms:created>
  <dcterms:modified xsi:type="dcterms:W3CDTF">2015-04-17T09:17:00Z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