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4BA" w:rsidRPr="004E1DB3" w:rsidRDefault="00D914BA" w:rsidP="004E1DB3">
      <w:pPr>
        <w:pStyle w:val="Title"/>
        <w:spacing w:line="360" w:lineRule="auto"/>
        <w:ind w:left="181"/>
        <w:jc w:val="both"/>
        <w:rPr>
          <w:rFonts w:ascii="Calibri" w:hAnsi="Calibri"/>
          <w:sz w:val="22"/>
          <w:szCs w:val="22"/>
        </w:rPr>
      </w:pPr>
    </w:p>
    <w:p w:rsidR="00D914BA" w:rsidRPr="004E1DB3" w:rsidRDefault="00D914BA" w:rsidP="004E1DB3">
      <w:pPr>
        <w:pStyle w:val="Title"/>
        <w:spacing w:line="360" w:lineRule="auto"/>
        <w:ind w:left="181"/>
        <w:rPr>
          <w:rFonts w:ascii="Calibri" w:hAnsi="Calibri"/>
          <w:sz w:val="22"/>
          <w:szCs w:val="22"/>
        </w:rPr>
      </w:pPr>
      <w:r w:rsidRPr="004E1DB3">
        <w:rPr>
          <w:rFonts w:ascii="Calibri" w:hAnsi="Calibri"/>
          <w:sz w:val="22"/>
          <w:szCs w:val="22"/>
        </w:rPr>
        <w:t>Финансово-икономически анализ</w:t>
      </w:r>
    </w:p>
    <w:p w:rsidR="00D914BA" w:rsidRPr="004E1DB3" w:rsidRDefault="00D914BA" w:rsidP="004E1DB3">
      <w:pPr>
        <w:spacing w:line="360" w:lineRule="auto"/>
        <w:ind w:left="181"/>
        <w:jc w:val="center"/>
        <w:rPr>
          <w:b/>
          <w:caps/>
          <w:lang w:val="bg-BG"/>
        </w:rPr>
      </w:pPr>
      <w:r w:rsidRPr="004E1DB3">
        <w:rPr>
          <w:b/>
          <w:caps/>
          <w:lang w:val="bg-BG"/>
        </w:rPr>
        <w:t>на дейността на „ИНФОРМАЦИОННО ОБСЛУЖВАНЕ” АД към 30.0</w:t>
      </w:r>
      <w:r w:rsidRPr="004E1DB3">
        <w:rPr>
          <w:b/>
          <w:caps/>
        </w:rPr>
        <w:t>9</w:t>
      </w:r>
      <w:r>
        <w:rPr>
          <w:b/>
          <w:caps/>
          <w:lang w:val="bg-BG"/>
        </w:rPr>
        <w:t>.2013</w:t>
      </w:r>
      <w:r w:rsidRPr="004E1DB3">
        <w:rPr>
          <w:b/>
          <w:caps/>
          <w:lang w:val="bg-BG"/>
        </w:rPr>
        <w:t>г.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b/>
          <w:bCs/>
          <w:color w:val="4F81BD"/>
          <w:u w:val="single"/>
          <w:lang w:val="bg-BG"/>
        </w:rPr>
      </w:pPr>
      <w:r w:rsidRPr="004E1DB3">
        <w:rPr>
          <w:b/>
          <w:bCs/>
          <w:color w:val="4F81BD"/>
          <w:u w:val="single"/>
          <w:lang w:val="bg-BG"/>
        </w:rPr>
        <w:t>Основни показатели за Дружеството</w:t>
      </w:r>
    </w:p>
    <w:p w:rsidR="00D914BA" w:rsidRPr="004E1DB3" w:rsidRDefault="00D914BA" w:rsidP="004E1DB3">
      <w:pPr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textAlignment w:val="baseline"/>
        <w:rPr>
          <w:rFonts w:cs="Arial"/>
          <w:lang w:val="bg-BG"/>
        </w:rPr>
      </w:pPr>
      <w:r w:rsidRPr="004E1DB3">
        <w:rPr>
          <w:rFonts w:cs="Arial"/>
          <w:lang w:val="bg-BG"/>
        </w:rPr>
        <w:t>Основните показатели за дейността на Дружеството за периода Януари – Септември 2013г. в сравнение със същия период на 2012г. са както следва:</w:t>
      </w:r>
    </w:p>
    <w:tbl>
      <w:tblPr>
        <w:tblpPr w:leftFromText="141" w:rightFromText="141" w:vertAnchor="text" w:horzAnchor="margin" w:tblpXSpec="center" w:tblpY="110"/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A0"/>
      </w:tblPr>
      <w:tblGrid>
        <w:gridCol w:w="3827"/>
        <w:gridCol w:w="1559"/>
        <w:gridCol w:w="1668"/>
        <w:gridCol w:w="1559"/>
      </w:tblGrid>
      <w:tr w:rsidR="00D914BA" w:rsidRPr="00D63A35" w:rsidTr="00D63A35">
        <w:tc>
          <w:tcPr>
            <w:tcW w:w="3827" w:type="dxa"/>
          </w:tcPr>
          <w:p w:rsidR="00D914BA" w:rsidRPr="00D63A35" w:rsidRDefault="00D914BA" w:rsidP="00D63A35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color w:val="000000"/>
                <w:lang w:val="bg-BG" w:eastAsia="bg-BG"/>
              </w:rPr>
              <w:t>Показатели/период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Отчетен период</w:t>
            </w:r>
          </w:p>
        </w:tc>
        <w:tc>
          <w:tcPr>
            <w:tcW w:w="1668" w:type="dxa"/>
          </w:tcPr>
          <w:p w:rsidR="00D914BA" w:rsidRPr="00D63A35" w:rsidRDefault="00D914BA" w:rsidP="00D63A35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Съответен период на предходната година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color w:val="000000"/>
                <w:lang w:val="bg-BG" w:eastAsia="bg-BG"/>
              </w:rPr>
              <w:t>Изменение в %</w:t>
            </w:r>
          </w:p>
        </w:tc>
      </w:tr>
      <w:tr w:rsidR="00D914BA" w:rsidRPr="00D63A35" w:rsidTr="00D63A35">
        <w:trPr>
          <w:trHeight w:val="342"/>
        </w:trPr>
        <w:tc>
          <w:tcPr>
            <w:tcW w:w="3827" w:type="dxa"/>
          </w:tcPr>
          <w:p w:rsidR="00D914BA" w:rsidRPr="00D63A35" w:rsidRDefault="00D914BA" w:rsidP="00D63A35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Приходи от продажби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</w:rPr>
            </w:pPr>
            <w:r w:rsidRPr="00D63A35">
              <w:rPr>
                <w:rFonts w:cs="Arial"/>
              </w:rPr>
              <w:t>1</w:t>
            </w:r>
            <w:r w:rsidRPr="00D63A35">
              <w:rPr>
                <w:rFonts w:cs="Arial"/>
                <w:lang w:val="bg-BG"/>
              </w:rPr>
              <w:t>4</w:t>
            </w:r>
            <w:r w:rsidRPr="00D63A35">
              <w:rPr>
                <w:rFonts w:cs="Arial"/>
              </w:rPr>
              <w:t> </w:t>
            </w:r>
            <w:r w:rsidRPr="00D63A35">
              <w:rPr>
                <w:rFonts w:cs="Arial"/>
                <w:lang w:val="bg-BG"/>
              </w:rPr>
              <w:t>878</w:t>
            </w:r>
            <w:r w:rsidRPr="00D63A35">
              <w:rPr>
                <w:rFonts w:cs="Arial"/>
              </w:rPr>
              <w:t xml:space="preserve"> х</w:t>
            </w:r>
            <w:r w:rsidRPr="00D63A35">
              <w:rPr>
                <w:rFonts w:cs="Arial"/>
                <w:lang w:val="bg-BG"/>
              </w:rPr>
              <w:t>ил</w:t>
            </w:r>
            <w:r w:rsidRPr="00D63A35">
              <w:rPr>
                <w:rFonts w:cs="Arial"/>
              </w:rPr>
              <w:t>.лв.</w:t>
            </w:r>
          </w:p>
        </w:tc>
        <w:tc>
          <w:tcPr>
            <w:tcW w:w="1668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</w:rPr>
            </w:pPr>
            <w:r w:rsidRPr="00D63A35">
              <w:rPr>
                <w:rFonts w:cs="Arial"/>
                <w:lang w:val="bg-BG"/>
              </w:rPr>
              <w:t>10 787</w:t>
            </w:r>
            <w:r w:rsidRPr="00D63A35">
              <w:rPr>
                <w:rFonts w:cs="Arial"/>
              </w:rPr>
              <w:t xml:space="preserve"> х</w:t>
            </w:r>
            <w:r w:rsidRPr="00D63A35">
              <w:rPr>
                <w:rFonts w:cs="Arial"/>
                <w:lang w:val="bg-BG"/>
              </w:rPr>
              <w:t>ил</w:t>
            </w:r>
            <w:r w:rsidRPr="00D63A35">
              <w:rPr>
                <w:rFonts w:cs="Arial"/>
              </w:rPr>
              <w:t>.лв.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</w:rPr>
            </w:pPr>
            <w:r w:rsidRPr="00D63A35">
              <w:rPr>
                <w:rFonts w:cs="Arial"/>
              </w:rPr>
              <w:t>+38%</w:t>
            </w:r>
          </w:p>
        </w:tc>
      </w:tr>
      <w:tr w:rsidR="00D914BA" w:rsidRPr="00D63A35" w:rsidTr="00D63A35">
        <w:tc>
          <w:tcPr>
            <w:tcW w:w="3827" w:type="dxa"/>
          </w:tcPr>
          <w:p w:rsidR="00D914BA" w:rsidRPr="00D63A35" w:rsidRDefault="00D914BA" w:rsidP="00D63A35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Печалба/загуба преди данъци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</w:rPr>
            </w:pPr>
            <w:r w:rsidRPr="00D63A35">
              <w:rPr>
                <w:rFonts w:cs="Arial"/>
              </w:rPr>
              <w:t>2 </w:t>
            </w:r>
            <w:r w:rsidRPr="00D63A35">
              <w:rPr>
                <w:rFonts w:cs="Arial"/>
                <w:lang w:val="bg-BG"/>
              </w:rPr>
              <w:t>11</w:t>
            </w:r>
            <w:r w:rsidRPr="00D63A35">
              <w:rPr>
                <w:rFonts w:cs="Arial"/>
              </w:rPr>
              <w:t>1 х</w:t>
            </w:r>
            <w:r w:rsidRPr="00D63A35">
              <w:rPr>
                <w:rFonts w:cs="Arial"/>
                <w:lang w:val="bg-BG"/>
              </w:rPr>
              <w:t>ил</w:t>
            </w:r>
            <w:r w:rsidRPr="00D63A35">
              <w:rPr>
                <w:rFonts w:cs="Arial"/>
              </w:rPr>
              <w:t>.лв.</w:t>
            </w:r>
          </w:p>
        </w:tc>
        <w:tc>
          <w:tcPr>
            <w:tcW w:w="1668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  <w:color w:val="FF0000"/>
              </w:rPr>
            </w:pPr>
            <w:r w:rsidRPr="00D63A35">
              <w:rPr>
                <w:rFonts w:cs="Arial"/>
                <w:color w:val="FF0000"/>
              </w:rPr>
              <w:t>(</w:t>
            </w:r>
            <w:r w:rsidRPr="00D63A35">
              <w:rPr>
                <w:rFonts w:cs="Arial"/>
                <w:color w:val="FF0000"/>
                <w:lang w:val="bg-BG"/>
              </w:rPr>
              <w:t>1 695</w:t>
            </w:r>
            <w:r w:rsidRPr="00D63A35">
              <w:rPr>
                <w:rFonts w:cs="Arial"/>
                <w:color w:val="FF0000"/>
              </w:rPr>
              <w:t>) х</w:t>
            </w:r>
            <w:r w:rsidRPr="00D63A35">
              <w:rPr>
                <w:rFonts w:cs="Arial"/>
                <w:color w:val="FF0000"/>
                <w:lang w:val="bg-BG"/>
              </w:rPr>
              <w:t>ил</w:t>
            </w:r>
            <w:r w:rsidRPr="00D63A35">
              <w:rPr>
                <w:rFonts w:cs="Arial"/>
                <w:color w:val="FF0000"/>
              </w:rPr>
              <w:t>.лв.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</w:rPr>
            </w:pPr>
            <w:r w:rsidRPr="00D63A35">
              <w:rPr>
                <w:rFonts w:cs="Arial"/>
              </w:rPr>
              <w:t>+</w:t>
            </w:r>
            <w:r w:rsidRPr="00D63A35">
              <w:rPr>
                <w:rFonts w:cs="Arial"/>
                <w:lang w:val="bg-BG"/>
              </w:rPr>
              <w:t>225</w:t>
            </w:r>
            <w:r w:rsidRPr="00D63A35">
              <w:rPr>
                <w:rFonts w:cs="Arial"/>
              </w:rPr>
              <w:t>%</w:t>
            </w:r>
          </w:p>
        </w:tc>
      </w:tr>
      <w:tr w:rsidR="00D914BA" w:rsidRPr="00D63A35" w:rsidTr="00D63A35">
        <w:tc>
          <w:tcPr>
            <w:tcW w:w="3827" w:type="dxa"/>
          </w:tcPr>
          <w:p w:rsidR="00D914BA" w:rsidRPr="00D63A35" w:rsidRDefault="00D914BA" w:rsidP="00D63A35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Рентабилност на база печалба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</w:rPr>
            </w:pPr>
            <w:r w:rsidRPr="00D63A35">
              <w:rPr>
                <w:rFonts w:cs="Arial"/>
                <w:lang w:val="bg-BG"/>
              </w:rPr>
              <w:t>14</w:t>
            </w:r>
            <w:r w:rsidRPr="00D63A35">
              <w:rPr>
                <w:rFonts w:cs="Arial"/>
              </w:rPr>
              <w:t>%</w:t>
            </w:r>
          </w:p>
        </w:tc>
        <w:tc>
          <w:tcPr>
            <w:tcW w:w="1668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  <w:color w:val="FF0000"/>
              </w:rPr>
            </w:pPr>
            <w:r w:rsidRPr="00D63A35">
              <w:rPr>
                <w:rFonts w:cs="Arial"/>
                <w:color w:val="FF0000"/>
              </w:rPr>
              <w:t>-1</w:t>
            </w:r>
            <w:r w:rsidRPr="00D63A35">
              <w:rPr>
                <w:rFonts w:cs="Arial"/>
                <w:color w:val="FF0000"/>
                <w:lang w:val="bg-BG"/>
              </w:rPr>
              <w:t>5</w:t>
            </w:r>
            <w:r w:rsidRPr="00D63A35">
              <w:rPr>
                <w:rFonts w:cs="Arial"/>
                <w:color w:val="FF0000"/>
              </w:rPr>
              <w:t>%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</w:rPr>
            </w:pPr>
            <w:r w:rsidRPr="00D63A35">
              <w:rPr>
                <w:rFonts w:cs="Arial"/>
              </w:rPr>
              <w:t>+</w:t>
            </w:r>
            <w:r w:rsidRPr="00D63A35">
              <w:rPr>
                <w:rFonts w:cs="Arial"/>
                <w:lang w:val="bg-BG"/>
              </w:rPr>
              <w:t>29</w:t>
            </w:r>
            <w:r w:rsidRPr="00D63A35">
              <w:rPr>
                <w:rFonts w:cs="Arial"/>
              </w:rPr>
              <w:t>%</w:t>
            </w:r>
          </w:p>
        </w:tc>
      </w:tr>
      <w:tr w:rsidR="00D914BA" w:rsidRPr="00D63A35" w:rsidTr="00D63A35">
        <w:tc>
          <w:tcPr>
            <w:tcW w:w="3827" w:type="dxa"/>
          </w:tcPr>
          <w:p w:rsidR="00D914BA" w:rsidRPr="00D63A35" w:rsidRDefault="00D914BA" w:rsidP="00D63A35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Приходи от продажби на 1 зает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</w:rPr>
            </w:pPr>
            <w:r w:rsidRPr="00D63A35">
              <w:rPr>
                <w:rFonts w:cs="Arial"/>
                <w:lang w:val="bg-BG"/>
              </w:rPr>
              <w:t>2 900</w:t>
            </w:r>
            <w:r w:rsidRPr="00D63A35">
              <w:rPr>
                <w:rFonts w:cs="Arial"/>
              </w:rPr>
              <w:t>лв.</w:t>
            </w:r>
          </w:p>
        </w:tc>
        <w:tc>
          <w:tcPr>
            <w:tcW w:w="1668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</w:rPr>
            </w:pPr>
            <w:r w:rsidRPr="00D63A35">
              <w:rPr>
                <w:rFonts w:cs="Arial"/>
                <w:lang w:val="bg-BG"/>
              </w:rPr>
              <w:t>1 978</w:t>
            </w:r>
            <w:r w:rsidRPr="00D63A35">
              <w:rPr>
                <w:rFonts w:cs="Arial"/>
              </w:rPr>
              <w:t>лв.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</w:rPr>
            </w:pPr>
            <w:r w:rsidRPr="00D63A35">
              <w:rPr>
                <w:rFonts w:cs="Arial"/>
              </w:rPr>
              <w:t>+47%</w:t>
            </w:r>
          </w:p>
        </w:tc>
      </w:tr>
      <w:tr w:rsidR="00D914BA" w:rsidRPr="00D63A35" w:rsidTr="00D63A35">
        <w:tc>
          <w:tcPr>
            <w:tcW w:w="3827" w:type="dxa"/>
          </w:tcPr>
          <w:p w:rsidR="00D914BA" w:rsidRPr="00D63A35" w:rsidRDefault="00D914BA" w:rsidP="00D63A35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Средносписъчен брой служители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  <w:lang w:val="bg-BG"/>
              </w:rPr>
            </w:pPr>
            <w:r w:rsidRPr="00D63A35">
              <w:rPr>
                <w:rFonts w:cs="Arial"/>
              </w:rPr>
              <w:t>57</w:t>
            </w:r>
            <w:r w:rsidRPr="00D63A35">
              <w:rPr>
                <w:rFonts w:cs="Arial"/>
                <w:lang w:val="bg-BG"/>
              </w:rPr>
              <w:t>0</w:t>
            </w:r>
          </w:p>
        </w:tc>
        <w:tc>
          <w:tcPr>
            <w:tcW w:w="1668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  <w:lang w:val="bg-BG"/>
              </w:rPr>
            </w:pPr>
            <w:r w:rsidRPr="00D63A35">
              <w:rPr>
                <w:rFonts w:cs="Arial"/>
              </w:rPr>
              <w:t>6</w:t>
            </w:r>
            <w:r w:rsidRPr="00D63A35">
              <w:rPr>
                <w:rFonts w:cs="Arial"/>
                <w:lang w:val="bg-BG"/>
              </w:rPr>
              <w:t>06</w:t>
            </w:r>
          </w:p>
        </w:tc>
        <w:tc>
          <w:tcPr>
            <w:tcW w:w="1559" w:type="dxa"/>
          </w:tcPr>
          <w:p w:rsidR="00D914BA" w:rsidRPr="00D63A35" w:rsidRDefault="00D914BA" w:rsidP="00D63A35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jc w:val="center"/>
              <w:textAlignment w:val="baseline"/>
              <w:rPr>
                <w:rFonts w:cs="Arial"/>
                <w:color w:val="FF0000"/>
              </w:rPr>
            </w:pPr>
            <w:r w:rsidRPr="00D63A35">
              <w:rPr>
                <w:rFonts w:cs="Arial"/>
                <w:color w:val="FF0000"/>
              </w:rPr>
              <w:t>-6%</w:t>
            </w:r>
          </w:p>
        </w:tc>
      </w:tr>
    </w:tbl>
    <w:p w:rsidR="00D914BA" w:rsidRDefault="00D914BA" w:rsidP="004E1DB3">
      <w:pPr>
        <w:spacing w:line="240" w:lineRule="auto"/>
        <w:ind w:firstLine="708"/>
        <w:jc w:val="both"/>
        <w:rPr>
          <w:b/>
          <w:bCs/>
          <w:color w:val="4F81BD"/>
          <w:u w:val="single"/>
        </w:rPr>
      </w:pPr>
    </w:p>
    <w:p w:rsidR="00D914BA" w:rsidRPr="004E1DB3" w:rsidRDefault="00D914BA" w:rsidP="004E1DB3">
      <w:pPr>
        <w:spacing w:line="240" w:lineRule="auto"/>
        <w:ind w:firstLine="708"/>
        <w:jc w:val="both"/>
        <w:rPr>
          <w:b/>
          <w:bCs/>
          <w:color w:val="4F81BD"/>
          <w:u w:val="single"/>
          <w:lang w:val="bg-BG"/>
        </w:rPr>
      </w:pPr>
      <w:r w:rsidRPr="004E1DB3">
        <w:rPr>
          <w:b/>
          <w:bCs/>
          <w:color w:val="4F81BD"/>
          <w:u w:val="single"/>
          <w:lang w:val="bg-BG"/>
        </w:rPr>
        <w:t>Основни дейности, формиращи приходите на дружеството</w:t>
      </w:r>
    </w:p>
    <w:p w:rsidR="00D914BA" w:rsidRPr="004E1DB3" w:rsidRDefault="00D914BA" w:rsidP="004E1DB3">
      <w:pPr>
        <w:ind w:firstLine="708"/>
        <w:jc w:val="both"/>
      </w:pPr>
      <w:r w:rsidRPr="004E1DB3">
        <w:rPr>
          <w:lang w:val="bg-BG"/>
        </w:rPr>
        <w:t>Приходите, разпределени по видове,</w:t>
      </w:r>
      <w:r w:rsidRPr="004E1DB3">
        <w:rPr>
          <w:bCs/>
          <w:lang w:val="bg-BG"/>
        </w:rPr>
        <w:t xml:space="preserve">по отчет в сравнение с Бизнес план (колона 2) и със съответния период на предходната година (колона 3) </w:t>
      </w:r>
      <w:r w:rsidRPr="004E1DB3">
        <w:rPr>
          <w:lang w:val="bg-BG"/>
        </w:rPr>
        <w:t xml:space="preserve">са показани в Таблица № 1.  </w:t>
      </w:r>
    </w:p>
    <w:p w:rsidR="00D914BA" w:rsidRDefault="00D914BA" w:rsidP="007D0278">
      <w:pPr>
        <w:pStyle w:val="Heading3"/>
        <w:spacing w:before="0" w:line="240" w:lineRule="auto"/>
        <w:jc w:val="center"/>
        <w:rPr>
          <w:rFonts w:ascii="Calibri" w:hAnsi="Calibri"/>
          <w:b w:val="0"/>
          <w:bCs w:val="0"/>
          <w:lang w:val="bg-BG"/>
        </w:rPr>
      </w:pPr>
      <w:r w:rsidRPr="004E1DB3">
        <w:rPr>
          <w:rFonts w:ascii="Calibri" w:hAnsi="Calibri"/>
          <w:lang w:val="bg-BG"/>
        </w:rPr>
        <w:t>Таблица № 1. „ИО” АД – Приходи по видове за периода 01.01 – 30.09.2013г.</w:t>
      </w:r>
    </w:p>
    <w:p w:rsidR="00D914BA" w:rsidRPr="004E1DB3" w:rsidRDefault="00D914BA" w:rsidP="007D0278">
      <w:pPr>
        <w:pStyle w:val="Heading3"/>
        <w:spacing w:before="0" w:line="240" w:lineRule="auto"/>
        <w:jc w:val="center"/>
        <w:rPr>
          <w:rFonts w:ascii="Calibri" w:hAnsi="Calibri"/>
          <w:lang w:val="bg-BG"/>
        </w:rPr>
      </w:pPr>
    </w:p>
    <w:tbl>
      <w:tblPr>
        <w:tblW w:w="918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2580"/>
        <w:gridCol w:w="1340"/>
        <w:gridCol w:w="1340"/>
        <w:gridCol w:w="1340"/>
        <w:gridCol w:w="1300"/>
        <w:gridCol w:w="1280"/>
      </w:tblGrid>
      <w:tr w:rsidR="00D914BA" w:rsidRPr="00D63A35" w:rsidTr="00DC38D8">
        <w:trPr>
          <w:trHeight w:val="288"/>
        </w:trPr>
        <w:tc>
          <w:tcPr>
            <w:tcW w:w="258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Приходи</w:t>
            </w:r>
          </w:p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eastAsia="bg-BG"/>
              </w:rPr>
            </w:pPr>
            <w:r w:rsidRPr="00D63A35">
              <w:rPr>
                <w:b/>
                <w:bCs/>
                <w:color w:val="000000"/>
                <w:lang w:eastAsia="bg-BG"/>
              </w:rPr>
              <w:t>(</w:t>
            </w:r>
            <w:r w:rsidRPr="00D63A35">
              <w:rPr>
                <w:b/>
                <w:bCs/>
                <w:color w:val="000000"/>
                <w:lang w:val="bg-BG" w:eastAsia="bg-BG"/>
              </w:rPr>
              <w:t>хил.лв.</w:t>
            </w:r>
            <w:r w:rsidRPr="00D63A35">
              <w:rPr>
                <w:b/>
                <w:bCs/>
                <w:color w:val="000000"/>
                <w:lang w:eastAsia="bg-BG"/>
              </w:rPr>
              <w:t>)</w:t>
            </w:r>
          </w:p>
        </w:tc>
        <w:tc>
          <w:tcPr>
            <w:tcW w:w="134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Отчетен период</w:t>
            </w:r>
          </w:p>
        </w:tc>
        <w:tc>
          <w:tcPr>
            <w:tcW w:w="134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Бизнес план</w:t>
            </w:r>
          </w:p>
        </w:tc>
        <w:tc>
          <w:tcPr>
            <w:tcW w:w="134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  <w:tc>
          <w:tcPr>
            <w:tcW w:w="130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Съответен период на пред-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ходната година</w:t>
            </w:r>
          </w:p>
        </w:tc>
        <w:tc>
          <w:tcPr>
            <w:tcW w:w="128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</w:tr>
      <w:tr w:rsidR="00D914BA" w:rsidRPr="00D63A35" w:rsidTr="00DC38D8">
        <w:trPr>
          <w:trHeight w:val="1176"/>
        </w:trPr>
        <w:tc>
          <w:tcPr>
            <w:tcW w:w="258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4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4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4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0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28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DC38D8">
        <w:trPr>
          <w:trHeight w:val="300"/>
        </w:trPr>
        <w:tc>
          <w:tcPr>
            <w:tcW w:w="258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4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1</w:t>
            </w:r>
          </w:p>
        </w:tc>
        <w:tc>
          <w:tcPr>
            <w:tcW w:w="134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2</w:t>
            </w:r>
          </w:p>
        </w:tc>
        <w:tc>
          <w:tcPr>
            <w:tcW w:w="134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к.1/к.2</w:t>
            </w:r>
          </w:p>
        </w:tc>
        <w:tc>
          <w:tcPr>
            <w:tcW w:w="130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3</w:t>
            </w:r>
          </w:p>
        </w:tc>
        <w:tc>
          <w:tcPr>
            <w:tcW w:w="128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к.1/к.3</w:t>
            </w:r>
          </w:p>
        </w:tc>
      </w:tr>
      <w:tr w:rsidR="00D914BA" w:rsidRPr="00D63A35" w:rsidTr="00DC38D8">
        <w:trPr>
          <w:trHeight w:val="312"/>
        </w:trPr>
        <w:tc>
          <w:tcPr>
            <w:tcW w:w="25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ОБЩО ПРИХОДИ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lang w:val="bg-BG" w:eastAsia="bg-BG"/>
              </w:rPr>
            </w:pPr>
            <w:r w:rsidRPr="00D63A35">
              <w:rPr>
                <w:b/>
                <w:bCs/>
                <w:lang w:val="bg-BG" w:eastAsia="bg-BG"/>
              </w:rPr>
              <w:t>14 878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lang w:val="bg-BG" w:eastAsia="bg-BG"/>
              </w:rPr>
            </w:pPr>
            <w:r w:rsidRPr="00D63A35">
              <w:rPr>
                <w:b/>
                <w:bCs/>
                <w:lang w:val="bg-BG" w:eastAsia="bg-BG"/>
              </w:rPr>
              <w:t>16 243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D63A35">
              <w:rPr>
                <w:b/>
                <w:bCs/>
                <w:color w:val="FF0000"/>
                <w:lang w:val="bg-BG" w:eastAsia="bg-BG"/>
              </w:rPr>
              <w:t>-8%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lang w:val="bg-BG" w:eastAsia="bg-BG"/>
              </w:rPr>
            </w:pPr>
            <w:r w:rsidRPr="00D63A35">
              <w:rPr>
                <w:b/>
                <w:bCs/>
                <w:lang w:val="bg-BG" w:eastAsia="bg-BG"/>
              </w:rPr>
              <w:t>10 787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lang w:val="bg-BG" w:eastAsia="bg-BG"/>
              </w:rPr>
            </w:pPr>
            <w:r w:rsidRPr="00D63A35">
              <w:rPr>
                <w:b/>
                <w:bCs/>
                <w:lang w:val="bg-BG" w:eastAsia="bg-BG"/>
              </w:rPr>
              <w:t>38%</w:t>
            </w:r>
          </w:p>
        </w:tc>
      </w:tr>
      <w:tr w:rsidR="00D914BA" w:rsidRPr="00D63A35" w:rsidTr="00DC38D8">
        <w:trPr>
          <w:trHeight w:val="300"/>
        </w:trPr>
        <w:tc>
          <w:tcPr>
            <w:tcW w:w="9180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7D0278">
            <w:pPr>
              <w:spacing w:after="0" w:line="240" w:lineRule="auto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в т.ч.:</w:t>
            </w:r>
          </w:p>
        </w:tc>
      </w:tr>
      <w:tr w:rsidR="00D914BA" w:rsidRPr="00D63A35" w:rsidTr="00DC38D8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Приходи от продажби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14 671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15 943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10 711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37%</w:t>
            </w:r>
          </w:p>
        </w:tc>
      </w:tr>
      <w:tr w:rsidR="00D914BA" w:rsidRPr="00D63A35" w:rsidTr="00DC38D8">
        <w:trPr>
          <w:trHeight w:val="300"/>
        </w:trPr>
        <w:tc>
          <w:tcPr>
            <w:tcW w:w="9180" w:type="dxa"/>
            <w:gridSpan w:val="6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7D0278">
            <w:pPr>
              <w:spacing w:after="0" w:line="240" w:lineRule="auto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в т.ч.:</w:t>
            </w:r>
          </w:p>
        </w:tc>
      </w:tr>
      <w:tr w:rsidR="00D914BA" w:rsidRPr="00D63A35" w:rsidTr="00DC38D8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 xml:space="preserve">   Приходи от услуги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13 767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14 963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9 576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44%</w:t>
            </w:r>
          </w:p>
        </w:tc>
      </w:tr>
      <w:tr w:rsidR="00D914BA" w:rsidRPr="00D63A35" w:rsidTr="00DC38D8">
        <w:trPr>
          <w:trHeight w:val="528"/>
        </w:trPr>
        <w:tc>
          <w:tcPr>
            <w:tcW w:w="25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 xml:space="preserve">   Приходи от продажба на стоки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388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465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-17%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572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-32%</w:t>
            </w:r>
          </w:p>
        </w:tc>
      </w:tr>
      <w:tr w:rsidR="00D914BA" w:rsidRPr="00D63A35" w:rsidTr="00DC38D8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 xml:space="preserve">   Приходи от наеми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516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515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563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-8%</w:t>
            </w:r>
          </w:p>
        </w:tc>
      </w:tr>
      <w:tr w:rsidR="00D914BA" w:rsidRPr="00D63A35" w:rsidTr="00DC38D8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Други приходи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207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-31%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172%</w:t>
            </w:r>
          </w:p>
        </w:tc>
      </w:tr>
    </w:tbl>
    <w:p w:rsidR="00D914BA" w:rsidRPr="004E1DB3" w:rsidRDefault="00D914BA" w:rsidP="004E1DB3">
      <w:pPr>
        <w:ind w:firstLine="708"/>
        <w:jc w:val="both"/>
        <w:rPr>
          <w:lang w:val="bg-BG"/>
        </w:rPr>
      </w:pPr>
      <w:r w:rsidRPr="004E1DB3">
        <w:rPr>
          <w:bCs/>
          <w:lang w:val="bg-BG"/>
        </w:rPr>
        <w:t>“Информационно обслужване” АД за периода от 01.01.2013г. до 30.0</w:t>
      </w:r>
      <w:r w:rsidRPr="004E1DB3">
        <w:rPr>
          <w:bCs/>
        </w:rPr>
        <w:t>9</w:t>
      </w:r>
      <w:r w:rsidRPr="004E1DB3">
        <w:rPr>
          <w:bCs/>
          <w:lang w:val="bg-BG"/>
        </w:rPr>
        <w:t>.2013г. реализира приходи в размер на 1</w:t>
      </w:r>
      <w:r w:rsidRPr="004E1DB3">
        <w:rPr>
          <w:bCs/>
        </w:rPr>
        <w:t>4878</w:t>
      </w:r>
      <w:r w:rsidRPr="004E1DB3">
        <w:rPr>
          <w:bCs/>
          <w:lang w:val="bg-BG"/>
        </w:rPr>
        <w:t xml:space="preserve"> хил.лв., ръст от 38 %, спрямо съответния период на предходната година. </w:t>
      </w:r>
    </w:p>
    <w:p w:rsidR="00D914BA" w:rsidRPr="004E1DB3" w:rsidRDefault="00D914BA" w:rsidP="004E1DB3">
      <w:pPr>
        <w:spacing w:after="0" w:line="240" w:lineRule="auto"/>
        <w:ind w:firstLine="708"/>
        <w:jc w:val="both"/>
      </w:pPr>
      <w:r w:rsidRPr="004E1DB3">
        <w:rPr>
          <w:bCs/>
          <w:lang w:val="bg-BG"/>
        </w:rPr>
        <w:t xml:space="preserve">В сравнение с Бизнес плана приходите изостават с 8 % или с 1 365 хил. лв. Значителен дял от изоставането </w:t>
      </w:r>
      <w:r w:rsidRPr="004E1DB3">
        <w:rPr>
          <w:bCs/>
        </w:rPr>
        <w:t>(</w:t>
      </w:r>
      <w:r w:rsidRPr="004E1DB3">
        <w:rPr>
          <w:bCs/>
          <w:lang w:val="bg-BG"/>
        </w:rPr>
        <w:t>86 %</w:t>
      </w:r>
      <w:r w:rsidRPr="004E1DB3">
        <w:rPr>
          <w:bCs/>
        </w:rPr>
        <w:t>)</w:t>
      </w:r>
      <w:r w:rsidRPr="004E1DB3">
        <w:rPr>
          <w:bCs/>
          <w:lang w:val="bg-BG"/>
        </w:rPr>
        <w:t xml:space="preserve"> се дължи на планирани, но нереализирани приходи по договор с МФ</w:t>
      </w:r>
      <w:r w:rsidRPr="004E1DB3">
        <w:rPr>
          <w:bCs/>
        </w:rPr>
        <w:t>)</w:t>
      </w:r>
      <w:r w:rsidRPr="004E1DB3">
        <w:rPr>
          <w:bCs/>
          <w:lang w:val="bg-BG"/>
        </w:rPr>
        <w:t>.</w:t>
      </w:r>
      <w:r w:rsidRPr="004E1DB3">
        <w:rPr>
          <w:lang w:val="bg-BG"/>
        </w:rPr>
        <w:t xml:space="preserve">Друга част на неизпълнението се дължи на проект „Обучение“поради етапността на отчитане на проектите по ОП „РЧР“ </w:t>
      </w:r>
      <w:r w:rsidRPr="004E1DB3">
        <w:t>-</w:t>
      </w:r>
      <w:r w:rsidRPr="004E1DB3">
        <w:rPr>
          <w:lang w:val="bg-BG"/>
        </w:rPr>
        <w:t xml:space="preserve"> извършване на разходи, които се възстановяват от Агенцията по заетостта след приключване на проектите и одит на изразходваните средства.</w:t>
      </w:r>
    </w:p>
    <w:p w:rsidR="00D914BA" w:rsidRDefault="00D914BA" w:rsidP="004E1DB3">
      <w:pPr>
        <w:pStyle w:val="BodyTextIndent3"/>
        <w:autoSpaceDE w:val="0"/>
        <w:autoSpaceDN w:val="0"/>
        <w:adjustRightInd w:val="0"/>
        <w:spacing w:after="200"/>
        <w:rPr>
          <w:rFonts w:ascii="Calibri" w:hAnsi="Calibri"/>
          <w:sz w:val="22"/>
          <w:szCs w:val="22"/>
          <w:lang w:val="en-US"/>
        </w:rPr>
      </w:pPr>
    </w:p>
    <w:p w:rsidR="00D914BA" w:rsidRPr="004E1DB3" w:rsidRDefault="00D914BA" w:rsidP="004E1DB3">
      <w:pPr>
        <w:pStyle w:val="BodyTextIndent3"/>
        <w:autoSpaceDE w:val="0"/>
        <w:autoSpaceDN w:val="0"/>
        <w:adjustRightInd w:val="0"/>
        <w:spacing w:after="200"/>
        <w:rPr>
          <w:rFonts w:ascii="Calibri" w:hAnsi="Calibri"/>
          <w:sz w:val="22"/>
          <w:szCs w:val="22"/>
        </w:rPr>
      </w:pPr>
      <w:r w:rsidRPr="004E1DB3">
        <w:rPr>
          <w:rFonts w:ascii="Calibri" w:hAnsi="Calibri"/>
          <w:sz w:val="22"/>
          <w:szCs w:val="22"/>
        </w:rPr>
        <w:t>Структурата на приходите от продажби по основни клиенти на дружеството е показана на Граф. № 1, както следва:</w:t>
      </w:r>
    </w:p>
    <w:p w:rsidR="00D914BA" w:rsidRPr="004E1DB3" w:rsidRDefault="00D914BA" w:rsidP="0083352A">
      <w:pPr>
        <w:pStyle w:val="Heading3"/>
        <w:spacing w:before="0" w:line="240" w:lineRule="auto"/>
        <w:jc w:val="center"/>
        <w:rPr>
          <w:rFonts w:ascii="Calibri" w:hAnsi="Calibri"/>
          <w:lang w:val="bg-BG"/>
        </w:rPr>
      </w:pPr>
      <w:r w:rsidRPr="004E1DB3">
        <w:rPr>
          <w:rFonts w:ascii="Calibri" w:hAnsi="Calibri"/>
          <w:lang w:val="bg-BG"/>
        </w:rPr>
        <w:t>Графика № 1. „ИО” АД – Структура на приходи по клиенти</w:t>
      </w:r>
    </w:p>
    <w:p w:rsidR="00D914BA" w:rsidRDefault="00D914BA" w:rsidP="007D0278">
      <w:pPr>
        <w:pStyle w:val="Heading3"/>
        <w:spacing w:before="0" w:line="240" w:lineRule="auto"/>
        <w:jc w:val="center"/>
        <w:rPr>
          <w:rFonts w:ascii="Calibri" w:hAnsi="Calibri"/>
          <w:lang w:val="bg-BG"/>
        </w:rPr>
      </w:pPr>
      <w:r w:rsidRPr="004E1DB3">
        <w:rPr>
          <w:rFonts w:ascii="Calibri" w:hAnsi="Calibri"/>
          <w:lang w:val="bg-BG"/>
        </w:rPr>
        <w:t>за периода 01.01 – 30.09.2013г.</w:t>
      </w:r>
    </w:p>
    <w:p w:rsidR="00D914BA" w:rsidRPr="004E1DB3" w:rsidRDefault="00D914BA" w:rsidP="00986D12">
      <w:pPr>
        <w:ind w:left="708" w:firstLine="708"/>
        <w:rPr>
          <w:lang w:val="bg-BG"/>
        </w:rPr>
      </w:pPr>
      <w:r w:rsidRPr="00D63A35">
        <w:rPr>
          <w:noProof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hart 7" o:spid="_x0000_i1025" type="#_x0000_t75" style="width:337.5pt;height:184.5pt;visibility:visible">
            <v:imagedata r:id="rId7" o:title="" cropbottom="-71f"/>
            <o:lock v:ext="edit" aspectratio="f"/>
          </v:shape>
        </w:pict>
      </w:r>
    </w:p>
    <w:p w:rsidR="00D914BA" w:rsidRPr="00192D5A" w:rsidRDefault="00D914BA" w:rsidP="00192D5A">
      <w:pPr>
        <w:ind w:firstLine="708"/>
        <w:jc w:val="both"/>
      </w:pPr>
      <w:r w:rsidRPr="004E1DB3">
        <w:rPr>
          <w:lang w:val="bg-BG"/>
        </w:rPr>
        <w:t>С най-висок относителен дял (2</w:t>
      </w:r>
      <w:r w:rsidRPr="004E1DB3">
        <w:t>4</w:t>
      </w:r>
      <w:r w:rsidRPr="004E1DB3">
        <w:rPr>
          <w:lang w:val="bg-BG"/>
        </w:rPr>
        <w:t xml:space="preserve"> % от реализираните приходи) е дейността, която се извършва по  договори с Министерството на финансите (МФ). За деветмесечието на 2013г.,приходите по </w:t>
      </w:r>
      <w:r w:rsidRPr="004E1DB3">
        <w:rPr>
          <w:i/>
          <w:lang w:val="bg-BG"/>
        </w:rPr>
        <w:t>Договори с МФ</w:t>
      </w:r>
      <w:r w:rsidRPr="004E1DB3">
        <w:rPr>
          <w:lang w:val="bg-BG"/>
        </w:rPr>
        <w:t xml:space="preserve">, в размер на </w:t>
      </w:r>
      <w:r w:rsidRPr="004E1DB3">
        <w:t>3 616</w:t>
      </w:r>
      <w:r>
        <w:rPr>
          <w:lang w:val="bg-BG"/>
        </w:rPr>
        <w:t xml:space="preserve"> хил.лв. (100%).</w:t>
      </w:r>
    </w:p>
    <w:p w:rsidR="00D914BA" w:rsidRPr="004E1DB3" w:rsidRDefault="00D914BA" w:rsidP="004E1DB3">
      <w:pPr>
        <w:spacing w:after="0" w:line="240" w:lineRule="auto"/>
        <w:ind w:firstLine="720"/>
        <w:jc w:val="both"/>
        <w:rPr>
          <w:rFonts w:eastAsia="Times New Roman" w:cs="Arial"/>
          <w:lang w:val="bg-BG" w:eastAsia="bg-BG"/>
        </w:rPr>
      </w:pPr>
      <w:r w:rsidRPr="004E1DB3">
        <w:rPr>
          <w:lang w:val="bg-BG"/>
        </w:rPr>
        <w:t>Приходите за обработка резултати от национален референдум/</w:t>
      </w:r>
      <w:r>
        <w:rPr>
          <w:lang w:val="bg-BG"/>
        </w:rPr>
        <w:t xml:space="preserve">парламентарни </w:t>
      </w:r>
      <w:r w:rsidRPr="004E1DB3">
        <w:rPr>
          <w:lang w:val="bg-BG"/>
        </w:rPr>
        <w:t>избори възлизат на 2 231 хил.лв. или общо 1</w:t>
      </w:r>
      <w:r w:rsidRPr="004E1DB3">
        <w:t>5</w:t>
      </w:r>
      <w:r w:rsidRPr="004E1DB3">
        <w:rPr>
          <w:lang w:val="bg-BG"/>
        </w:rPr>
        <w:t xml:space="preserve"> % от общите приходи за периода.</w:t>
      </w:r>
    </w:p>
    <w:p w:rsidR="00D914BA" w:rsidRPr="004E1DB3" w:rsidRDefault="00D914BA" w:rsidP="004E1DB3">
      <w:pPr>
        <w:spacing w:after="0" w:line="240" w:lineRule="auto"/>
        <w:ind w:firstLine="720"/>
        <w:jc w:val="both"/>
        <w:rPr>
          <w:rFonts w:eastAsia="Times New Roman" w:cs="Arial"/>
          <w:lang w:val="bg-BG" w:eastAsia="bg-BG"/>
        </w:rPr>
      </w:pPr>
    </w:p>
    <w:p w:rsidR="00D914BA" w:rsidRPr="004E1DB3" w:rsidRDefault="00D914BA" w:rsidP="004E1DB3">
      <w:pPr>
        <w:spacing w:after="0" w:line="240" w:lineRule="auto"/>
        <w:ind w:firstLine="720"/>
        <w:jc w:val="both"/>
        <w:rPr>
          <w:rFonts w:eastAsia="Times New Roman" w:cs="Arial"/>
          <w:lang w:eastAsia="bg-BG"/>
        </w:rPr>
      </w:pPr>
      <w:r w:rsidRPr="004E1DB3">
        <w:rPr>
          <w:rFonts w:eastAsia="Times New Roman" w:cs="Arial"/>
          <w:lang w:val="bg-BG" w:eastAsia="bg-BG"/>
        </w:rPr>
        <w:t xml:space="preserve">Услуги, всяка от които формира между 9%  и 5 % от приходите са: </w:t>
      </w:r>
    </w:p>
    <w:p w:rsidR="00D914BA" w:rsidRPr="004E1DB3" w:rsidRDefault="00D914BA" w:rsidP="004E1DB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eastAsia="Times New Roman" w:cs="Arial"/>
          <w:lang w:val="bg-BG" w:eastAsia="bg-BG"/>
        </w:rPr>
      </w:pPr>
      <w:r w:rsidRPr="004E1DB3">
        <w:rPr>
          <w:rFonts w:eastAsia="Times New Roman" w:cs="Arial"/>
          <w:lang w:val="bg-BG" w:eastAsia="bg-BG"/>
        </w:rPr>
        <w:t>Услуги на едно гише</w:t>
      </w:r>
      <w:r w:rsidRPr="004E1DB3">
        <w:rPr>
          <w:rFonts w:cs="Arial"/>
          <w:lang w:val="bg-BG"/>
        </w:rPr>
        <w:t xml:space="preserve"> - аутсорсинг услуги от тип “ИНКАСО” на комунални услуги, включващи поддръжка и експлоатация на технология за отдалечен достъп и инкасиране на комунални такси за ел. енергия, вода и топлоенергия</w:t>
      </w:r>
      <w:r w:rsidRPr="004E1DB3">
        <w:rPr>
          <w:rFonts w:eastAsia="Times New Roman" w:cs="Arial"/>
          <w:lang w:val="bg-BG" w:eastAsia="bg-BG"/>
        </w:rPr>
        <w:t>;</w:t>
      </w:r>
    </w:p>
    <w:p w:rsidR="00D914BA" w:rsidRPr="004E1DB3" w:rsidRDefault="00D914BA" w:rsidP="004E1DB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eastAsia="Times New Roman" w:cs="Arial"/>
          <w:lang w:val="bg-BG" w:eastAsia="bg-BG"/>
        </w:rPr>
      </w:pPr>
      <w:r w:rsidRPr="004E1DB3">
        <w:rPr>
          <w:rFonts w:eastAsia="Times New Roman" w:cs="Arial"/>
          <w:lang w:val="bg-BG" w:eastAsia="bg-BG"/>
        </w:rPr>
        <w:t>Удостоверителни услуги</w:t>
      </w:r>
      <w:r w:rsidRPr="004E1DB3">
        <w:rPr>
          <w:rFonts w:eastAsia="Times New Roman" w:cs="Arial"/>
          <w:lang w:eastAsia="bg-BG"/>
        </w:rPr>
        <w:t>;</w:t>
      </w:r>
    </w:p>
    <w:p w:rsidR="00D914BA" w:rsidRPr="004E1DB3" w:rsidRDefault="00D914BA" w:rsidP="004E1DB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eastAsia="Times New Roman" w:cs="Arial"/>
          <w:lang w:val="bg-BG" w:eastAsia="bg-BG"/>
        </w:rPr>
      </w:pPr>
      <w:r w:rsidRPr="004E1DB3">
        <w:rPr>
          <w:rFonts w:cs="Arial"/>
          <w:lang w:val="bg-BG"/>
        </w:rPr>
        <w:t>Разработване, внедряване и обучение на пакети програмни продукти (ППП);</w:t>
      </w:r>
    </w:p>
    <w:p w:rsidR="00D914BA" w:rsidRPr="004E1DB3" w:rsidRDefault="00D914BA" w:rsidP="004E1DB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eastAsia="Times New Roman" w:cs="Arial"/>
          <w:lang w:val="bg-BG" w:eastAsia="bg-BG"/>
        </w:rPr>
      </w:pPr>
      <w:r w:rsidRPr="004E1DB3">
        <w:rPr>
          <w:rFonts w:eastAsia="Times New Roman" w:cs="Arial"/>
          <w:lang w:val="bg-BG" w:eastAsia="bg-BG"/>
        </w:rPr>
        <w:t>ЕСГРАОН</w:t>
      </w:r>
      <w:r w:rsidRPr="004E1DB3">
        <w:rPr>
          <w:rFonts w:cs="Arial"/>
          <w:lang w:val="bg-BG"/>
        </w:rPr>
        <w:t>–по договор с Министерство на регионалното развитие за експлоатационно обслужване на база данни ЕСГРАОН;</w:t>
      </w:r>
    </w:p>
    <w:p w:rsidR="00D914BA" w:rsidRPr="004E1DB3" w:rsidRDefault="00D914BA" w:rsidP="004E1DB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cs="Arial"/>
          <w:lang w:val="bg-BG"/>
        </w:rPr>
      </w:pPr>
      <w:r w:rsidRPr="004E1DB3">
        <w:rPr>
          <w:rFonts w:cs="Arial"/>
          <w:lang w:val="bg-BG"/>
        </w:rPr>
        <w:t xml:space="preserve">ИСУН – информационна система за управление и наблюдение на структурните инструменти на Европейския съюз в Република </w:t>
      </w:r>
      <w:r w:rsidRPr="004E1DB3">
        <w:rPr>
          <w:rFonts w:eastAsia="Times New Roman" w:cs="Arial"/>
          <w:lang w:val="bg-BG" w:eastAsia="bg-BG"/>
        </w:rPr>
        <w:t>България.</w:t>
      </w:r>
    </w:p>
    <w:p w:rsidR="00D914BA" w:rsidRPr="004E1DB3" w:rsidRDefault="00D914BA" w:rsidP="004E1DB3">
      <w:pPr>
        <w:pStyle w:val="ListParagraph"/>
        <w:spacing w:after="0" w:line="240" w:lineRule="auto"/>
        <w:ind w:left="1440"/>
        <w:jc w:val="both"/>
        <w:rPr>
          <w:rFonts w:eastAsia="Times New Roman" w:cs="Arial"/>
          <w:lang w:val="bg-BG" w:eastAsia="bg-BG"/>
        </w:rPr>
      </w:pPr>
    </w:p>
    <w:p w:rsidR="00D914BA" w:rsidRPr="004E1DB3" w:rsidRDefault="00D914BA" w:rsidP="004E1DB3">
      <w:pPr>
        <w:spacing w:after="0" w:line="240" w:lineRule="auto"/>
        <w:ind w:firstLine="720"/>
        <w:jc w:val="both"/>
        <w:rPr>
          <w:rFonts w:eastAsia="Times New Roman" w:cs="Arial"/>
          <w:lang w:val="bg-BG" w:eastAsia="bg-BG"/>
        </w:rPr>
      </w:pPr>
      <w:r w:rsidRPr="004E1DB3">
        <w:rPr>
          <w:rFonts w:eastAsia="Times New Roman" w:cs="Arial"/>
          <w:lang w:val="bg-BG" w:eastAsia="bg-BG"/>
        </w:rPr>
        <w:t xml:space="preserve">Услуги, всяка от които формира между 3 % и 1 % от приходите са: </w:t>
      </w:r>
    </w:p>
    <w:p w:rsidR="00D914BA" w:rsidRPr="004E1DB3" w:rsidRDefault="00D914BA" w:rsidP="004E1DB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eastAsia="Times New Roman" w:cs="Arial"/>
          <w:lang w:eastAsia="bg-BG"/>
        </w:rPr>
      </w:pPr>
      <w:r w:rsidRPr="004E1DB3">
        <w:rPr>
          <w:rFonts w:eastAsia="Times New Roman" w:cs="Arial"/>
          <w:lang w:val="bg-BG" w:eastAsia="bg-BG"/>
        </w:rPr>
        <w:t>Наеми;</w:t>
      </w:r>
    </w:p>
    <w:p w:rsidR="00D914BA" w:rsidRPr="004E1DB3" w:rsidRDefault="00D914BA" w:rsidP="004E1DB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eastAsia="Times New Roman" w:cs="Arial"/>
          <w:color w:val="17365D"/>
          <w:lang w:val="bg-BG" w:eastAsia="bg-BG"/>
        </w:rPr>
      </w:pPr>
      <w:r w:rsidRPr="004E1DB3">
        <w:rPr>
          <w:rFonts w:eastAsia="Times New Roman" w:cs="Arial"/>
          <w:lang w:val="bg-BG" w:eastAsia="bg-BG"/>
        </w:rPr>
        <w:t>Курсове за обучение, в т.ч. финансиране;</w:t>
      </w:r>
    </w:p>
    <w:p w:rsidR="00D914BA" w:rsidRPr="004E1DB3" w:rsidRDefault="00D914BA" w:rsidP="004E1DB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eastAsia="Times New Roman" w:cs="Arial"/>
          <w:lang w:val="bg-BG" w:eastAsia="bg-BG"/>
        </w:rPr>
      </w:pPr>
      <w:r w:rsidRPr="004E1DB3">
        <w:rPr>
          <w:rFonts w:eastAsia="Times New Roman" w:cs="Arial"/>
          <w:lang w:val="bg-BG" w:eastAsia="bg-BG"/>
        </w:rPr>
        <w:t>САС – съдебни административни системи и услуги, т.н. съдебно деловодство;</w:t>
      </w:r>
    </w:p>
    <w:p w:rsidR="00D914BA" w:rsidRPr="00406B1B" w:rsidRDefault="00D914BA" w:rsidP="004E1DB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eastAsia="Times New Roman" w:cs="Arial"/>
          <w:color w:val="17365D"/>
          <w:lang w:eastAsia="bg-BG"/>
        </w:rPr>
      </w:pPr>
      <w:r w:rsidRPr="00406B1B">
        <w:rPr>
          <w:rFonts w:eastAsia="Times New Roman" w:cs="Arial"/>
          <w:lang w:val="bg-BG" w:eastAsia="bg-BG"/>
        </w:rPr>
        <w:t>Други АСИС;</w:t>
      </w:r>
    </w:p>
    <w:p w:rsidR="00D914BA" w:rsidRPr="004E1DB3" w:rsidRDefault="00D914BA" w:rsidP="004E1DB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eastAsia="Times New Roman" w:cs="Arial"/>
          <w:color w:val="17365D"/>
          <w:lang w:eastAsia="bg-BG"/>
        </w:rPr>
      </w:pPr>
      <w:r w:rsidRPr="004E1DB3">
        <w:rPr>
          <w:rFonts w:eastAsia="Times New Roman" w:cs="Arial"/>
          <w:lang w:val="bg-BG" w:eastAsia="bg-BG"/>
        </w:rPr>
        <w:t>Абонаментна поддръжка АИС;</w:t>
      </w:r>
    </w:p>
    <w:p w:rsidR="00D914BA" w:rsidRPr="004E1DB3" w:rsidRDefault="00D914BA" w:rsidP="004E1DB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eastAsia="Times New Roman" w:cs="Arial"/>
          <w:lang w:val="bg-BG" w:eastAsia="bg-BG"/>
        </w:rPr>
      </w:pPr>
      <w:r w:rsidRPr="004E1DB3">
        <w:rPr>
          <w:rFonts w:eastAsia="Times New Roman" w:cs="Arial"/>
          <w:lang w:val="bg-BG" w:eastAsia="bg-BG"/>
        </w:rPr>
        <w:t xml:space="preserve">Сервиз и СКС </w:t>
      </w:r>
      <w:r w:rsidRPr="004E1DB3">
        <w:rPr>
          <w:rFonts w:cs="Arial"/>
          <w:lang w:val="bg-BG"/>
        </w:rPr>
        <w:t>(</w:t>
      </w:r>
      <w:r w:rsidRPr="004E1DB3">
        <w:rPr>
          <w:rFonts w:eastAsia="Times New Roman" w:cs="Arial"/>
          <w:lang w:val="bg-BG" w:eastAsia="bg-BG"/>
        </w:rPr>
        <w:t>изграждане на структурни и кабелни системи</w:t>
      </w:r>
      <w:r w:rsidRPr="004E1DB3">
        <w:rPr>
          <w:rFonts w:cs="Arial"/>
          <w:lang w:val="bg-BG"/>
        </w:rPr>
        <w:t>);</w:t>
      </w:r>
    </w:p>
    <w:p w:rsidR="00D914BA" w:rsidRPr="004E1DB3" w:rsidRDefault="00D914BA" w:rsidP="004E1DB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cs="Arial"/>
          <w:lang w:val="bg-BG"/>
        </w:rPr>
      </w:pPr>
      <w:r w:rsidRPr="004E1DB3">
        <w:rPr>
          <w:rFonts w:cs="Arial"/>
          <w:lang w:val="bg-BG"/>
        </w:rPr>
        <w:t>СУП на НАП – система за управление на приходите на НАП;</w:t>
      </w:r>
    </w:p>
    <w:p w:rsidR="00D914BA" w:rsidRPr="004E1DB3" w:rsidRDefault="00D914BA" w:rsidP="004E1DB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="Times New Roman" w:cs="Arial"/>
          <w:lang w:val="bg-BG" w:eastAsia="bg-BG"/>
        </w:rPr>
      </w:pPr>
      <w:r w:rsidRPr="004E1DB3">
        <w:rPr>
          <w:rFonts w:eastAsia="Times New Roman" w:cs="Arial"/>
          <w:lang w:val="bg-BG" w:eastAsia="bg-BG"/>
        </w:rPr>
        <w:t>ДЕЛФИ</w:t>
      </w:r>
    </w:p>
    <w:p w:rsidR="00D914BA" w:rsidRPr="004E1DB3" w:rsidRDefault="00D914BA" w:rsidP="004E1DB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="Times New Roman" w:cs="Arial"/>
          <w:lang w:val="bg-BG" w:eastAsia="bg-BG"/>
        </w:rPr>
      </w:pPr>
      <w:r w:rsidRPr="004E1DB3">
        <w:rPr>
          <w:rFonts w:eastAsia="Times New Roman" w:cs="Arial"/>
          <w:lang w:eastAsia="bg-BG"/>
        </w:rPr>
        <w:t>Web Design;</w:t>
      </w:r>
    </w:p>
    <w:p w:rsidR="00D914BA" w:rsidRPr="004E1DB3" w:rsidRDefault="00D914BA" w:rsidP="004E1DB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="Times New Roman" w:cs="Arial"/>
          <w:lang w:val="bg-BG" w:eastAsia="bg-BG"/>
        </w:rPr>
      </w:pPr>
      <w:r w:rsidRPr="004E1DB3">
        <w:rPr>
          <w:rFonts w:eastAsia="Times New Roman" w:cs="Arial"/>
          <w:lang w:val="bg-BG" w:eastAsia="bg-BG"/>
        </w:rPr>
        <w:t xml:space="preserve">Други продажби на стоки; </w:t>
      </w:r>
    </w:p>
    <w:p w:rsidR="00D914BA" w:rsidRPr="004E1DB3" w:rsidRDefault="00D914BA" w:rsidP="004E1DB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="Times New Roman" w:cs="Arial"/>
          <w:lang w:val="bg-BG" w:eastAsia="bg-BG"/>
        </w:rPr>
      </w:pPr>
      <w:r w:rsidRPr="004E1DB3">
        <w:rPr>
          <w:rFonts w:eastAsia="Times New Roman" w:cs="Arial"/>
          <w:lang w:val="bg-BG" w:eastAsia="bg-BG"/>
        </w:rPr>
        <w:t xml:space="preserve">Други посреднически дейности и копирни услуги. </w:t>
      </w:r>
    </w:p>
    <w:p w:rsidR="00D914BA" w:rsidRDefault="00D914BA" w:rsidP="004E1DB3">
      <w:pPr>
        <w:spacing w:line="240" w:lineRule="auto"/>
        <w:ind w:firstLine="720"/>
        <w:jc w:val="both"/>
        <w:rPr>
          <w:lang w:val="bg-BG"/>
        </w:rPr>
      </w:pPr>
    </w:p>
    <w:p w:rsidR="00D914BA" w:rsidRDefault="00D914BA" w:rsidP="004E1DB3">
      <w:pPr>
        <w:spacing w:line="240" w:lineRule="auto"/>
        <w:ind w:firstLine="720"/>
        <w:jc w:val="both"/>
        <w:rPr>
          <w:lang w:val="bg-BG"/>
        </w:rPr>
      </w:pPr>
      <w:r w:rsidRPr="004E1DB3">
        <w:rPr>
          <w:lang w:val="bg-BG"/>
        </w:rPr>
        <w:t>Изменението</w:t>
      </w:r>
      <w:r w:rsidRPr="004E1DB3">
        <w:t>(</w:t>
      </w:r>
      <w:r w:rsidRPr="004E1DB3">
        <w:rPr>
          <w:lang w:val="bg-BG"/>
        </w:rPr>
        <w:t>ръст/спад</w:t>
      </w:r>
      <w:r w:rsidRPr="004E1DB3">
        <w:t xml:space="preserve">) </w:t>
      </w:r>
      <w:r w:rsidRPr="004E1DB3">
        <w:rPr>
          <w:lang w:val="bg-BG"/>
        </w:rPr>
        <w:t xml:space="preserve">в абсолютна сума и в процент на приходитепо проекти на „Информационно обслужване“ АД през отчетния период на 2013г. в сравнение със съответния период на предходната година е показан в Таблица № 2. </w:t>
      </w:r>
    </w:p>
    <w:p w:rsidR="00D914BA" w:rsidRPr="004E1DB3" w:rsidRDefault="00D914BA" w:rsidP="0083352A">
      <w:pPr>
        <w:pStyle w:val="Heading3"/>
        <w:spacing w:before="0" w:line="240" w:lineRule="auto"/>
        <w:jc w:val="center"/>
        <w:rPr>
          <w:rFonts w:ascii="Calibri" w:hAnsi="Calibri"/>
          <w:lang w:val="bg-BG"/>
        </w:rPr>
      </w:pPr>
      <w:r w:rsidRPr="004E1DB3">
        <w:rPr>
          <w:rFonts w:ascii="Calibri" w:hAnsi="Calibri"/>
          <w:lang w:val="bg-BG"/>
        </w:rPr>
        <w:t>Таблица № 2. „ИО” АД – Приходи по проекти за периода 01.01 – 30.09.3013г.</w:t>
      </w:r>
    </w:p>
    <w:p w:rsidR="00D914BA" w:rsidRPr="004E1DB3" w:rsidRDefault="00D914BA" w:rsidP="004E1DB3">
      <w:pPr>
        <w:spacing w:after="0" w:line="240" w:lineRule="auto"/>
        <w:ind w:firstLine="720"/>
        <w:jc w:val="both"/>
      </w:pPr>
      <w:r w:rsidRPr="004E1DB3">
        <w:rPr>
          <w:b/>
          <w:bCs/>
          <w:lang w:val="bg-BG"/>
        </w:rPr>
        <w:tab/>
      </w:r>
      <w:r w:rsidRPr="004E1DB3">
        <w:rPr>
          <w:b/>
          <w:bCs/>
          <w:lang w:val="bg-BG"/>
        </w:rPr>
        <w:tab/>
      </w:r>
      <w:r w:rsidRPr="004E1DB3">
        <w:rPr>
          <w:b/>
          <w:bCs/>
          <w:lang w:val="bg-BG"/>
        </w:rPr>
        <w:tab/>
      </w:r>
      <w:r w:rsidRPr="004E1DB3">
        <w:rPr>
          <w:b/>
          <w:bCs/>
          <w:lang w:val="bg-BG"/>
        </w:rPr>
        <w:tab/>
      </w:r>
      <w:r w:rsidRPr="004E1DB3">
        <w:rPr>
          <w:b/>
          <w:bCs/>
          <w:lang w:val="bg-BG"/>
        </w:rPr>
        <w:tab/>
      </w:r>
      <w:r w:rsidRPr="004E1DB3">
        <w:rPr>
          <w:b/>
          <w:bCs/>
          <w:lang w:val="bg-BG"/>
        </w:rPr>
        <w:tab/>
      </w:r>
      <w:r w:rsidRPr="004E1DB3">
        <w:rPr>
          <w:b/>
          <w:bCs/>
          <w:lang w:val="bg-BG"/>
        </w:rPr>
        <w:tab/>
      </w:r>
      <w:r w:rsidRPr="004E1DB3">
        <w:rPr>
          <w:b/>
          <w:bCs/>
          <w:lang w:val="bg-BG"/>
        </w:rPr>
        <w:tab/>
      </w:r>
    </w:p>
    <w:tbl>
      <w:tblPr>
        <w:tblW w:w="7280" w:type="dxa"/>
        <w:tblInd w:w="892" w:type="dxa"/>
        <w:tblCellMar>
          <w:left w:w="70" w:type="dxa"/>
          <w:right w:w="70" w:type="dxa"/>
        </w:tblCellMar>
        <w:tblLook w:val="00A0"/>
      </w:tblPr>
      <w:tblGrid>
        <w:gridCol w:w="2620"/>
        <w:gridCol w:w="1080"/>
        <w:gridCol w:w="1360"/>
        <w:gridCol w:w="1160"/>
        <w:gridCol w:w="1060"/>
      </w:tblGrid>
      <w:tr w:rsidR="00D914BA" w:rsidRPr="00D63A35" w:rsidTr="00986D12">
        <w:trPr>
          <w:trHeight w:val="300"/>
        </w:trPr>
        <w:tc>
          <w:tcPr>
            <w:tcW w:w="262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  <w:br/>
            </w:r>
            <w:r w:rsidRPr="00986D12"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  <w:br/>
              <w:t>Проект/задача</w:t>
            </w:r>
          </w:p>
        </w:tc>
        <w:tc>
          <w:tcPr>
            <w:tcW w:w="108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  <w:t>Отчетен период (хил.лв.)</w:t>
            </w:r>
          </w:p>
        </w:tc>
        <w:tc>
          <w:tcPr>
            <w:tcW w:w="136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  <w:t>Съответен период на предходната година (хил.лв.)</w:t>
            </w:r>
          </w:p>
        </w:tc>
        <w:tc>
          <w:tcPr>
            <w:tcW w:w="2220" w:type="dxa"/>
            <w:gridSpan w:val="2"/>
            <w:tcBorders>
              <w:top w:val="single" w:sz="8" w:space="0" w:color="4BACC6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  <w:t>Изменение</w:t>
            </w:r>
          </w:p>
        </w:tc>
      </w:tr>
      <w:tr w:rsidR="00D914BA" w:rsidRPr="00D63A35" w:rsidTr="00986D12">
        <w:trPr>
          <w:trHeight w:val="1035"/>
        </w:trPr>
        <w:tc>
          <w:tcPr>
            <w:tcW w:w="262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08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3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  <w:t>в сума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  <w:t>в %</w:t>
            </w:r>
          </w:p>
        </w:tc>
      </w:tr>
      <w:tr w:rsidR="00D914BA" w:rsidRPr="00D63A35" w:rsidTr="00986D12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>
              <w:rPr>
                <w:rFonts w:eastAsia="Times New Roman"/>
                <w:sz w:val="20"/>
                <w:szCs w:val="20"/>
                <w:lang w:val="bg-BG" w:eastAsia="bg-BG"/>
              </w:rPr>
              <w:t>ДОГОВОР С МФ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3 873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3 212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661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color w:val="FF0000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21%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 xml:space="preserve">ИЗБОРИ/РЕФЕРЕНДУМ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2 231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2 225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100%</w:t>
            </w:r>
          </w:p>
        </w:tc>
      </w:tr>
      <w:tr w:rsidR="00D914BA" w:rsidRPr="00D63A35" w:rsidTr="00986D12">
        <w:trPr>
          <w:trHeight w:val="525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 xml:space="preserve">Услуги на едно гише </w:t>
            </w: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br/>
              <w:t>и комунално таксуване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1 338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1 281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4%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Разработв.,внедр.и обуч.ППП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1 110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1 170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(60)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color w:val="FF0000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-5%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ЕСГРАОН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1 086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815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271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33%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ИСУН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750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100%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 xml:space="preserve">Наеми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517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564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(47)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color w:val="FF0000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-8%</w:t>
            </w:r>
          </w:p>
        </w:tc>
      </w:tr>
      <w:tr w:rsidR="00D914BA" w:rsidRPr="00D63A35" w:rsidTr="00986D12">
        <w:trPr>
          <w:trHeight w:val="525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 xml:space="preserve">Курсове за обучение, </w:t>
            </w: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br/>
              <w:t>в т.ч. финансиране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502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472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6%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САС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454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45%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Други АСИС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100%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Абонам. поддръжка АИС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592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(225)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color w:val="FF0000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-38%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Сервиз и СКС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262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208%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ДЕЛФИ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235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239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(4)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color w:val="FF0000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-2%</w:t>
            </w:r>
          </w:p>
        </w:tc>
      </w:tr>
      <w:tr w:rsidR="00D914BA" w:rsidRPr="00D63A35" w:rsidTr="00986D12">
        <w:trPr>
          <w:trHeight w:val="525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 xml:space="preserve">Продажба на стоки, </w:t>
            </w: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br/>
              <w:t>комп. техника и други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294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(109)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color w:val="FF0000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-37%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Посреднически услуги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361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(182)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color w:val="FF0000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-50%</w:t>
            </w:r>
          </w:p>
        </w:tc>
      </w:tr>
      <w:tr w:rsidR="00D914BA" w:rsidRPr="00D63A35" w:rsidTr="00986D12">
        <w:trPr>
          <w:trHeight w:val="525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Комплектоване</w:t>
            </w: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br/>
              <w:t>данъчни съобщения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0%</w:t>
            </w:r>
          </w:p>
        </w:tc>
      </w:tr>
      <w:tr w:rsidR="00D914BA" w:rsidRPr="00D63A35" w:rsidTr="00986D12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WebDesign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(23)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color w:val="FF0000"/>
                <w:lang w:val="bg-BG" w:eastAsia="bg-BG"/>
              </w:rPr>
            </w:pPr>
            <w:r w:rsidRPr="00986D12">
              <w:rPr>
                <w:rFonts w:eastAsia="Times New Roman"/>
                <w:color w:val="FF0000"/>
                <w:lang w:val="bg-BG" w:eastAsia="bg-BG"/>
              </w:rPr>
              <w:t>-64%</w:t>
            </w:r>
          </w:p>
        </w:tc>
      </w:tr>
      <w:tr w:rsidR="00D914BA" w:rsidRPr="00D63A35" w:rsidTr="00986D12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4BACC6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sz w:val="20"/>
                <w:szCs w:val="20"/>
                <w:lang w:val="bg-BG" w:eastAsia="bg-BG"/>
              </w:rPr>
              <w:t>Други услуги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1 345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1 309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4BACC6"/>
            </w:tcBorders>
            <w:noWrap/>
            <w:vAlign w:val="bottom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lang w:val="bg-BG" w:eastAsia="bg-BG"/>
              </w:rPr>
            </w:pPr>
            <w:r w:rsidRPr="00986D12">
              <w:rPr>
                <w:rFonts w:eastAsia="Times New Roman"/>
                <w:lang w:val="bg-BG" w:eastAsia="bg-BG"/>
              </w:rPr>
              <w:t>3%</w:t>
            </w:r>
          </w:p>
        </w:tc>
      </w:tr>
      <w:tr w:rsidR="00D914BA" w:rsidRPr="00D63A35" w:rsidTr="00986D12">
        <w:trPr>
          <w:trHeight w:val="315"/>
        </w:trPr>
        <w:tc>
          <w:tcPr>
            <w:tcW w:w="262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nil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sz w:val="20"/>
                <w:szCs w:val="20"/>
                <w:lang w:val="bg-BG" w:eastAsia="bg-BG"/>
              </w:rPr>
              <w:t>ОБЩО ПРИХОДИ</w:t>
            </w:r>
          </w:p>
        </w:tc>
        <w:tc>
          <w:tcPr>
            <w:tcW w:w="108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lang w:val="bg-BG" w:eastAsia="bg-BG"/>
              </w:rPr>
              <w:t>14 878</w:t>
            </w:r>
          </w:p>
        </w:tc>
        <w:tc>
          <w:tcPr>
            <w:tcW w:w="136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lang w:val="bg-BG" w:eastAsia="bg-BG"/>
              </w:rPr>
              <w:t>10 787</w:t>
            </w:r>
          </w:p>
        </w:tc>
        <w:tc>
          <w:tcPr>
            <w:tcW w:w="1160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lang w:val="bg-BG" w:eastAsia="bg-BG"/>
              </w:rPr>
              <w:t>4 091</w:t>
            </w:r>
          </w:p>
        </w:tc>
        <w:tc>
          <w:tcPr>
            <w:tcW w:w="1060" w:type="dxa"/>
            <w:tcBorders>
              <w:top w:val="single" w:sz="8" w:space="0" w:color="4BACC6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986D12" w:rsidRDefault="00D914BA" w:rsidP="00986D12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val="bg-BG" w:eastAsia="bg-BG"/>
              </w:rPr>
            </w:pPr>
            <w:r w:rsidRPr="00986D12">
              <w:rPr>
                <w:rFonts w:eastAsia="Times New Roman"/>
                <w:b/>
                <w:bCs/>
                <w:color w:val="000000"/>
                <w:lang w:val="bg-BG" w:eastAsia="bg-BG"/>
              </w:rPr>
              <w:t>38%</w:t>
            </w:r>
          </w:p>
        </w:tc>
      </w:tr>
    </w:tbl>
    <w:p w:rsidR="00D914BA" w:rsidRDefault="00D914BA" w:rsidP="004E1DB3">
      <w:pPr>
        <w:spacing w:after="0" w:line="240" w:lineRule="auto"/>
        <w:ind w:firstLine="720"/>
        <w:jc w:val="both"/>
        <w:rPr>
          <w:lang w:val="bg-BG"/>
        </w:rPr>
      </w:pPr>
    </w:p>
    <w:p w:rsidR="00D914BA" w:rsidRDefault="00D914BA" w:rsidP="004E1DB3">
      <w:pPr>
        <w:spacing w:after="0" w:line="240" w:lineRule="auto"/>
        <w:ind w:firstLine="720"/>
        <w:jc w:val="both"/>
        <w:rPr>
          <w:lang w:val="bg-BG"/>
        </w:rPr>
      </w:pPr>
    </w:p>
    <w:p w:rsidR="00D914BA" w:rsidRPr="004E1DB3" w:rsidRDefault="00D914BA" w:rsidP="004E1DB3">
      <w:pPr>
        <w:spacing w:after="0" w:line="240" w:lineRule="auto"/>
        <w:ind w:firstLine="720"/>
        <w:jc w:val="both"/>
        <w:rPr>
          <w:lang w:val="bg-BG"/>
        </w:rPr>
      </w:pPr>
    </w:p>
    <w:p w:rsidR="00D914BA" w:rsidRPr="004E1DB3" w:rsidRDefault="00D914BA" w:rsidP="004E1DB3">
      <w:pPr>
        <w:spacing w:after="0" w:line="240" w:lineRule="auto"/>
        <w:ind w:firstLine="720"/>
        <w:jc w:val="both"/>
        <w:rPr>
          <w:rFonts w:eastAsia="Times New Roman" w:cs="Arial"/>
          <w:lang w:val="bg-BG" w:eastAsia="bg-BG"/>
        </w:rPr>
      </w:pPr>
    </w:p>
    <w:p w:rsidR="00D914BA" w:rsidRPr="007D0278" w:rsidRDefault="00D914BA" w:rsidP="007D0278">
      <w:pPr>
        <w:spacing w:line="240" w:lineRule="auto"/>
        <w:ind w:firstLine="708"/>
        <w:jc w:val="both"/>
        <w:rPr>
          <w:b/>
          <w:bCs/>
          <w:color w:val="4F81BD"/>
          <w:u w:val="single"/>
          <w:lang w:val="bg-BG"/>
        </w:rPr>
      </w:pPr>
      <w:r w:rsidRPr="007D0278">
        <w:rPr>
          <w:b/>
          <w:bCs/>
          <w:color w:val="4F81BD"/>
          <w:u w:val="single"/>
          <w:lang w:val="bg-BG"/>
        </w:rPr>
        <w:t>Преглед на финансово-икономическите резултатите от дейността на Дружеството</w:t>
      </w:r>
    </w:p>
    <w:p w:rsidR="00D914BA" w:rsidRPr="004E1DB3" w:rsidRDefault="00D914BA" w:rsidP="004E1DB3">
      <w:pPr>
        <w:spacing w:line="240" w:lineRule="auto"/>
        <w:ind w:firstLine="708"/>
        <w:jc w:val="both"/>
      </w:pPr>
      <w:r w:rsidRPr="004E1DB3">
        <w:rPr>
          <w:b/>
          <w:lang w:val="bg-BG"/>
        </w:rPr>
        <w:t>Основните финансови показатели</w:t>
      </w:r>
      <w:r w:rsidRPr="004E1DB3">
        <w:rPr>
          <w:lang w:val="bg-BG"/>
        </w:rPr>
        <w:t xml:space="preserve"> на „Информационно обслужване” АД </w:t>
      </w:r>
      <w:r w:rsidRPr="004E1DB3">
        <w:rPr>
          <w:bCs/>
          <w:lang w:val="bg-BG"/>
        </w:rPr>
        <w:t xml:space="preserve">по отчет, сравнени с Бизнес план (колона 2) и със съответния период на предходната година (колона 3) </w:t>
      </w:r>
      <w:r w:rsidRPr="004E1DB3">
        <w:rPr>
          <w:lang w:val="bg-BG"/>
        </w:rPr>
        <w:t xml:space="preserve">са показани в Таблица № 3.  </w:t>
      </w:r>
    </w:p>
    <w:p w:rsidR="00D914BA" w:rsidRDefault="00D914BA" w:rsidP="007D0278">
      <w:pPr>
        <w:pStyle w:val="Heading3"/>
        <w:spacing w:before="0" w:line="240" w:lineRule="auto"/>
        <w:jc w:val="center"/>
        <w:rPr>
          <w:rFonts w:ascii="Calibri" w:hAnsi="Calibri"/>
          <w:lang w:val="bg-BG"/>
        </w:rPr>
      </w:pPr>
      <w:r w:rsidRPr="004E1DB3">
        <w:rPr>
          <w:rFonts w:ascii="Calibri" w:hAnsi="Calibri"/>
          <w:lang w:val="bg-BG"/>
        </w:rPr>
        <w:t>Таблица № 3. „ИО” АД – Основни финансови показатели за периода 01.01. – 30.09.2013г.</w:t>
      </w:r>
    </w:p>
    <w:tbl>
      <w:tblPr>
        <w:tblW w:w="984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370"/>
        <w:gridCol w:w="1178"/>
        <w:gridCol w:w="1172"/>
        <w:gridCol w:w="1360"/>
        <w:gridCol w:w="1401"/>
        <w:gridCol w:w="1359"/>
      </w:tblGrid>
      <w:tr w:rsidR="00D914BA" w:rsidRPr="00D63A35" w:rsidTr="00945892">
        <w:trPr>
          <w:trHeight w:val="300"/>
        </w:trPr>
        <w:tc>
          <w:tcPr>
            <w:tcW w:w="337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Показатели за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 xml:space="preserve">печалба и рентабилност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(хил.лв.)</w:t>
            </w:r>
          </w:p>
        </w:tc>
        <w:tc>
          <w:tcPr>
            <w:tcW w:w="1178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Отчетен период</w:t>
            </w:r>
          </w:p>
        </w:tc>
        <w:tc>
          <w:tcPr>
            <w:tcW w:w="1172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Бизнес план</w:t>
            </w:r>
          </w:p>
        </w:tc>
        <w:tc>
          <w:tcPr>
            <w:tcW w:w="136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  <w:tc>
          <w:tcPr>
            <w:tcW w:w="1401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Съответен период на предходната година</w:t>
            </w:r>
          </w:p>
        </w:tc>
        <w:tc>
          <w:tcPr>
            <w:tcW w:w="1359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</w:tr>
      <w:tr w:rsidR="00D914BA" w:rsidRPr="00D63A35" w:rsidTr="00945892">
        <w:trPr>
          <w:trHeight w:val="1365"/>
        </w:trPr>
        <w:tc>
          <w:tcPr>
            <w:tcW w:w="337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178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172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6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401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59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945892">
        <w:trPr>
          <w:trHeight w:val="375"/>
        </w:trPr>
        <w:tc>
          <w:tcPr>
            <w:tcW w:w="337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178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1</w:t>
            </w:r>
          </w:p>
        </w:tc>
        <w:tc>
          <w:tcPr>
            <w:tcW w:w="1172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2</w:t>
            </w:r>
          </w:p>
        </w:tc>
        <w:tc>
          <w:tcPr>
            <w:tcW w:w="136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к.1/к.2</w:t>
            </w:r>
          </w:p>
        </w:tc>
        <w:tc>
          <w:tcPr>
            <w:tcW w:w="1401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3</w:t>
            </w:r>
          </w:p>
        </w:tc>
        <w:tc>
          <w:tcPr>
            <w:tcW w:w="1359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к.1/к.3</w:t>
            </w:r>
          </w:p>
        </w:tc>
      </w:tr>
      <w:tr w:rsidR="00D914BA" w:rsidRPr="00D63A35" w:rsidTr="00945892">
        <w:trPr>
          <w:trHeight w:val="312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Нетни приходи от продажби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14 878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16 243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-8%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10 787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38%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Оперативни разходи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12 755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13 814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-8%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12 442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3%</w:t>
            </w:r>
          </w:p>
        </w:tc>
      </w:tr>
      <w:tr w:rsidR="00D914BA" w:rsidRPr="00D63A35" w:rsidTr="00945892">
        <w:trPr>
          <w:trHeight w:val="54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Печалба преди лихви и данъци</w:t>
            </w:r>
            <w:r w:rsidRPr="00D63A35">
              <w:rPr>
                <w:color w:val="000000"/>
                <w:lang w:val="bg-BG" w:eastAsia="bg-BG"/>
              </w:rPr>
              <w:br/>
              <w:t>и амортизации (EBITDA)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2 875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3 277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-12%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(796)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461%</w:t>
            </w:r>
          </w:p>
        </w:tc>
      </w:tr>
      <w:tr w:rsidR="00D914BA" w:rsidRPr="00D63A35" w:rsidTr="00945892">
        <w:trPr>
          <w:trHeight w:val="372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EBITDA/Приходи от продажби (%)*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19%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-7%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27%</w:t>
            </w:r>
          </w:p>
        </w:tc>
      </w:tr>
      <w:tr w:rsidR="00D914BA" w:rsidRPr="00D63A35" w:rsidTr="00945892">
        <w:trPr>
          <w:trHeight w:val="54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 xml:space="preserve">Печалба преди лихви и данъци </w:t>
            </w:r>
            <w:r w:rsidRPr="00D63A35">
              <w:rPr>
                <w:color w:val="000000"/>
                <w:lang w:val="bg-BG" w:eastAsia="bg-BG"/>
              </w:rPr>
              <w:br/>
              <w:t>(EBIT)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2 123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2 429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-13%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(1 655)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228%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EBIT/Приходи от продажби (%)*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14%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-15%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30%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Печалба преди данъци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2 111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2 426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-13%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(1 695)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225%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Нетна печалба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1 900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2 183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-13%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(1 608)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218%</w:t>
            </w:r>
          </w:p>
        </w:tc>
      </w:tr>
      <w:tr w:rsidR="00D914BA" w:rsidRPr="00D63A35" w:rsidTr="00945892">
        <w:trPr>
          <w:trHeight w:val="54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Паричен поток (печалба + амортизация)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2 652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3 031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-13%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(749)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454%</w:t>
            </w:r>
          </w:p>
        </w:tc>
      </w:tr>
      <w:tr w:rsidR="00D914BA" w:rsidRPr="00D63A35" w:rsidTr="00945892">
        <w:trPr>
          <w:trHeight w:val="300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i/>
                <w:iCs/>
                <w:color w:val="000000"/>
                <w:lang w:val="bg-BG" w:eastAsia="bg-BG"/>
              </w:rPr>
            </w:pPr>
            <w:r w:rsidRPr="00D63A35">
              <w:rPr>
                <w:i/>
                <w:iCs/>
                <w:color w:val="000000"/>
                <w:lang w:val="bg-BG" w:eastAsia="bg-BG"/>
              </w:rPr>
              <w:t>* Изменението на рентабилността на база EBITDA и EBIT, изразена в % е в процентни пункта.</w:t>
            </w:r>
          </w:p>
        </w:tc>
      </w:tr>
      <w:tr w:rsidR="00D914BA" w:rsidRPr="00D63A35" w:rsidTr="00945892">
        <w:trPr>
          <w:trHeight w:val="1695"/>
        </w:trPr>
        <w:tc>
          <w:tcPr>
            <w:tcW w:w="337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Показатели за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 xml:space="preserve">паричните потоци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(хил.лв.)</w:t>
            </w:r>
          </w:p>
        </w:tc>
        <w:tc>
          <w:tcPr>
            <w:tcW w:w="1178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Отчетен период</w:t>
            </w:r>
          </w:p>
        </w:tc>
        <w:tc>
          <w:tcPr>
            <w:tcW w:w="1172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Бизнес план</w:t>
            </w:r>
          </w:p>
        </w:tc>
        <w:tc>
          <w:tcPr>
            <w:tcW w:w="1360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  <w:tc>
          <w:tcPr>
            <w:tcW w:w="1401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Съответен период на предходната година</w:t>
            </w:r>
          </w:p>
        </w:tc>
        <w:tc>
          <w:tcPr>
            <w:tcW w:w="1359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178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1</w:t>
            </w:r>
          </w:p>
        </w:tc>
        <w:tc>
          <w:tcPr>
            <w:tcW w:w="1172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2</w:t>
            </w:r>
          </w:p>
        </w:tc>
        <w:tc>
          <w:tcPr>
            <w:tcW w:w="136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к.1/к.2</w:t>
            </w:r>
          </w:p>
        </w:tc>
        <w:tc>
          <w:tcPr>
            <w:tcW w:w="1401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3</w:t>
            </w:r>
          </w:p>
        </w:tc>
        <w:tc>
          <w:tcPr>
            <w:tcW w:w="1359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к.1/к.3</w:t>
            </w:r>
          </w:p>
        </w:tc>
      </w:tr>
      <w:tr w:rsidR="00D914BA" w:rsidRPr="00D63A35" w:rsidTr="00945892">
        <w:trPr>
          <w:trHeight w:val="552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Изменение на паричните наличности през периода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1 576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1 244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27%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(3 323)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147%</w:t>
            </w:r>
          </w:p>
        </w:tc>
      </w:tr>
      <w:tr w:rsidR="00D914BA" w:rsidRPr="00D63A35" w:rsidTr="00945892">
        <w:trPr>
          <w:trHeight w:val="54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 xml:space="preserve">Нетен паричен поток от </w:t>
            </w:r>
            <w:r w:rsidRPr="00D63A35">
              <w:rPr>
                <w:color w:val="000000"/>
                <w:lang w:val="bg-BG" w:eastAsia="bg-BG"/>
              </w:rPr>
              <w:br/>
              <w:t>оперативна дейност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1 833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1 382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33%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(2 870)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164%</w:t>
            </w:r>
          </w:p>
        </w:tc>
      </w:tr>
      <w:tr w:rsidR="00D914BA" w:rsidRPr="00D63A35" w:rsidTr="00945892">
        <w:trPr>
          <w:trHeight w:val="54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Нетен паричен поток от инвестиционна дейност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(257)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(243)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6%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(393)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-35%</w:t>
            </w:r>
          </w:p>
        </w:tc>
      </w:tr>
      <w:tr w:rsidR="00D914BA" w:rsidRPr="00D63A35" w:rsidTr="00945892">
        <w:trPr>
          <w:trHeight w:val="585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Нетен паричен поток от финансова</w:t>
            </w:r>
            <w:r w:rsidRPr="00D63A35">
              <w:rPr>
                <w:color w:val="000000"/>
                <w:lang w:val="bg-BG" w:eastAsia="bg-BG"/>
              </w:rPr>
              <w:br/>
              <w:t>дейност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-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(60)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-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 </w:t>
            </w:r>
          </w:p>
        </w:tc>
      </w:tr>
      <w:tr w:rsidR="00D914BA" w:rsidRPr="00D63A35" w:rsidTr="00945892">
        <w:trPr>
          <w:trHeight w:val="564"/>
        </w:trPr>
        <w:tc>
          <w:tcPr>
            <w:tcW w:w="337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Показатели за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 xml:space="preserve">финансовото състояние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(хил.лв.)</w:t>
            </w:r>
          </w:p>
        </w:tc>
        <w:tc>
          <w:tcPr>
            <w:tcW w:w="1178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Отчетен период</w:t>
            </w:r>
          </w:p>
        </w:tc>
        <w:tc>
          <w:tcPr>
            <w:tcW w:w="1172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60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31.12.2012</w:t>
            </w:r>
          </w:p>
        </w:tc>
        <w:tc>
          <w:tcPr>
            <w:tcW w:w="1359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178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1</w:t>
            </w:r>
          </w:p>
        </w:tc>
        <w:tc>
          <w:tcPr>
            <w:tcW w:w="1172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</w:p>
        </w:tc>
        <w:tc>
          <w:tcPr>
            <w:tcW w:w="136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3</w:t>
            </w:r>
          </w:p>
        </w:tc>
        <w:tc>
          <w:tcPr>
            <w:tcW w:w="1359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к.1/к.3</w:t>
            </w:r>
          </w:p>
        </w:tc>
      </w:tr>
      <w:tr w:rsidR="00D914BA" w:rsidRPr="00D63A35" w:rsidTr="00945892">
        <w:trPr>
          <w:trHeight w:val="312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Текущи активи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11 151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9 372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19%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Текущи пасиви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3 200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3 892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-18%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Оборотен капитал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7 951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5 480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45%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Зает капитал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21 762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19 862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10%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Текуща ликвидност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59%</w:t>
            </w:r>
          </w:p>
        </w:tc>
      </w:tr>
      <w:tr w:rsidR="00D914BA" w:rsidRPr="00D63A35" w:rsidTr="00945892">
        <w:trPr>
          <w:trHeight w:val="54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 xml:space="preserve">Дългосрочни пасиви/Сума на </w:t>
            </w:r>
            <w:r w:rsidRPr="00D63A35">
              <w:rPr>
                <w:color w:val="000000"/>
                <w:lang w:val="bg-BG" w:eastAsia="bg-BG"/>
              </w:rPr>
              <w:br/>
              <w:t>активите (%)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4%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5%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-5%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 </w:t>
            </w:r>
          </w:p>
        </w:tc>
      </w:tr>
      <w:tr w:rsidR="00D914BA" w:rsidRPr="00D63A35" w:rsidTr="00945892">
        <w:trPr>
          <w:trHeight w:val="1665"/>
        </w:trPr>
        <w:tc>
          <w:tcPr>
            <w:tcW w:w="337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Показатели за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трудовите ресурси</w:t>
            </w:r>
          </w:p>
        </w:tc>
        <w:tc>
          <w:tcPr>
            <w:tcW w:w="1178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Отчетен период</w:t>
            </w:r>
          </w:p>
        </w:tc>
        <w:tc>
          <w:tcPr>
            <w:tcW w:w="1172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Бизнес план</w:t>
            </w:r>
          </w:p>
        </w:tc>
        <w:tc>
          <w:tcPr>
            <w:tcW w:w="1360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  <w:tc>
          <w:tcPr>
            <w:tcW w:w="1401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Съответен период на предходната година</w:t>
            </w:r>
          </w:p>
        </w:tc>
        <w:tc>
          <w:tcPr>
            <w:tcW w:w="1359" w:type="dxa"/>
            <w:tcBorders>
              <w:top w:val="single" w:sz="8" w:space="0" w:color="4BACC6"/>
              <w:left w:val="nil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</w:tr>
      <w:tr w:rsidR="00D914BA" w:rsidRPr="00D63A35" w:rsidTr="00945892">
        <w:trPr>
          <w:trHeight w:val="300"/>
        </w:trPr>
        <w:tc>
          <w:tcPr>
            <w:tcW w:w="337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178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1</w:t>
            </w:r>
          </w:p>
        </w:tc>
        <w:tc>
          <w:tcPr>
            <w:tcW w:w="1172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2</w:t>
            </w:r>
          </w:p>
        </w:tc>
        <w:tc>
          <w:tcPr>
            <w:tcW w:w="136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к.1/к.2</w:t>
            </w:r>
          </w:p>
        </w:tc>
        <w:tc>
          <w:tcPr>
            <w:tcW w:w="1401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3</w:t>
            </w:r>
          </w:p>
        </w:tc>
        <w:tc>
          <w:tcPr>
            <w:tcW w:w="1359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к.1/к.3</w:t>
            </w:r>
          </w:p>
        </w:tc>
      </w:tr>
      <w:tr w:rsidR="00D914BA" w:rsidRPr="00D63A35" w:rsidTr="00945892">
        <w:trPr>
          <w:trHeight w:val="552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Средносписъчен брой на служители за периода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570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-5,0%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606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-5,9%</w:t>
            </w:r>
          </w:p>
        </w:tc>
      </w:tr>
      <w:tr w:rsidR="00D914BA" w:rsidRPr="00D63A35" w:rsidTr="00945892">
        <w:trPr>
          <w:trHeight w:val="540"/>
        </w:trPr>
        <w:tc>
          <w:tcPr>
            <w:tcW w:w="337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Приходи от продажби на един зает в хил.лв.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26,1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27,1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-3,6%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17,8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7D0278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46,6%</w:t>
            </w:r>
          </w:p>
        </w:tc>
      </w:tr>
    </w:tbl>
    <w:p w:rsidR="00D914BA" w:rsidRPr="004E1DB3" w:rsidRDefault="00D914BA" w:rsidP="004E1DB3">
      <w:pPr>
        <w:spacing w:after="0"/>
        <w:jc w:val="both"/>
        <w:rPr>
          <w:lang w:val="bg-BG"/>
        </w:rPr>
      </w:pPr>
    </w:p>
    <w:p w:rsidR="00D914BA" w:rsidRPr="004E1DB3" w:rsidRDefault="00D914BA" w:rsidP="004E1DB3">
      <w:pPr>
        <w:pStyle w:val="BlockText"/>
        <w:ind w:left="0" w:firstLine="708"/>
        <w:rPr>
          <w:rFonts w:ascii="Calibri" w:hAnsi="Calibri"/>
          <w:sz w:val="22"/>
          <w:szCs w:val="22"/>
          <w:lang w:val="bg-BG"/>
        </w:rPr>
      </w:pPr>
      <w:r w:rsidRPr="004E1DB3">
        <w:rPr>
          <w:rFonts w:ascii="Calibri" w:hAnsi="Calibri"/>
          <w:sz w:val="22"/>
          <w:szCs w:val="22"/>
          <w:lang w:val="bg-BG"/>
        </w:rPr>
        <w:t xml:space="preserve">Анализът на показателите за </w:t>
      </w:r>
      <w:r w:rsidRPr="004E1DB3">
        <w:rPr>
          <w:rFonts w:ascii="Calibri" w:hAnsi="Calibri"/>
          <w:b/>
          <w:sz w:val="22"/>
          <w:szCs w:val="22"/>
          <w:lang w:val="bg-BG"/>
        </w:rPr>
        <w:t>печалба и рентабилност</w:t>
      </w:r>
      <w:r w:rsidRPr="004E1DB3">
        <w:rPr>
          <w:rFonts w:ascii="Calibri" w:hAnsi="Calibri"/>
          <w:sz w:val="22"/>
          <w:szCs w:val="22"/>
          <w:lang w:val="bg-BG"/>
        </w:rPr>
        <w:t xml:space="preserve"> в Таблица № 3 очертава следните по-важни тенденции във финансово-икономическото развитие на Дружеството:</w:t>
      </w:r>
    </w:p>
    <w:p w:rsidR="00D914BA" w:rsidRPr="004E1DB3" w:rsidRDefault="00D914BA" w:rsidP="004E1DB3">
      <w:pPr>
        <w:spacing w:after="0"/>
        <w:jc w:val="both"/>
        <w:rPr>
          <w:lang w:val="bg-BG"/>
        </w:rPr>
      </w:pPr>
    </w:p>
    <w:p w:rsidR="00D914BA" w:rsidRPr="004E1DB3" w:rsidRDefault="00D914BA" w:rsidP="004E1DB3">
      <w:pPr>
        <w:pStyle w:val="BlockText"/>
        <w:ind w:left="0" w:firstLine="708"/>
        <w:rPr>
          <w:rFonts w:ascii="Calibri" w:hAnsi="Calibri"/>
          <w:sz w:val="22"/>
          <w:szCs w:val="22"/>
          <w:lang w:val="bg-BG"/>
        </w:rPr>
      </w:pPr>
      <w:r w:rsidRPr="004E1DB3">
        <w:rPr>
          <w:rFonts w:ascii="Calibri" w:hAnsi="Calibri"/>
          <w:sz w:val="22"/>
          <w:szCs w:val="22"/>
          <w:lang w:val="bg-BG"/>
        </w:rPr>
        <w:t>Спрямо съответния период на предходната година:</w:t>
      </w:r>
    </w:p>
    <w:p w:rsidR="00D914BA" w:rsidRPr="004E1DB3" w:rsidRDefault="00D914BA" w:rsidP="004E1DB3">
      <w:pPr>
        <w:pStyle w:val="ListParagraph"/>
        <w:numPr>
          <w:ilvl w:val="0"/>
          <w:numId w:val="24"/>
        </w:numPr>
        <w:jc w:val="both"/>
        <w:rPr>
          <w:lang w:val="bg-BG"/>
        </w:rPr>
      </w:pPr>
      <w:r w:rsidRPr="004E1DB3">
        <w:rPr>
          <w:rFonts w:eastAsia="Times New Roman"/>
          <w:lang w:val="bg-BG" w:eastAsia="zh-CN"/>
        </w:rPr>
        <w:t>Финансовият резултат за периода „януари – септември“ 2013г. е печалба и превишава в пътизагубата  за същия период на 2012г.</w:t>
      </w:r>
    </w:p>
    <w:p w:rsidR="00D914BA" w:rsidRPr="004E1DB3" w:rsidRDefault="00D914BA" w:rsidP="004E1DB3">
      <w:pPr>
        <w:pStyle w:val="ListParagraph"/>
        <w:numPr>
          <w:ilvl w:val="0"/>
          <w:numId w:val="24"/>
        </w:numPr>
        <w:jc w:val="both"/>
        <w:rPr>
          <w:lang w:val="bg-BG"/>
        </w:rPr>
      </w:pPr>
      <w:r w:rsidRPr="004E1DB3">
        <w:rPr>
          <w:rFonts w:eastAsia="Times New Roman"/>
          <w:lang w:val="bg-BG" w:eastAsia="zh-CN"/>
        </w:rPr>
        <w:t>П</w:t>
      </w:r>
      <w:r w:rsidRPr="004E1DB3">
        <w:rPr>
          <w:lang w:val="bg-BG"/>
        </w:rPr>
        <w:t>оказателите за оперативна рентабилност (</w:t>
      </w:r>
      <w:r w:rsidRPr="004E1DB3">
        <w:t>EBITDA</w:t>
      </w:r>
      <w:r w:rsidRPr="004E1DB3">
        <w:rPr>
          <w:lang w:val="bg-BG"/>
        </w:rPr>
        <w:t>/Приходи от продажби в %) и брутна рентабилност (</w:t>
      </w:r>
      <w:r w:rsidRPr="004E1DB3">
        <w:t>EBIT</w:t>
      </w:r>
      <w:r w:rsidRPr="004E1DB3">
        <w:rPr>
          <w:lang w:val="bg-BG"/>
        </w:rPr>
        <w:t xml:space="preserve">/Приходи от продажби в %) са съответно с 27 и 30 процентни пункта по-високи по отчет в сравнение със същия период на предходната година. </w:t>
      </w:r>
    </w:p>
    <w:p w:rsidR="00D914BA" w:rsidRPr="004E1DB3" w:rsidRDefault="00D914BA" w:rsidP="004E1DB3">
      <w:pPr>
        <w:pStyle w:val="BlockText"/>
        <w:ind w:left="0" w:firstLine="708"/>
        <w:rPr>
          <w:rFonts w:ascii="Calibri" w:hAnsi="Calibri"/>
          <w:sz w:val="22"/>
          <w:szCs w:val="22"/>
          <w:lang w:val="bg-BG"/>
        </w:rPr>
      </w:pPr>
      <w:r w:rsidRPr="004E1DB3">
        <w:rPr>
          <w:rFonts w:ascii="Calibri" w:hAnsi="Calibri"/>
          <w:sz w:val="22"/>
          <w:szCs w:val="22"/>
          <w:lang w:val="bg-BG"/>
        </w:rPr>
        <w:t>Спрямо Бизнес план 2013 г.:</w:t>
      </w:r>
    </w:p>
    <w:p w:rsidR="00D914BA" w:rsidRPr="004E1DB3" w:rsidRDefault="00D914BA" w:rsidP="004E1DB3">
      <w:pPr>
        <w:pStyle w:val="ListParagraph"/>
        <w:numPr>
          <w:ilvl w:val="0"/>
          <w:numId w:val="23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 xml:space="preserve">В сравнение с Бизнес план 2013г. е реализиран по-нисък обем печалба с 12% -13 %; </w:t>
      </w:r>
    </w:p>
    <w:p w:rsidR="00D914BA" w:rsidRPr="004E1DB3" w:rsidRDefault="00D914BA" w:rsidP="004E1DB3">
      <w:pPr>
        <w:pStyle w:val="ListParagraph"/>
        <w:numPr>
          <w:ilvl w:val="0"/>
          <w:numId w:val="23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Свободният паричен поток (печалба + амортизации) е неизпълнен също с 13 %;</w:t>
      </w:r>
    </w:p>
    <w:p w:rsidR="00D914BA" w:rsidRPr="004E1DB3" w:rsidRDefault="00D914BA" w:rsidP="004E1DB3">
      <w:pPr>
        <w:pStyle w:val="ListParagraph"/>
        <w:numPr>
          <w:ilvl w:val="0"/>
          <w:numId w:val="23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Рентабилността на база печалба преди данъци е 14 % и изостава с 1 процентен пункт от заложената по Бизнес план 15 % рентабилност.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 xml:space="preserve">Анализът на показателите за </w:t>
      </w:r>
      <w:r w:rsidRPr="004E1DB3">
        <w:rPr>
          <w:b/>
          <w:lang w:val="bg-BG"/>
        </w:rPr>
        <w:t>паричните потоци</w:t>
      </w:r>
      <w:r w:rsidRPr="004E1DB3">
        <w:rPr>
          <w:lang w:val="bg-BG"/>
        </w:rPr>
        <w:t xml:space="preserve"> в Таблица № 3показва превишение на  входящите над изходящите потоци по отчет и обръщане на тенденцията от отрицателни към положителни нетни потоци.Нетният паричен поток от оперативна дейност за отчетния период е положителен (+) 1 833 хил.лв., за сравнение презсъответния период на предходната година нетният паричен поток от оперативна дейност е бил отрицателен (-) 2 870 хил.лв.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>През отчетният период се наблюдава придобиване на дълготрайни активи за 257 хил.лв., или с 35 % намаление спрямо съответния период на предходната година, когато са били придобити активи за 393 хил.лв. В сравнение с Бизнес плана - инвестиции за периода в размер на 243 хил.лв., преизпълнението по отчет е в размер на 14 хил.лв. или със 6 %.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 xml:space="preserve">Анализът на показателите за </w:t>
      </w:r>
      <w:r w:rsidRPr="004E1DB3">
        <w:rPr>
          <w:b/>
          <w:lang w:val="bg-BG"/>
        </w:rPr>
        <w:t>финансовото състояние</w:t>
      </w:r>
      <w:r w:rsidRPr="004E1DB3">
        <w:rPr>
          <w:lang w:val="bg-BG"/>
        </w:rPr>
        <w:t xml:space="preserve"> в Таблица № 3 показва следните изменения, настъпили от началото на годината:</w:t>
      </w:r>
    </w:p>
    <w:p w:rsidR="00D914BA" w:rsidRPr="004E1DB3" w:rsidRDefault="00D914BA" w:rsidP="004E1DB3">
      <w:pPr>
        <w:pStyle w:val="ListParagraph"/>
        <w:numPr>
          <w:ilvl w:val="0"/>
          <w:numId w:val="25"/>
        </w:numPr>
        <w:spacing w:line="240" w:lineRule="auto"/>
        <w:ind w:left="1276" w:hanging="283"/>
        <w:jc w:val="both"/>
        <w:rPr>
          <w:lang w:val="bg-BG"/>
        </w:rPr>
      </w:pPr>
      <w:r w:rsidRPr="004E1DB3">
        <w:rPr>
          <w:lang w:val="bg-BG"/>
        </w:rPr>
        <w:t>Повишен</w:t>
      </w:r>
      <w:r>
        <w:rPr>
          <w:lang w:val="bg-BG"/>
        </w:rPr>
        <w:t>и</w:t>
      </w:r>
      <w:r w:rsidRPr="004E1DB3">
        <w:rPr>
          <w:lang w:val="bg-BG"/>
        </w:rPr>
        <w:t>е на текущите активи с 19 %;</w:t>
      </w:r>
    </w:p>
    <w:p w:rsidR="00D914BA" w:rsidRPr="004E1DB3" w:rsidRDefault="00D914BA" w:rsidP="004E1DB3">
      <w:pPr>
        <w:pStyle w:val="ListParagraph"/>
        <w:numPr>
          <w:ilvl w:val="0"/>
          <w:numId w:val="25"/>
        </w:numPr>
        <w:spacing w:line="240" w:lineRule="auto"/>
        <w:ind w:left="1276" w:hanging="283"/>
        <w:jc w:val="both"/>
        <w:rPr>
          <w:lang w:val="bg-BG"/>
        </w:rPr>
      </w:pPr>
      <w:r w:rsidRPr="004E1DB3">
        <w:rPr>
          <w:lang w:val="bg-BG"/>
        </w:rPr>
        <w:t>Намаление на текущите пасиви с 18 %;</w:t>
      </w:r>
    </w:p>
    <w:p w:rsidR="00D914BA" w:rsidRPr="004E1DB3" w:rsidRDefault="00D914BA" w:rsidP="004E1DB3">
      <w:pPr>
        <w:pStyle w:val="ListParagraph"/>
        <w:numPr>
          <w:ilvl w:val="0"/>
          <w:numId w:val="25"/>
        </w:numPr>
        <w:spacing w:line="240" w:lineRule="auto"/>
        <w:ind w:left="1276" w:hanging="283"/>
        <w:jc w:val="both"/>
        <w:rPr>
          <w:lang w:val="bg-BG"/>
        </w:rPr>
      </w:pPr>
      <w:r w:rsidRPr="004E1DB3">
        <w:rPr>
          <w:lang w:val="bg-BG"/>
        </w:rPr>
        <w:t>Описаното по-горе увеличение на активитеи намаление на пасивите, рефлектира в повишаване на оборотния капитал с45 %, а на заетия капитал с 10 %;</w:t>
      </w:r>
    </w:p>
    <w:p w:rsidR="00D914BA" w:rsidRPr="004E1DB3" w:rsidRDefault="00D914BA" w:rsidP="004E1DB3">
      <w:pPr>
        <w:pStyle w:val="ListParagraph"/>
        <w:numPr>
          <w:ilvl w:val="0"/>
          <w:numId w:val="25"/>
        </w:numPr>
        <w:spacing w:line="240" w:lineRule="auto"/>
        <w:ind w:left="1276" w:hanging="283"/>
        <w:jc w:val="both"/>
        <w:rPr>
          <w:lang w:val="bg-BG"/>
        </w:rPr>
      </w:pPr>
      <w:r w:rsidRPr="004E1DB3">
        <w:rPr>
          <w:lang w:val="bg-BG"/>
        </w:rPr>
        <w:t>Текущата ликвидност се повишава от2,3 на 3,7, или с 59 %;</w:t>
      </w:r>
    </w:p>
    <w:p w:rsidR="00D914BA" w:rsidRPr="004E1DB3" w:rsidRDefault="00D914BA" w:rsidP="004E1DB3">
      <w:pPr>
        <w:pStyle w:val="ListParagraph"/>
        <w:numPr>
          <w:ilvl w:val="0"/>
          <w:numId w:val="25"/>
        </w:numPr>
        <w:spacing w:line="240" w:lineRule="auto"/>
        <w:ind w:left="1276" w:hanging="283"/>
        <w:jc w:val="both"/>
        <w:rPr>
          <w:lang w:val="bg-BG"/>
        </w:rPr>
      </w:pPr>
      <w:r w:rsidRPr="004E1DB3">
        <w:rPr>
          <w:lang w:val="bg-BG"/>
        </w:rPr>
        <w:t>Показателят за задлъжнялост (дългосрочните пасиви към сумата на активите) е с нискастойност 4 % и показва намаление на задлъжнялостта с 5 процентнипукта, в резултат на отпадане на лизингови вноски за автомобили.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 xml:space="preserve">Анализът на показателите, свързани с </w:t>
      </w:r>
      <w:r w:rsidRPr="004E1DB3">
        <w:rPr>
          <w:b/>
          <w:lang w:val="bg-BG"/>
        </w:rPr>
        <w:t>трудовите ресурси</w:t>
      </w:r>
      <w:r w:rsidRPr="004E1DB3">
        <w:rPr>
          <w:lang w:val="bg-BG"/>
        </w:rPr>
        <w:t xml:space="preserve"> в Таблица № 3, води до следните изводи:</w:t>
      </w:r>
    </w:p>
    <w:p w:rsidR="00D914BA" w:rsidRPr="004E1DB3" w:rsidRDefault="00D914BA" w:rsidP="004E1DB3">
      <w:pPr>
        <w:pStyle w:val="BlockText"/>
        <w:ind w:left="0" w:firstLine="708"/>
        <w:rPr>
          <w:rFonts w:ascii="Calibri" w:hAnsi="Calibri"/>
          <w:sz w:val="22"/>
          <w:szCs w:val="22"/>
          <w:lang w:val="bg-BG"/>
        </w:rPr>
      </w:pPr>
      <w:r w:rsidRPr="004E1DB3">
        <w:rPr>
          <w:rFonts w:ascii="Calibri" w:hAnsi="Calibri"/>
          <w:sz w:val="22"/>
          <w:szCs w:val="22"/>
          <w:lang w:val="bg-BG"/>
        </w:rPr>
        <w:t xml:space="preserve"> Спрямо съответния период на предходната година:</w:t>
      </w:r>
    </w:p>
    <w:p w:rsidR="00D914BA" w:rsidRPr="004E1DB3" w:rsidRDefault="00D914BA" w:rsidP="004E1DB3">
      <w:pPr>
        <w:pStyle w:val="BlockText"/>
        <w:numPr>
          <w:ilvl w:val="0"/>
          <w:numId w:val="26"/>
        </w:numPr>
        <w:rPr>
          <w:rFonts w:ascii="Calibri" w:hAnsi="Calibri"/>
          <w:sz w:val="22"/>
          <w:szCs w:val="22"/>
          <w:lang w:val="bg-BG"/>
        </w:rPr>
      </w:pPr>
      <w:r w:rsidRPr="004E1DB3">
        <w:rPr>
          <w:rFonts w:ascii="Calibri" w:hAnsi="Calibri"/>
          <w:sz w:val="22"/>
          <w:szCs w:val="22"/>
          <w:lang w:val="bg-BG"/>
        </w:rPr>
        <w:t>Намаление на средносписъчния брой служители с 5,9 %;</w:t>
      </w:r>
    </w:p>
    <w:p w:rsidR="00D914BA" w:rsidRPr="004E1DB3" w:rsidRDefault="00D914BA" w:rsidP="004E1DB3">
      <w:pPr>
        <w:pStyle w:val="BlockText"/>
        <w:numPr>
          <w:ilvl w:val="0"/>
          <w:numId w:val="26"/>
        </w:numPr>
        <w:rPr>
          <w:rFonts w:ascii="Calibri" w:hAnsi="Calibri"/>
          <w:sz w:val="22"/>
          <w:szCs w:val="22"/>
          <w:lang w:val="bg-BG"/>
        </w:rPr>
      </w:pPr>
      <w:r w:rsidRPr="004E1DB3">
        <w:rPr>
          <w:rFonts w:ascii="Calibri" w:hAnsi="Calibri"/>
          <w:sz w:val="22"/>
          <w:szCs w:val="22"/>
          <w:lang w:val="bg-BG"/>
        </w:rPr>
        <w:t>Нарастване на ефективността на труда, измерена като приходи от продажби на един зает за периода,от 17,8 хил.лв.на 26,1 хил.лв., или ръст от4</w:t>
      </w:r>
      <w:r w:rsidRPr="004E1DB3">
        <w:rPr>
          <w:rFonts w:ascii="Calibri" w:hAnsi="Calibri"/>
          <w:sz w:val="22"/>
          <w:szCs w:val="22"/>
        </w:rPr>
        <w:t>6</w:t>
      </w:r>
      <w:r w:rsidRPr="004E1DB3">
        <w:rPr>
          <w:rFonts w:ascii="Calibri" w:hAnsi="Calibri"/>
          <w:sz w:val="22"/>
          <w:szCs w:val="22"/>
          <w:lang w:val="bg-BG"/>
        </w:rPr>
        <w:t>,</w:t>
      </w:r>
      <w:r w:rsidRPr="004E1DB3">
        <w:rPr>
          <w:rFonts w:ascii="Calibri" w:hAnsi="Calibri"/>
          <w:sz w:val="22"/>
          <w:szCs w:val="22"/>
        </w:rPr>
        <w:t>6</w:t>
      </w:r>
      <w:r w:rsidRPr="004E1DB3">
        <w:rPr>
          <w:rFonts w:ascii="Calibri" w:hAnsi="Calibri"/>
          <w:sz w:val="22"/>
          <w:szCs w:val="22"/>
          <w:lang w:val="bg-BG"/>
        </w:rPr>
        <w:t xml:space="preserve"> %.</w:t>
      </w:r>
    </w:p>
    <w:p w:rsidR="00D914BA" w:rsidRPr="004E1DB3" w:rsidRDefault="00D914BA" w:rsidP="004E1DB3">
      <w:pPr>
        <w:pStyle w:val="BlockText"/>
        <w:ind w:left="0" w:firstLine="708"/>
        <w:rPr>
          <w:rFonts w:ascii="Calibri" w:hAnsi="Calibri"/>
          <w:sz w:val="22"/>
          <w:szCs w:val="22"/>
          <w:lang w:val="bg-BG"/>
        </w:rPr>
      </w:pPr>
      <w:r w:rsidRPr="004E1DB3">
        <w:rPr>
          <w:rFonts w:ascii="Calibri" w:hAnsi="Calibri"/>
          <w:sz w:val="22"/>
          <w:szCs w:val="22"/>
          <w:lang w:val="bg-BG"/>
        </w:rPr>
        <w:t xml:space="preserve">   Спрямо Бизнес плана:</w:t>
      </w:r>
    </w:p>
    <w:p w:rsidR="00D914BA" w:rsidRPr="004E1DB3" w:rsidRDefault="00D914BA" w:rsidP="004E1DB3">
      <w:pPr>
        <w:pStyle w:val="ListParagraph"/>
        <w:numPr>
          <w:ilvl w:val="0"/>
          <w:numId w:val="27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Намаление на средносписъчния брой служители с 5 % спрямо</w:t>
      </w:r>
      <w:r>
        <w:rPr>
          <w:lang w:val="bg-BG"/>
        </w:rPr>
        <w:t>бюджета</w:t>
      </w:r>
      <w:r w:rsidRPr="004E1DB3">
        <w:rPr>
          <w:lang w:val="bg-BG"/>
        </w:rPr>
        <w:t>.</w:t>
      </w:r>
    </w:p>
    <w:p w:rsidR="00D914BA" w:rsidRDefault="00D914BA" w:rsidP="004E1DB3">
      <w:pPr>
        <w:pStyle w:val="ListParagraph"/>
        <w:numPr>
          <w:ilvl w:val="0"/>
          <w:numId w:val="27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Планираната ефективност на труда (приходи от продажби на един зает) не е изпълнена с 3,6 %, поради неизпълнението на разчетените приходи.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 xml:space="preserve">Таблица № 4 показва измененията в </w:t>
      </w:r>
      <w:r w:rsidRPr="004E1DB3">
        <w:rPr>
          <w:b/>
          <w:lang w:val="bg-BG"/>
        </w:rPr>
        <w:t>Отчета за доходите</w:t>
      </w:r>
      <w:r w:rsidRPr="004E1DB3">
        <w:rPr>
          <w:lang w:val="bg-BG"/>
        </w:rPr>
        <w:t xml:space="preserve"> по отчет в сравнение с Бизнес план 2013 г. (колона 2), както и със съответния период на предходната година (колона 3).</w:t>
      </w:r>
    </w:p>
    <w:p w:rsidR="00D914BA" w:rsidRPr="00B35B22" w:rsidRDefault="00D914BA" w:rsidP="00B35B22">
      <w:pPr>
        <w:pStyle w:val="Heading3"/>
        <w:spacing w:before="0" w:line="240" w:lineRule="auto"/>
        <w:jc w:val="center"/>
        <w:rPr>
          <w:lang w:val="bg-BG"/>
        </w:rPr>
      </w:pPr>
      <w:r w:rsidRPr="004E1DB3">
        <w:rPr>
          <w:rFonts w:ascii="Calibri" w:hAnsi="Calibri"/>
          <w:lang w:val="bg-BG"/>
        </w:rPr>
        <w:t>Таблица № 4. „ИО” АД – Отчет за доходитеза периода 01.01. – 30.09.2013г.</w:t>
      </w:r>
    </w:p>
    <w:tbl>
      <w:tblPr>
        <w:tblW w:w="1026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3280"/>
        <w:gridCol w:w="1340"/>
        <w:gridCol w:w="1340"/>
        <w:gridCol w:w="1500"/>
        <w:gridCol w:w="1300"/>
        <w:gridCol w:w="1500"/>
      </w:tblGrid>
      <w:tr w:rsidR="00D914BA" w:rsidRPr="00D63A35" w:rsidTr="004364E9">
        <w:trPr>
          <w:trHeight w:val="300"/>
        </w:trPr>
        <w:tc>
          <w:tcPr>
            <w:tcW w:w="328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Показатели на Отчета за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 xml:space="preserve">доходите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(хил.лв.)</w:t>
            </w:r>
          </w:p>
        </w:tc>
        <w:tc>
          <w:tcPr>
            <w:tcW w:w="134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Отчетен период</w:t>
            </w:r>
          </w:p>
        </w:tc>
        <w:tc>
          <w:tcPr>
            <w:tcW w:w="134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Бизнес план</w:t>
            </w:r>
          </w:p>
        </w:tc>
        <w:tc>
          <w:tcPr>
            <w:tcW w:w="150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  <w:tc>
          <w:tcPr>
            <w:tcW w:w="130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Съответен период на пред-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ходната година</w:t>
            </w:r>
          </w:p>
        </w:tc>
        <w:tc>
          <w:tcPr>
            <w:tcW w:w="150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</w:tr>
      <w:tr w:rsidR="00D914BA" w:rsidRPr="00D63A35" w:rsidTr="004364E9">
        <w:trPr>
          <w:trHeight w:val="1365"/>
        </w:trPr>
        <w:tc>
          <w:tcPr>
            <w:tcW w:w="328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4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4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50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0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50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4364E9">
        <w:trPr>
          <w:trHeight w:val="375"/>
        </w:trPr>
        <w:tc>
          <w:tcPr>
            <w:tcW w:w="328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4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1</w:t>
            </w:r>
          </w:p>
        </w:tc>
        <w:tc>
          <w:tcPr>
            <w:tcW w:w="134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2</w:t>
            </w:r>
          </w:p>
        </w:tc>
        <w:tc>
          <w:tcPr>
            <w:tcW w:w="150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к.1/к.2</w:t>
            </w:r>
          </w:p>
        </w:tc>
        <w:tc>
          <w:tcPr>
            <w:tcW w:w="130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3</w:t>
            </w:r>
          </w:p>
        </w:tc>
        <w:tc>
          <w:tcPr>
            <w:tcW w:w="150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к.1/к.3</w:t>
            </w:r>
          </w:p>
        </w:tc>
      </w:tr>
      <w:tr w:rsidR="00D914BA" w:rsidRPr="00D63A35" w:rsidTr="004364E9">
        <w:trPr>
          <w:trHeight w:val="312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Нетни приходи от продажби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14 878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16 243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10 787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38%</w:t>
            </w:r>
          </w:p>
        </w:tc>
      </w:tr>
      <w:tr w:rsidR="00D914BA" w:rsidRPr="00D63A35" w:rsidTr="004364E9">
        <w:trPr>
          <w:trHeight w:val="54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Разходи за материали и външни услуги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(3 298)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(4 094)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-19%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(3 317)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-1%</w:t>
            </w:r>
          </w:p>
        </w:tc>
      </w:tr>
      <w:tr w:rsidR="00D914BA" w:rsidRPr="00D63A35" w:rsidTr="004364E9">
        <w:trPr>
          <w:trHeight w:val="54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Разходи за възнаграждения и соц.осигуровки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(8 287)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(8 016)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(7 860)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5%</w:t>
            </w:r>
          </w:p>
        </w:tc>
      </w:tr>
      <w:tr w:rsidR="00D914BA" w:rsidRPr="00D63A35" w:rsidTr="004364E9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Други разходи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(394)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(348)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(249)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58%</w:t>
            </w:r>
          </w:p>
        </w:tc>
      </w:tr>
      <w:tr w:rsidR="00D914BA" w:rsidRPr="00D63A35" w:rsidTr="004364E9">
        <w:trPr>
          <w:trHeight w:val="54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Балансова стойност на продадени активи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(281)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(367)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-23%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(408)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-31%</w:t>
            </w:r>
          </w:p>
        </w:tc>
      </w:tr>
      <w:tr w:rsidR="00D914BA" w:rsidRPr="00D63A35" w:rsidTr="004364E9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Суми с корективен характер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257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(141)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-282%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251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2%</w:t>
            </w:r>
          </w:p>
        </w:tc>
      </w:tr>
      <w:tr w:rsidR="00D914BA" w:rsidRPr="00D63A35" w:rsidTr="004364E9">
        <w:trPr>
          <w:trHeight w:val="54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Печалба преди лихви и данъци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и амортизации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2 875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3 277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-12%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(796)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461%</w:t>
            </w:r>
          </w:p>
        </w:tc>
      </w:tr>
      <w:tr w:rsidR="00D914BA" w:rsidRPr="00D63A35" w:rsidTr="004364E9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Разходи за амортизации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(752)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(848)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(859)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-12%</w:t>
            </w:r>
          </w:p>
        </w:tc>
      </w:tr>
      <w:tr w:rsidR="00D914BA" w:rsidRPr="00D63A35" w:rsidTr="004364E9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Печалба преди лихви и данъци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2 123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2 429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(1 655)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228%</w:t>
            </w:r>
          </w:p>
        </w:tc>
      </w:tr>
      <w:tr w:rsidR="00D914BA" w:rsidRPr="00D63A35" w:rsidTr="004364E9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Финансирания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0%</w:t>
            </w:r>
          </w:p>
        </w:tc>
      </w:tr>
      <w:tr w:rsidR="00D914BA" w:rsidRPr="00D63A35" w:rsidTr="004364E9">
        <w:trPr>
          <w:trHeight w:val="54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Нетни финансови приходи</w:t>
            </w:r>
            <w:r w:rsidRPr="00D63A35">
              <w:rPr>
                <w:color w:val="000000"/>
                <w:lang w:eastAsia="bg-BG"/>
              </w:rPr>
              <w:t xml:space="preserve"> (</w:t>
            </w:r>
            <w:r w:rsidRPr="00D63A35">
              <w:rPr>
                <w:color w:val="000000"/>
                <w:lang w:val="bg-BG" w:eastAsia="bg-BG"/>
              </w:rPr>
              <w:t>разходи)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(12)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(3)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300%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(40)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70%</w:t>
            </w:r>
          </w:p>
        </w:tc>
      </w:tr>
      <w:tr w:rsidR="00D914BA" w:rsidRPr="00D63A35" w:rsidTr="004364E9">
        <w:trPr>
          <w:trHeight w:val="54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Печалба преди извънредни приходи (разходи)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2 426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(1 695)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225%</w:t>
            </w:r>
          </w:p>
        </w:tc>
      </w:tr>
      <w:tr w:rsidR="00D914BA" w:rsidRPr="00D63A35" w:rsidTr="004364E9">
        <w:trPr>
          <w:trHeight w:val="54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Финансов резултат преди данъци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2 426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(1 695)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225%</w:t>
            </w:r>
          </w:p>
        </w:tc>
      </w:tr>
      <w:tr w:rsidR="00D914BA" w:rsidRPr="00D63A35" w:rsidTr="004364E9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Разходи за данъци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(211)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(243)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343%</w:t>
            </w:r>
          </w:p>
        </w:tc>
      </w:tr>
      <w:tr w:rsidR="00D914BA" w:rsidRPr="00D63A35" w:rsidTr="004364E9">
        <w:trPr>
          <w:trHeight w:val="300"/>
        </w:trPr>
        <w:tc>
          <w:tcPr>
            <w:tcW w:w="32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Нетна печалба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1 900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2 183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(1 608)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218%</w:t>
            </w:r>
          </w:p>
        </w:tc>
      </w:tr>
    </w:tbl>
    <w:p w:rsidR="00D914BA" w:rsidRPr="004E1DB3" w:rsidRDefault="00D914BA" w:rsidP="004E1DB3">
      <w:pPr>
        <w:spacing w:after="0" w:line="240" w:lineRule="auto"/>
        <w:ind w:firstLine="708"/>
        <w:jc w:val="both"/>
        <w:rPr>
          <w:lang w:val="bg-BG"/>
        </w:rPr>
      </w:pPr>
    </w:p>
    <w:p w:rsidR="00D914BA" w:rsidRPr="004E1DB3" w:rsidRDefault="00D914BA" w:rsidP="004E1DB3">
      <w:pPr>
        <w:spacing w:after="0"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>Спрямо съответния период на предходната година:</w:t>
      </w:r>
    </w:p>
    <w:p w:rsidR="00D914BA" w:rsidRPr="004E1DB3" w:rsidRDefault="00D914BA" w:rsidP="004E1DB3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lang w:val="bg-BG"/>
        </w:rPr>
      </w:pPr>
      <w:r w:rsidRPr="004E1DB3">
        <w:rPr>
          <w:lang w:val="bg-BG"/>
        </w:rPr>
        <w:t xml:space="preserve">Разходите по икономически елементи се повишават с 4 %, в т.ч.: </w:t>
      </w:r>
    </w:p>
    <w:p w:rsidR="00D914BA" w:rsidRPr="004E1DB3" w:rsidRDefault="00D914BA" w:rsidP="004E1DB3">
      <w:pPr>
        <w:pStyle w:val="ListParagraph"/>
        <w:numPr>
          <w:ilvl w:val="1"/>
          <w:numId w:val="29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Разходите за материали и външни услуги намаляват с 1 %;</w:t>
      </w:r>
    </w:p>
    <w:p w:rsidR="00D914BA" w:rsidRPr="004E1DB3" w:rsidRDefault="00D914BA" w:rsidP="004E1DB3">
      <w:pPr>
        <w:pStyle w:val="ListParagraph"/>
        <w:numPr>
          <w:ilvl w:val="1"/>
          <w:numId w:val="29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Разходите за възнаграждения и осигуровки се повишават с 5 %;</w:t>
      </w:r>
    </w:p>
    <w:p w:rsidR="00D914BA" w:rsidRPr="004E1DB3" w:rsidRDefault="00D914BA" w:rsidP="004E1DB3">
      <w:pPr>
        <w:pStyle w:val="ListParagraph"/>
        <w:numPr>
          <w:ilvl w:val="1"/>
          <w:numId w:val="29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Другите разходи нарастват с 58 % в резултат на платени стипендии на обучаващи се лица по проекти по ОП РЧР;</w:t>
      </w:r>
    </w:p>
    <w:p w:rsidR="00D914BA" w:rsidRPr="004E1DB3" w:rsidRDefault="00D914BA" w:rsidP="004E1DB3">
      <w:pPr>
        <w:pStyle w:val="ListParagraph"/>
        <w:numPr>
          <w:ilvl w:val="1"/>
          <w:numId w:val="29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 xml:space="preserve">Разходите за амортизации намаляват с 12 % в резултат на забавяне на инвестиционната активност по отношение новопридобиване на амортизируеми активи. </w:t>
      </w:r>
    </w:p>
    <w:p w:rsidR="00D914BA" w:rsidRPr="004E1DB3" w:rsidRDefault="00D914BA" w:rsidP="004E1DB3">
      <w:pPr>
        <w:spacing w:after="0" w:line="240" w:lineRule="auto"/>
        <w:jc w:val="both"/>
        <w:rPr>
          <w:lang w:val="bg-BG"/>
        </w:rPr>
      </w:pPr>
      <w:r w:rsidRPr="004E1DB3">
        <w:rPr>
          <w:lang w:val="bg-BG"/>
        </w:rPr>
        <w:tab/>
        <w:t>Спрямо Бизнес плана:</w:t>
      </w:r>
    </w:p>
    <w:p w:rsidR="00D914BA" w:rsidRPr="004E1DB3" w:rsidRDefault="00D914BA" w:rsidP="004E1DB3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lang w:val="bg-BG"/>
        </w:rPr>
      </w:pPr>
      <w:r w:rsidRPr="004E1DB3">
        <w:rPr>
          <w:lang w:val="bg-BG"/>
        </w:rPr>
        <w:t>Оперативните разходи са реализирани в размер с  8 % по-нисък от планирания, което съответства на неизпълнението на приходите, също с 8 %, спрямо планираното.</w:t>
      </w:r>
    </w:p>
    <w:p w:rsidR="00D914BA" w:rsidRPr="004E1DB3" w:rsidRDefault="00D914BA" w:rsidP="004E1DB3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lang w:val="bg-BG"/>
        </w:rPr>
      </w:pPr>
      <w:r w:rsidRPr="004E1DB3">
        <w:rPr>
          <w:lang w:val="bg-BG"/>
        </w:rPr>
        <w:t xml:space="preserve">Отчетен е по-нисък общ размер на разходите по икономически елементи, спрямо планирания с 4 %. </w:t>
      </w:r>
    </w:p>
    <w:p w:rsidR="00D914BA" w:rsidRPr="004E1DB3" w:rsidRDefault="00D914BA" w:rsidP="004E1DB3">
      <w:pPr>
        <w:pStyle w:val="ListParagraph"/>
        <w:spacing w:after="0" w:line="240" w:lineRule="auto"/>
        <w:ind w:left="1440"/>
        <w:jc w:val="both"/>
        <w:rPr>
          <w:lang w:val="bg-BG"/>
        </w:rPr>
      </w:pPr>
    </w:p>
    <w:p w:rsidR="00D914BA" w:rsidRPr="004E1DB3" w:rsidRDefault="00D914BA" w:rsidP="004E1DB3">
      <w:pPr>
        <w:spacing w:line="240" w:lineRule="auto"/>
        <w:ind w:firstLine="708"/>
        <w:jc w:val="both"/>
        <w:rPr>
          <w:bCs/>
          <w:lang w:val="bg-BG"/>
        </w:rPr>
      </w:pPr>
      <w:r w:rsidRPr="004E1DB3">
        <w:rPr>
          <w:bCs/>
          <w:lang w:val="bg-BG"/>
        </w:rPr>
        <w:t xml:space="preserve">Нетните финансови приходи/разходи се повишават с 28 хил.лв., или със 70 % спрямо съответния период на предходната година. Това се дължи на увеличение на финансовите приходи за периода, спрямо същия период на предходната година от </w:t>
      </w:r>
      <w:r w:rsidRPr="004E1DB3">
        <w:rPr>
          <w:bCs/>
        </w:rPr>
        <w:t>33</w:t>
      </w:r>
      <w:r w:rsidRPr="004E1DB3">
        <w:rPr>
          <w:bCs/>
          <w:lang w:val="bg-BG"/>
        </w:rPr>
        <w:t xml:space="preserve"> хил.лв. на </w:t>
      </w:r>
      <w:r w:rsidRPr="004E1DB3">
        <w:rPr>
          <w:bCs/>
        </w:rPr>
        <w:t>111</w:t>
      </w:r>
      <w:r w:rsidRPr="004E1DB3">
        <w:rPr>
          <w:bCs/>
          <w:lang w:val="bg-BG"/>
        </w:rPr>
        <w:t xml:space="preserve"> хил.лв., в резултат на подобрено управление на финансовия ресурс на дружеството.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bCs/>
          <w:lang w:val="bg-BG"/>
        </w:rPr>
      </w:pPr>
      <w:r w:rsidRPr="004E1DB3">
        <w:rPr>
          <w:bCs/>
          <w:lang w:val="bg-BG"/>
        </w:rPr>
        <w:t xml:space="preserve">В Таблица 5 е показан </w:t>
      </w:r>
      <w:r w:rsidRPr="004E1DB3">
        <w:rPr>
          <w:b/>
          <w:bCs/>
          <w:lang w:val="bg-BG"/>
        </w:rPr>
        <w:t>Отчета за финансовото състояние</w:t>
      </w:r>
      <w:r w:rsidRPr="004E1DB3">
        <w:rPr>
          <w:bCs/>
          <w:lang w:val="bg-BG"/>
        </w:rPr>
        <w:t xml:space="preserve"> на дружеството с настъпилите изменения от началото на годината.</w:t>
      </w:r>
    </w:p>
    <w:p w:rsidR="00D914BA" w:rsidRDefault="00D914BA" w:rsidP="00B35B22">
      <w:pPr>
        <w:pStyle w:val="Heading3"/>
        <w:spacing w:before="0" w:line="240" w:lineRule="auto"/>
        <w:ind w:left="708"/>
        <w:rPr>
          <w:rFonts w:ascii="Calibri" w:hAnsi="Calibri"/>
          <w:lang w:val="bg-BG"/>
        </w:rPr>
      </w:pPr>
      <w:r w:rsidRPr="004E1DB3">
        <w:rPr>
          <w:rFonts w:ascii="Calibri" w:hAnsi="Calibri"/>
          <w:lang w:val="bg-BG"/>
        </w:rPr>
        <w:t>Таблица № 5. „ИО” АД – Отчет за финансовото състояниекъм 30.09.2013г.</w:t>
      </w:r>
    </w:p>
    <w:p w:rsidR="00D914BA" w:rsidRPr="00B35B22" w:rsidRDefault="00D914BA" w:rsidP="00B35B22">
      <w:pPr>
        <w:rPr>
          <w:lang w:val="bg-BG"/>
        </w:rPr>
      </w:pPr>
    </w:p>
    <w:tbl>
      <w:tblPr>
        <w:tblW w:w="7701" w:type="dxa"/>
        <w:tblInd w:w="354" w:type="dxa"/>
        <w:tblCellMar>
          <w:left w:w="70" w:type="dxa"/>
          <w:right w:w="70" w:type="dxa"/>
        </w:tblCellMar>
        <w:tblLook w:val="00A0"/>
      </w:tblPr>
      <w:tblGrid>
        <w:gridCol w:w="2741"/>
        <w:gridCol w:w="1840"/>
        <w:gridCol w:w="1620"/>
        <w:gridCol w:w="1500"/>
      </w:tblGrid>
      <w:tr w:rsidR="00D914BA" w:rsidRPr="00D63A35" w:rsidTr="00FA3FBC">
        <w:trPr>
          <w:trHeight w:val="300"/>
        </w:trPr>
        <w:tc>
          <w:tcPr>
            <w:tcW w:w="2741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Показатели на Отчета за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финансовото състояние (хил.лв.)</w:t>
            </w:r>
          </w:p>
        </w:tc>
        <w:tc>
          <w:tcPr>
            <w:tcW w:w="184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Текущ период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(30.09.2013)</w:t>
            </w:r>
          </w:p>
        </w:tc>
        <w:tc>
          <w:tcPr>
            <w:tcW w:w="162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Предходен период (31.12.2012)</w:t>
            </w:r>
          </w:p>
        </w:tc>
        <w:tc>
          <w:tcPr>
            <w:tcW w:w="1500" w:type="dxa"/>
            <w:vMerge w:val="restart"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Изменение в %</w:t>
            </w:r>
          </w:p>
        </w:tc>
      </w:tr>
      <w:tr w:rsidR="00D914BA" w:rsidRPr="00D63A35" w:rsidTr="00FA3FBC">
        <w:trPr>
          <w:trHeight w:val="1365"/>
        </w:trPr>
        <w:tc>
          <w:tcPr>
            <w:tcW w:w="2741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84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62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500" w:type="dxa"/>
            <w:vMerge/>
            <w:tcBorders>
              <w:top w:val="single" w:sz="8" w:space="0" w:color="4BACC6"/>
              <w:left w:val="single" w:sz="8" w:space="0" w:color="4BACC6"/>
              <w:bottom w:val="nil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FA3FBC">
        <w:trPr>
          <w:trHeight w:val="375"/>
        </w:trPr>
        <w:tc>
          <w:tcPr>
            <w:tcW w:w="2741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84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1</w:t>
            </w:r>
          </w:p>
        </w:tc>
        <w:tc>
          <w:tcPr>
            <w:tcW w:w="162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2</w:t>
            </w:r>
          </w:p>
        </w:tc>
        <w:tc>
          <w:tcPr>
            <w:tcW w:w="1500" w:type="dxa"/>
            <w:tcBorders>
              <w:top w:val="single" w:sz="8" w:space="0" w:color="4BACC6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к.1/к.2</w:t>
            </w:r>
          </w:p>
        </w:tc>
      </w:tr>
      <w:tr w:rsidR="00D914BA" w:rsidRPr="00D63A35" w:rsidTr="00FA3FBC">
        <w:trPr>
          <w:trHeight w:val="312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Нетекущи активи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13 811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14 382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-4%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Текущи активи, в т.ч.: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11 151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9 372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19%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Материални запаси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983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846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16%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Краткосрочни вземания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1 772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23%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Парични средства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7 716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6 140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26%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Текущи пасиви, в т.ч.: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3 200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3 892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-18%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Краткосрочни задължения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2 688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3 416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-21%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Оборотен капитал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7 951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5 480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45%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Зает капитал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21 762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19 862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10%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Нетекущи пасиви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1 097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1 097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-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Други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Нетна стойност на активите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20 665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18 765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10%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Печалба (загуба)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1 900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-2 552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-174%</w:t>
            </w:r>
          </w:p>
        </w:tc>
      </w:tr>
      <w:tr w:rsidR="00D914BA" w:rsidRPr="00D63A35" w:rsidTr="00FA3FBC">
        <w:trPr>
          <w:trHeight w:val="54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Финансов резултат от минали години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Резерви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16 467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19 019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-13%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Основен капитал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2 298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noWrap/>
            <w:vAlign w:val="center"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0%</w:t>
            </w:r>
          </w:p>
        </w:tc>
      </w:tr>
      <w:tr w:rsidR="00D914BA" w:rsidRPr="00D63A35" w:rsidTr="00FA3FBC">
        <w:trPr>
          <w:trHeight w:val="300"/>
        </w:trPr>
        <w:tc>
          <w:tcPr>
            <w:tcW w:w="2741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Собствен капитал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20 665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18 765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69216C">
            <w:pPr>
              <w:spacing w:after="0" w:line="240" w:lineRule="auto"/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D63A35">
              <w:rPr>
                <w:b/>
                <w:bCs/>
                <w:color w:val="FF0000"/>
                <w:lang w:val="bg-BG" w:eastAsia="bg-BG"/>
              </w:rPr>
              <w:t>10%</w:t>
            </w:r>
          </w:p>
        </w:tc>
      </w:tr>
    </w:tbl>
    <w:p w:rsidR="00D914BA" w:rsidRPr="004E1DB3" w:rsidRDefault="00D914BA" w:rsidP="004E1DB3">
      <w:pPr>
        <w:spacing w:after="120" w:line="240" w:lineRule="auto"/>
        <w:ind w:firstLine="709"/>
        <w:jc w:val="both"/>
      </w:pPr>
    </w:p>
    <w:p w:rsidR="00D914BA" w:rsidRPr="004E1DB3" w:rsidRDefault="00D914BA" w:rsidP="004E1DB3">
      <w:pPr>
        <w:spacing w:after="120" w:line="240" w:lineRule="auto"/>
        <w:ind w:firstLine="709"/>
        <w:jc w:val="both"/>
        <w:rPr>
          <w:lang w:val="bg-BG"/>
        </w:rPr>
      </w:pPr>
      <w:r w:rsidRPr="004E1DB3">
        <w:rPr>
          <w:lang w:val="bg-BG"/>
        </w:rPr>
        <w:t>Анализът на финансовото състояние на дружеството показва следните изменения от началото на годината:</w:t>
      </w:r>
    </w:p>
    <w:p w:rsidR="00D914BA" w:rsidRPr="004E1DB3" w:rsidRDefault="00D914BA" w:rsidP="004E1DB3">
      <w:pPr>
        <w:pStyle w:val="ListParagraph"/>
        <w:numPr>
          <w:ilvl w:val="0"/>
          <w:numId w:val="35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Намаление на нетекущите активи на Дружеството с 4 %;</w:t>
      </w:r>
    </w:p>
    <w:p w:rsidR="00D914BA" w:rsidRPr="004E1DB3" w:rsidRDefault="00D914BA" w:rsidP="004E1DB3">
      <w:pPr>
        <w:pStyle w:val="ListParagraph"/>
        <w:numPr>
          <w:ilvl w:val="0"/>
          <w:numId w:val="35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Увеличение на текущите активи, в т.ч.:</w:t>
      </w:r>
    </w:p>
    <w:p w:rsidR="00D914BA" w:rsidRPr="004E1DB3" w:rsidRDefault="00D914BA" w:rsidP="004E1DB3">
      <w:pPr>
        <w:pStyle w:val="ListParagraph"/>
        <w:numPr>
          <w:ilvl w:val="1"/>
          <w:numId w:val="35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Увеличение на материалните запаси със16 %;</w:t>
      </w:r>
    </w:p>
    <w:p w:rsidR="00D914BA" w:rsidRPr="004E1DB3" w:rsidRDefault="00D914BA" w:rsidP="004E1DB3">
      <w:pPr>
        <w:pStyle w:val="ListParagraph"/>
        <w:numPr>
          <w:ilvl w:val="1"/>
          <w:numId w:val="35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Увеличение на краткосрочните вземания с 23;</w:t>
      </w:r>
    </w:p>
    <w:p w:rsidR="00D914BA" w:rsidRPr="004E1DB3" w:rsidRDefault="00D914BA" w:rsidP="004E1DB3">
      <w:pPr>
        <w:pStyle w:val="ListParagraph"/>
        <w:numPr>
          <w:ilvl w:val="1"/>
          <w:numId w:val="35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Увеличение на паричните средства с 26 %;</w:t>
      </w:r>
    </w:p>
    <w:p w:rsidR="00D914BA" w:rsidRPr="004E1DB3" w:rsidRDefault="00D914BA" w:rsidP="004E1DB3">
      <w:pPr>
        <w:pStyle w:val="ListParagraph"/>
        <w:numPr>
          <w:ilvl w:val="0"/>
          <w:numId w:val="35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Намаление на текущите пасиви, в т.ч.:</w:t>
      </w:r>
    </w:p>
    <w:p w:rsidR="00D914BA" w:rsidRPr="004E1DB3" w:rsidRDefault="00D914BA" w:rsidP="004E1DB3">
      <w:pPr>
        <w:pStyle w:val="ListParagraph"/>
        <w:numPr>
          <w:ilvl w:val="1"/>
          <w:numId w:val="35"/>
        </w:numPr>
        <w:spacing w:line="240" w:lineRule="auto"/>
        <w:jc w:val="both"/>
        <w:rPr>
          <w:lang w:val="bg-BG"/>
        </w:rPr>
      </w:pPr>
      <w:r w:rsidRPr="004E1DB3">
        <w:rPr>
          <w:lang w:val="bg-BG"/>
        </w:rPr>
        <w:t>Намаление на краткосрочните задължения с 21 %.</w:t>
      </w:r>
    </w:p>
    <w:p w:rsidR="00D914BA" w:rsidRPr="004E1DB3" w:rsidRDefault="00D914BA" w:rsidP="004E1DB3">
      <w:pPr>
        <w:spacing w:line="240" w:lineRule="auto"/>
        <w:jc w:val="both"/>
        <w:rPr>
          <w:lang w:val="bg-BG"/>
        </w:rPr>
      </w:pPr>
      <w:r w:rsidRPr="004E1DB3">
        <w:rPr>
          <w:lang w:val="bg-BG"/>
        </w:rPr>
        <w:tab/>
        <w:t xml:space="preserve">Повишението на обема на оборотния капитал </w:t>
      </w:r>
      <w:r w:rsidRPr="004E1DB3">
        <w:t>(</w:t>
      </w:r>
      <w:r w:rsidRPr="004E1DB3">
        <w:rPr>
          <w:lang w:val="bg-BG"/>
        </w:rPr>
        <w:t>разликата между текущи активи и текущи пасиви</w:t>
      </w:r>
      <w:r w:rsidRPr="004E1DB3">
        <w:t>)</w:t>
      </w:r>
      <w:r w:rsidRPr="004E1DB3">
        <w:rPr>
          <w:lang w:val="bg-BG"/>
        </w:rPr>
        <w:t>с 45 %, а на заетия капитал</w:t>
      </w:r>
      <w:r w:rsidRPr="004E1DB3">
        <w:t>(</w:t>
      </w:r>
      <w:r w:rsidRPr="004E1DB3">
        <w:rPr>
          <w:lang w:val="bg-BG"/>
        </w:rPr>
        <w:t>сумата на нетекущи активи и оборотен капитал</w:t>
      </w:r>
      <w:r w:rsidRPr="004E1DB3">
        <w:t>)</w:t>
      </w:r>
      <w:r w:rsidRPr="004E1DB3">
        <w:rPr>
          <w:lang w:val="bg-BG"/>
        </w:rPr>
        <w:t>с 10% показва подобреноуправление на оперативната дейност на Дружеството.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>Нетната стойност на активите (собственият капитал)се повишава с 10 % в резултат на реализиранатапечалбаза отчетния период.След декапитализациятаза 2012г. в резултат на отчетената загуба за годината, през отчетния период Дружеството отчита междинен положителен финансов резултат, което повишава неговата капитализацията.</w:t>
      </w:r>
      <w:r w:rsidRPr="004E1DB3">
        <w:rPr>
          <w:lang w:val="bg-BG"/>
        </w:rPr>
        <w:tab/>
      </w:r>
    </w:p>
    <w:p w:rsidR="00D914BA" w:rsidRPr="004E1DB3" w:rsidRDefault="00D914BA" w:rsidP="004E1DB3">
      <w:pPr>
        <w:spacing w:line="240" w:lineRule="auto"/>
        <w:jc w:val="both"/>
        <w:rPr>
          <w:lang w:val="bg-BG"/>
        </w:rPr>
      </w:pPr>
      <w:r w:rsidRPr="004E1DB3">
        <w:rPr>
          <w:lang w:val="bg-BG"/>
        </w:rPr>
        <w:tab/>
        <w:t xml:space="preserve">В Таблица № 6 е показан размера на  </w:t>
      </w:r>
      <w:r w:rsidRPr="004E1DB3">
        <w:rPr>
          <w:b/>
          <w:lang w:val="bg-BG"/>
        </w:rPr>
        <w:t>вземанията</w:t>
      </w:r>
      <w:r w:rsidRPr="004E1DB3">
        <w:rPr>
          <w:lang w:val="bg-BG"/>
        </w:rPr>
        <w:t xml:space="preserve"> от контрагенти, класифицирани по възраст на вземанията.</w:t>
      </w:r>
    </w:p>
    <w:p w:rsidR="00D914BA" w:rsidRPr="004E1DB3" w:rsidRDefault="00D914BA" w:rsidP="0083352A">
      <w:pPr>
        <w:pStyle w:val="Heading3"/>
        <w:spacing w:before="0" w:line="240" w:lineRule="auto"/>
        <w:jc w:val="center"/>
        <w:rPr>
          <w:rFonts w:ascii="Calibri" w:hAnsi="Calibri"/>
          <w:lang w:val="bg-BG"/>
        </w:rPr>
      </w:pPr>
      <w:r w:rsidRPr="004E1DB3">
        <w:rPr>
          <w:rFonts w:ascii="Calibri" w:hAnsi="Calibri"/>
          <w:lang w:val="bg-BG"/>
        </w:rPr>
        <w:t>Таблица № 6. „ИО” АД – Вземания към 30.09.2013г.</w:t>
      </w:r>
    </w:p>
    <w:p w:rsidR="00D914BA" w:rsidRPr="004E1DB3" w:rsidRDefault="00D914BA" w:rsidP="004E1DB3">
      <w:pPr>
        <w:spacing w:after="0" w:line="240" w:lineRule="auto"/>
        <w:ind w:firstLine="720"/>
        <w:jc w:val="both"/>
        <w:rPr>
          <w:b/>
          <w:bCs/>
          <w:i/>
          <w:lang w:val="bg-BG"/>
        </w:rPr>
      </w:pP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</w:p>
    <w:tbl>
      <w:tblPr>
        <w:tblW w:w="1002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2936"/>
        <w:gridCol w:w="950"/>
        <w:gridCol w:w="916"/>
        <w:gridCol w:w="916"/>
        <w:gridCol w:w="918"/>
        <w:gridCol w:w="1304"/>
        <w:gridCol w:w="937"/>
        <w:gridCol w:w="1143"/>
      </w:tblGrid>
      <w:tr w:rsidR="00D914BA" w:rsidRPr="00D63A35" w:rsidTr="00A35994">
        <w:trPr>
          <w:trHeight w:val="288"/>
        </w:trPr>
        <w:tc>
          <w:tcPr>
            <w:tcW w:w="308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ВЗЕМАНИЯ ОТ КОНТРАГЕНТИ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(хил.лв.)</w:t>
            </w:r>
          </w:p>
        </w:tc>
        <w:tc>
          <w:tcPr>
            <w:tcW w:w="96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Общ размер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Възраст на вземанията</w:t>
            </w:r>
          </w:p>
        </w:tc>
        <w:tc>
          <w:tcPr>
            <w:tcW w:w="118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Просрочени вземания</w:t>
            </w:r>
          </w:p>
        </w:tc>
        <w:tc>
          <w:tcPr>
            <w:tcW w:w="96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Обез-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ценка</w:t>
            </w:r>
          </w:p>
        </w:tc>
        <w:tc>
          <w:tcPr>
            <w:tcW w:w="96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Балансова стойност</w:t>
            </w:r>
          </w:p>
        </w:tc>
      </w:tr>
      <w:tr w:rsidR="00D914BA" w:rsidRPr="00D63A35" w:rsidTr="00A35994">
        <w:trPr>
          <w:trHeight w:val="300"/>
        </w:trPr>
        <w:tc>
          <w:tcPr>
            <w:tcW w:w="308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2880" w:type="dxa"/>
            <w:gridSpan w:val="3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18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A35994">
        <w:trPr>
          <w:trHeight w:val="660"/>
        </w:trPr>
        <w:tc>
          <w:tcPr>
            <w:tcW w:w="308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до 3 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до 6 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над 6 м.</w:t>
            </w:r>
          </w:p>
        </w:tc>
        <w:tc>
          <w:tcPr>
            <w:tcW w:w="118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A35994">
        <w:trPr>
          <w:trHeight w:val="312"/>
        </w:trPr>
        <w:tc>
          <w:tcPr>
            <w:tcW w:w="30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Министерство на финансите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514</w:t>
            </w:r>
          </w:p>
        </w:tc>
      </w:tr>
      <w:tr w:rsidR="00D914BA" w:rsidRPr="00D63A35" w:rsidTr="00A35994">
        <w:trPr>
          <w:trHeight w:val="300"/>
        </w:trPr>
        <w:tc>
          <w:tcPr>
            <w:tcW w:w="30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МРРБ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73</w:t>
            </w:r>
          </w:p>
        </w:tc>
      </w:tr>
      <w:tr w:rsidR="00D914BA" w:rsidRPr="00D63A35" w:rsidTr="00A35994">
        <w:trPr>
          <w:trHeight w:val="300"/>
        </w:trPr>
        <w:tc>
          <w:tcPr>
            <w:tcW w:w="30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ЕНЕРГО ПРО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122</w:t>
            </w:r>
          </w:p>
        </w:tc>
      </w:tr>
      <w:tr w:rsidR="00D914BA" w:rsidRPr="00D63A35" w:rsidTr="00A35994">
        <w:trPr>
          <w:trHeight w:val="300"/>
        </w:trPr>
        <w:tc>
          <w:tcPr>
            <w:tcW w:w="30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Вземания от други клиенти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1 451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415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1 157</w:t>
            </w:r>
          </w:p>
        </w:tc>
      </w:tr>
      <w:tr w:rsidR="00D914BA" w:rsidRPr="00D63A35" w:rsidTr="00A35994">
        <w:trPr>
          <w:trHeight w:val="300"/>
        </w:trPr>
        <w:tc>
          <w:tcPr>
            <w:tcW w:w="30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Вземания по гаранции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173</w:t>
            </w:r>
          </w:p>
        </w:tc>
      </w:tr>
      <w:tr w:rsidR="00D914BA" w:rsidRPr="00D63A35" w:rsidTr="00A35994">
        <w:trPr>
          <w:trHeight w:val="300"/>
        </w:trPr>
        <w:tc>
          <w:tcPr>
            <w:tcW w:w="30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Съдебни и присъдени вземания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148</w:t>
            </w:r>
          </w:p>
        </w:tc>
      </w:tr>
      <w:tr w:rsidR="00D914BA" w:rsidRPr="00D63A35" w:rsidTr="00A35994">
        <w:trPr>
          <w:trHeight w:val="300"/>
        </w:trPr>
        <w:tc>
          <w:tcPr>
            <w:tcW w:w="3080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ОБЩА СУМА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2 567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1 439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818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2 187</w:t>
            </w:r>
          </w:p>
        </w:tc>
      </w:tr>
    </w:tbl>
    <w:p w:rsidR="00D914BA" w:rsidRPr="004E1DB3" w:rsidRDefault="00D914BA" w:rsidP="004E1DB3">
      <w:pPr>
        <w:spacing w:line="240" w:lineRule="auto"/>
        <w:jc w:val="both"/>
        <w:rPr>
          <w:lang w:val="bg-BG"/>
        </w:rPr>
      </w:pP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>Анализът показва обща сума на вземанията към 30.09.2013г.в размер на 2567 хил.лв., като по-значителни вземания са тези от Министерството на финансите в размер на 514 хил.лв. и вземания от други клиенти в размер на 1 451 хил.лв. Структурата на вземанията по възраст показва, че преобладаващи са вземанията на възраст до 3 месеца, които са в размер на 1 439 хил.лв.и заемат56 % относителен дял в структурата на вземанията.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9F1448">
        <w:rPr>
          <w:lang w:val="bg-BG"/>
        </w:rPr>
        <w:t>След обезценката на вземанията в размер на 380 хил.лв., балансовата стойност на търговските и други вземания към 30.09.2013 г. възлиза на 2187 хил.лв.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 xml:space="preserve">В Таблица № 7 са показани </w:t>
      </w:r>
      <w:r w:rsidRPr="004E1DB3">
        <w:rPr>
          <w:b/>
          <w:lang w:val="bg-BG"/>
        </w:rPr>
        <w:t>задълженията</w:t>
      </w:r>
      <w:r w:rsidRPr="004E1DB3">
        <w:rPr>
          <w:lang w:val="bg-BG"/>
        </w:rPr>
        <w:t>към контрагенти по стойност и възраст.</w:t>
      </w:r>
    </w:p>
    <w:p w:rsidR="00D914BA" w:rsidRPr="004E1DB3" w:rsidRDefault="00D914BA" w:rsidP="0083352A">
      <w:pPr>
        <w:pStyle w:val="Heading3"/>
        <w:spacing w:before="0" w:line="240" w:lineRule="auto"/>
        <w:jc w:val="center"/>
        <w:rPr>
          <w:rFonts w:ascii="Calibri" w:hAnsi="Calibri"/>
          <w:lang w:val="bg-BG"/>
        </w:rPr>
      </w:pPr>
      <w:r w:rsidRPr="004E1DB3">
        <w:rPr>
          <w:rFonts w:ascii="Calibri" w:hAnsi="Calibri"/>
          <w:lang w:val="bg-BG"/>
        </w:rPr>
        <w:t>Таблица № 7. „ИО” АД – Задължения към 30.09.2013 г.</w:t>
      </w:r>
    </w:p>
    <w:p w:rsidR="00D914BA" w:rsidRPr="004E1DB3" w:rsidRDefault="00D914BA" w:rsidP="004E1DB3">
      <w:pPr>
        <w:spacing w:after="0" w:line="240" w:lineRule="auto"/>
        <w:ind w:firstLine="720"/>
        <w:jc w:val="both"/>
        <w:rPr>
          <w:b/>
          <w:bCs/>
          <w:i/>
          <w:lang w:val="bg-BG"/>
        </w:rPr>
      </w:pP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</w:p>
    <w:tbl>
      <w:tblPr>
        <w:tblW w:w="7659" w:type="dxa"/>
        <w:tblInd w:w="496" w:type="dxa"/>
        <w:tblCellMar>
          <w:left w:w="70" w:type="dxa"/>
          <w:right w:w="70" w:type="dxa"/>
        </w:tblCellMar>
        <w:tblLook w:val="00A0"/>
      </w:tblPr>
      <w:tblGrid>
        <w:gridCol w:w="2572"/>
        <w:gridCol w:w="953"/>
        <w:gridCol w:w="917"/>
        <w:gridCol w:w="949"/>
        <w:gridCol w:w="934"/>
        <w:gridCol w:w="1334"/>
      </w:tblGrid>
      <w:tr w:rsidR="00D914BA" w:rsidRPr="00D63A35" w:rsidTr="00192D5A">
        <w:trPr>
          <w:trHeight w:val="288"/>
        </w:trPr>
        <w:tc>
          <w:tcPr>
            <w:tcW w:w="2639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ЗАДЪЛЖЕНИЯ ПО КОНТРАГЕНТИ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(хил.лв.)</w:t>
            </w:r>
          </w:p>
        </w:tc>
        <w:tc>
          <w:tcPr>
            <w:tcW w:w="96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Общ размер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Възраст на задълженията</w:t>
            </w:r>
          </w:p>
        </w:tc>
        <w:tc>
          <w:tcPr>
            <w:tcW w:w="118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Просрочени задължения</w:t>
            </w:r>
          </w:p>
        </w:tc>
      </w:tr>
      <w:tr w:rsidR="00D914BA" w:rsidRPr="00D63A35" w:rsidTr="00192D5A">
        <w:trPr>
          <w:trHeight w:val="300"/>
        </w:trPr>
        <w:tc>
          <w:tcPr>
            <w:tcW w:w="2639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2880" w:type="dxa"/>
            <w:gridSpan w:val="3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18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192D5A">
        <w:trPr>
          <w:trHeight w:val="630"/>
        </w:trPr>
        <w:tc>
          <w:tcPr>
            <w:tcW w:w="2639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до 3 м.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до 6 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над 6 м.</w:t>
            </w:r>
          </w:p>
        </w:tc>
        <w:tc>
          <w:tcPr>
            <w:tcW w:w="118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192D5A">
        <w:trPr>
          <w:trHeight w:val="312"/>
        </w:trPr>
        <w:tc>
          <w:tcPr>
            <w:tcW w:w="2639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Задължения към доставчици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737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737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</w:tr>
      <w:tr w:rsidR="00D914BA" w:rsidRPr="00D63A35" w:rsidTr="00192D5A">
        <w:trPr>
          <w:trHeight w:val="300"/>
        </w:trPr>
        <w:tc>
          <w:tcPr>
            <w:tcW w:w="2639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Задължения към персонала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951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634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</w:tr>
      <w:tr w:rsidR="00D914BA" w:rsidRPr="00D63A35" w:rsidTr="00192D5A">
        <w:trPr>
          <w:trHeight w:val="564"/>
        </w:trPr>
        <w:tc>
          <w:tcPr>
            <w:tcW w:w="2639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Задължения към социалното осигуряване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214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</w:tr>
      <w:tr w:rsidR="00D914BA" w:rsidRPr="00D63A35" w:rsidTr="00192D5A">
        <w:trPr>
          <w:trHeight w:val="300"/>
        </w:trPr>
        <w:tc>
          <w:tcPr>
            <w:tcW w:w="2639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Задължения за данъци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343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343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</w:tr>
      <w:tr w:rsidR="00D914BA" w:rsidRPr="00D63A35" w:rsidTr="00192D5A">
        <w:trPr>
          <w:trHeight w:val="300"/>
        </w:trPr>
        <w:tc>
          <w:tcPr>
            <w:tcW w:w="2639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 xml:space="preserve">      в т.ч. Задължения за ДДС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161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161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</w:tr>
      <w:tr w:rsidR="00D914BA" w:rsidRPr="00D63A35" w:rsidTr="00192D5A">
        <w:trPr>
          <w:trHeight w:val="564"/>
        </w:trPr>
        <w:tc>
          <w:tcPr>
            <w:tcW w:w="2639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Задължения за дивидент на държавата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000000"/>
                <w:lang w:val="bg-BG" w:eastAsia="bg-BG"/>
              </w:rPr>
            </w:pPr>
          </w:p>
        </w:tc>
      </w:tr>
      <w:tr w:rsidR="00D914BA" w:rsidRPr="00D63A35" w:rsidTr="00192D5A">
        <w:trPr>
          <w:trHeight w:val="300"/>
        </w:trPr>
        <w:tc>
          <w:tcPr>
            <w:tcW w:w="2639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ОБЩА СУМА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2 301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1928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373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0</w:t>
            </w:r>
          </w:p>
        </w:tc>
      </w:tr>
    </w:tbl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</w:p>
    <w:p w:rsidR="00D914BA" w:rsidRPr="004E1DB3" w:rsidRDefault="00D914BA" w:rsidP="004E1DB3">
      <w:pPr>
        <w:spacing w:after="120" w:line="240" w:lineRule="auto"/>
        <w:ind w:firstLine="709"/>
        <w:jc w:val="both"/>
        <w:rPr>
          <w:lang w:val="bg-BG"/>
        </w:rPr>
      </w:pPr>
      <w:r w:rsidRPr="004E1DB3">
        <w:rPr>
          <w:lang w:val="bg-BG"/>
        </w:rPr>
        <w:t>Анализът показва липса на просрочени задължения на Дружеството. Задълженията на Дружеството към 30.09</w:t>
      </w:r>
      <w:r>
        <w:rPr>
          <w:lang w:val="bg-BG"/>
        </w:rPr>
        <w:t xml:space="preserve">.2013 г. са текущи – начислени задължения към доставчици, </w:t>
      </w:r>
      <w:r w:rsidRPr="004E1DB3">
        <w:rPr>
          <w:lang w:val="bg-BG"/>
        </w:rPr>
        <w:t>персонал и бюджета. Задълженията се погасяват в съответствие с договорените условия и срокове, като средния срок на плащане на търговски задължения на дружеството е 30 дни. Задълженията със срок на погасяване над 6 месеца произтичат от начислени разходи за неизползвани отпуски на персонала и осигурителни вноски, съгласно МСС 19 Доходи на персонала.</w:t>
      </w:r>
    </w:p>
    <w:p w:rsidR="00D914BA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>В Таблица № 8епоказан</w:t>
      </w:r>
      <w:r w:rsidRPr="004E1DB3">
        <w:rPr>
          <w:b/>
          <w:lang w:val="bg-BG"/>
        </w:rPr>
        <w:t>Отчета за паричните потоци</w:t>
      </w:r>
      <w:r w:rsidRPr="004E1DB3">
        <w:rPr>
          <w:lang w:val="bg-BG"/>
        </w:rPr>
        <w:t>, представени в стандартна форма и  диференцирани според  дейностите, от които произхождат.</w:t>
      </w:r>
    </w:p>
    <w:p w:rsidR="00D914BA" w:rsidRDefault="00D914BA" w:rsidP="004E1DB3">
      <w:pPr>
        <w:spacing w:line="240" w:lineRule="auto"/>
        <w:ind w:firstLine="708"/>
        <w:jc w:val="both"/>
        <w:rPr>
          <w:lang w:val="bg-BG"/>
        </w:rPr>
      </w:pPr>
    </w:p>
    <w:p w:rsidR="00D914BA" w:rsidRDefault="00D914BA" w:rsidP="004E1DB3">
      <w:pPr>
        <w:spacing w:line="240" w:lineRule="auto"/>
        <w:ind w:firstLine="708"/>
        <w:jc w:val="both"/>
        <w:rPr>
          <w:lang w:val="bg-BG"/>
        </w:rPr>
      </w:pP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</w:p>
    <w:p w:rsidR="00D914BA" w:rsidRPr="004E1DB3" w:rsidRDefault="00D914BA" w:rsidP="0083352A">
      <w:pPr>
        <w:pStyle w:val="Heading3"/>
        <w:spacing w:before="0" w:line="240" w:lineRule="auto"/>
        <w:jc w:val="center"/>
        <w:rPr>
          <w:rFonts w:ascii="Calibri" w:hAnsi="Calibri"/>
          <w:lang w:val="bg-BG"/>
        </w:rPr>
      </w:pPr>
      <w:r w:rsidRPr="004E1DB3">
        <w:rPr>
          <w:rFonts w:ascii="Calibri" w:hAnsi="Calibri"/>
          <w:lang w:val="bg-BG"/>
        </w:rPr>
        <w:t>Таблица № 8. „ИО” АД – Отчет за паричните потоциза периода 01.01.-30.09.2013г.</w:t>
      </w:r>
    </w:p>
    <w:p w:rsidR="00D914BA" w:rsidRPr="004E1DB3" w:rsidRDefault="00D914BA" w:rsidP="004E1DB3">
      <w:pPr>
        <w:jc w:val="both"/>
        <w:rPr>
          <w:lang w:val="bg-BG"/>
        </w:rPr>
      </w:pPr>
    </w:p>
    <w:tbl>
      <w:tblPr>
        <w:tblW w:w="7098" w:type="dxa"/>
        <w:tblInd w:w="637" w:type="dxa"/>
        <w:tblCellMar>
          <w:left w:w="70" w:type="dxa"/>
          <w:right w:w="70" w:type="dxa"/>
        </w:tblCellMar>
        <w:tblLook w:val="00A0"/>
      </w:tblPr>
      <w:tblGrid>
        <w:gridCol w:w="5578"/>
        <w:gridCol w:w="1520"/>
      </w:tblGrid>
      <w:tr w:rsidR="00D914BA" w:rsidRPr="00D63A35" w:rsidTr="00E17D9C">
        <w:trPr>
          <w:trHeight w:val="288"/>
        </w:trPr>
        <w:tc>
          <w:tcPr>
            <w:tcW w:w="5578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ОТЧЕТ ЗА ПАРИЧНИТЕ ПОТОЦИ </w:t>
            </w:r>
            <w:r w:rsidRPr="00D63A35">
              <w:rPr>
                <w:b/>
                <w:bCs/>
                <w:color w:val="000000"/>
                <w:lang w:val="bg-BG" w:eastAsia="bg-BG"/>
              </w:rPr>
              <w:br/>
              <w:t>(хил.лв.)</w:t>
            </w:r>
          </w:p>
        </w:tc>
        <w:tc>
          <w:tcPr>
            <w:tcW w:w="1520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Текущ период 30.09.2013г.</w:t>
            </w:r>
          </w:p>
        </w:tc>
      </w:tr>
      <w:tr w:rsidR="00D914BA" w:rsidRPr="00D63A35" w:rsidTr="00E17D9C">
        <w:trPr>
          <w:trHeight w:val="288"/>
        </w:trPr>
        <w:tc>
          <w:tcPr>
            <w:tcW w:w="5578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52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E17D9C">
        <w:trPr>
          <w:trHeight w:val="300"/>
        </w:trPr>
        <w:tc>
          <w:tcPr>
            <w:tcW w:w="5578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520" w:type="dxa"/>
            <w:vMerge/>
            <w:tcBorders>
              <w:top w:val="single" w:sz="8" w:space="0" w:color="4BACC6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E17D9C">
        <w:trPr>
          <w:trHeight w:val="330"/>
        </w:trPr>
        <w:tc>
          <w:tcPr>
            <w:tcW w:w="5578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val="bg-BG" w:eastAsia="bg-BG"/>
              </w:rPr>
            </w:pPr>
            <w:r w:rsidRPr="00D63A35">
              <w:rPr>
                <w:b/>
                <w:bCs/>
                <w:i/>
                <w:iCs/>
                <w:color w:val="000000"/>
                <w:lang w:val="bg-BG" w:eastAsia="bg-BG"/>
              </w:rPr>
              <w:t>2</w:t>
            </w:r>
          </w:p>
        </w:tc>
      </w:tr>
      <w:tr w:rsidR="00D914BA" w:rsidRPr="00D63A35" w:rsidTr="00E17D9C">
        <w:trPr>
          <w:trHeight w:val="315"/>
        </w:trPr>
        <w:tc>
          <w:tcPr>
            <w:tcW w:w="5578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Парични потоци от основна дейност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E17D9C">
        <w:trPr>
          <w:trHeight w:val="315"/>
        </w:trPr>
        <w:tc>
          <w:tcPr>
            <w:tcW w:w="5578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Нетен паричен поток от основна дейност (А)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1 833</w:t>
            </w:r>
          </w:p>
        </w:tc>
      </w:tr>
      <w:tr w:rsidR="00D914BA" w:rsidRPr="00D63A35" w:rsidTr="00E17D9C">
        <w:trPr>
          <w:trHeight w:val="315"/>
        </w:trPr>
        <w:tc>
          <w:tcPr>
            <w:tcW w:w="5578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Парични потоци от инвестиционна дейност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E17D9C">
        <w:trPr>
          <w:trHeight w:val="315"/>
        </w:trPr>
        <w:tc>
          <w:tcPr>
            <w:tcW w:w="5578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Нетен паричен поток от инвестиционна дейност (Б)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noWrap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color w:val="FF0000"/>
                <w:lang w:val="bg-BG" w:eastAsia="bg-BG"/>
              </w:rPr>
            </w:pPr>
            <w:r w:rsidRPr="00D63A35">
              <w:rPr>
                <w:color w:val="FF0000"/>
                <w:lang w:val="bg-BG" w:eastAsia="bg-BG"/>
              </w:rPr>
              <w:t>(257)</w:t>
            </w:r>
          </w:p>
        </w:tc>
      </w:tr>
      <w:tr w:rsidR="00D914BA" w:rsidRPr="00D63A35" w:rsidTr="00E17D9C">
        <w:trPr>
          <w:trHeight w:val="315"/>
        </w:trPr>
        <w:tc>
          <w:tcPr>
            <w:tcW w:w="5578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Парични потоци от финансова дейност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</w:p>
        </w:tc>
      </w:tr>
      <w:tr w:rsidR="00D914BA" w:rsidRPr="00D63A35" w:rsidTr="00E17D9C">
        <w:trPr>
          <w:trHeight w:val="315"/>
        </w:trPr>
        <w:tc>
          <w:tcPr>
            <w:tcW w:w="5578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Нетен паричен поток от финансова дейност (В)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0</w:t>
            </w:r>
          </w:p>
        </w:tc>
      </w:tr>
      <w:tr w:rsidR="00D914BA" w:rsidRPr="00D63A35" w:rsidTr="00E17D9C">
        <w:trPr>
          <w:trHeight w:val="315"/>
        </w:trPr>
        <w:tc>
          <w:tcPr>
            <w:tcW w:w="5578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 xml:space="preserve">Изменение на паричните средства през периода </w:t>
            </w:r>
          </w:p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(А + Б + В)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lang w:val="bg-BG" w:eastAsia="bg-BG"/>
              </w:rPr>
            </w:pPr>
            <w:r w:rsidRPr="00D63A35">
              <w:rPr>
                <w:lang w:val="bg-BG" w:eastAsia="bg-BG"/>
              </w:rPr>
              <w:t>1 576</w:t>
            </w:r>
          </w:p>
        </w:tc>
      </w:tr>
      <w:tr w:rsidR="00D914BA" w:rsidRPr="00D63A35" w:rsidTr="00E17D9C">
        <w:trPr>
          <w:trHeight w:val="315"/>
        </w:trPr>
        <w:tc>
          <w:tcPr>
            <w:tcW w:w="5578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color w:val="000000"/>
                <w:lang w:val="bg-BG" w:eastAsia="bg-BG"/>
              </w:rPr>
            </w:pPr>
            <w:r w:rsidRPr="00D63A35">
              <w:rPr>
                <w:color w:val="000000"/>
                <w:lang w:val="bg-BG" w:eastAsia="bg-BG"/>
              </w:rPr>
              <w:t>Парични средства в началото на периода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shd w:val="clear" w:color="000000" w:fill="D2EAF1"/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6 140</w:t>
            </w:r>
          </w:p>
        </w:tc>
      </w:tr>
      <w:tr w:rsidR="00D914BA" w:rsidRPr="00D63A35" w:rsidTr="00E17D9C">
        <w:trPr>
          <w:trHeight w:val="300"/>
        </w:trPr>
        <w:tc>
          <w:tcPr>
            <w:tcW w:w="5578" w:type="dxa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4E1DB3">
            <w:pPr>
              <w:spacing w:after="0" w:line="240" w:lineRule="auto"/>
              <w:jc w:val="both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Парични средства в края на периода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4BACC6"/>
              <w:right w:val="single" w:sz="8" w:space="0" w:color="4BACC6"/>
            </w:tcBorders>
            <w:vAlign w:val="center"/>
          </w:tcPr>
          <w:p w:rsidR="00D914BA" w:rsidRPr="00D63A35" w:rsidRDefault="00D914BA" w:rsidP="000068D3">
            <w:pPr>
              <w:spacing w:after="0" w:line="24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D63A35">
              <w:rPr>
                <w:b/>
                <w:bCs/>
                <w:color w:val="000000"/>
                <w:lang w:val="bg-BG" w:eastAsia="bg-BG"/>
              </w:rPr>
              <w:t>7 716</w:t>
            </w:r>
          </w:p>
        </w:tc>
      </w:tr>
    </w:tbl>
    <w:p w:rsidR="00D914BA" w:rsidRPr="004E1DB3" w:rsidRDefault="00D914BA" w:rsidP="004E1DB3">
      <w:pPr>
        <w:spacing w:after="0" w:line="240" w:lineRule="auto"/>
        <w:ind w:firstLine="720"/>
        <w:jc w:val="both"/>
        <w:rPr>
          <w:b/>
          <w:bCs/>
          <w:i/>
          <w:lang w:val="bg-BG"/>
        </w:rPr>
      </w:pP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  <w:r w:rsidRPr="004E1DB3">
        <w:rPr>
          <w:lang w:val="bg-BG"/>
        </w:rPr>
        <w:tab/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>Входящите парични потоци от оперативна дейност превишават изходящите с 1 833хил.лв. През периода е реализиран изходящ паричен поток от инвестиционна дейност в размер на 257 хил.лв.Липсват парични потоци от финансова дейност – платени дивиденти. Изменението на паричната наличност за отчетния период „януари – септември“ 2013г. е положително (+) 1 576 хил.лв.</w:t>
      </w:r>
    </w:p>
    <w:p w:rsidR="00D914BA" w:rsidRPr="004E1DB3" w:rsidRDefault="00D914BA" w:rsidP="004E1DB3">
      <w:pPr>
        <w:spacing w:after="0" w:line="240" w:lineRule="auto"/>
        <w:ind w:firstLine="708"/>
        <w:jc w:val="both"/>
        <w:rPr>
          <w:lang w:val="bg-BG"/>
        </w:rPr>
      </w:pPr>
      <w:r w:rsidRPr="004E1DB3">
        <w:rPr>
          <w:lang w:val="bg-BG"/>
        </w:rPr>
        <w:t>Паричните средства към 30.09.2013г.са в размер на7 716 хил.лв., от които:</w:t>
      </w:r>
    </w:p>
    <w:p w:rsidR="00D914BA" w:rsidRPr="004E1DB3" w:rsidRDefault="00D914BA" w:rsidP="004E1DB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lang w:val="bg-BG"/>
        </w:rPr>
      </w:pPr>
      <w:r w:rsidRPr="004E1DB3">
        <w:rPr>
          <w:lang w:val="bg-BG"/>
        </w:rPr>
        <w:t>Средства по разплащателни сметки и краткосрочни депозити – 7293 хил.лв.;</w:t>
      </w:r>
    </w:p>
    <w:p w:rsidR="00D914BA" w:rsidRPr="004E1DB3" w:rsidRDefault="00D914BA" w:rsidP="004E1DB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lang w:val="bg-BG"/>
        </w:rPr>
      </w:pPr>
      <w:r w:rsidRPr="004E1DB3">
        <w:rPr>
          <w:lang w:val="bg-BG"/>
        </w:rPr>
        <w:t>Средства по предоставени банкови гаранции за участие в процедури и изпълнение на договори  – 260 хил.лв.;</w:t>
      </w:r>
    </w:p>
    <w:p w:rsidR="00D914BA" w:rsidRPr="004E1DB3" w:rsidRDefault="00D914BA" w:rsidP="004E1DB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lang w:val="bg-BG"/>
        </w:rPr>
      </w:pPr>
      <w:r w:rsidRPr="004E1DB3">
        <w:rPr>
          <w:lang w:val="bg-BG"/>
        </w:rPr>
        <w:t>Ваучери за обучение (суми за получаване от Агенция по заетостта за извършено обучение срещу ваучери) – 133 хил.лв.;</w:t>
      </w:r>
    </w:p>
    <w:p w:rsidR="00D914BA" w:rsidRPr="004E1DB3" w:rsidRDefault="00D914BA" w:rsidP="004E1DB3">
      <w:pPr>
        <w:pStyle w:val="ListParagraph"/>
        <w:numPr>
          <w:ilvl w:val="0"/>
          <w:numId w:val="36"/>
        </w:numPr>
        <w:spacing w:after="120" w:line="240" w:lineRule="auto"/>
        <w:jc w:val="both"/>
        <w:rPr>
          <w:lang w:val="bg-BG"/>
        </w:rPr>
      </w:pPr>
      <w:r w:rsidRPr="004E1DB3">
        <w:rPr>
          <w:lang w:val="bg-BG"/>
        </w:rPr>
        <w:t>Парични средства в брой – 30 хил.лв.</w:t>
      </w:r>
    </w:p>
    <w:p w:rsidR="00D914BA" w:rsidRPr="004E1DB3" w:rsidRDefault="00D914BA" w:rsidP="004E1DB3">
      <w:pPr>
        <w:spacing w:line="240" w:lineRule="auto"/>
        <w:ind w:firstLine="709"/>
        <w:jc w:val="both"/>
        <w:rPr>
          <w:lang w:val="bg-BG"/>
        </w:rPr>
      </w:pPr>
      <w:r w:rsidRPr="004E1DB3">
        <w:rPr>
          <w:lang w:val="bg-BG"/>
        </w:rPr>
        <w:t>„Информационно обслужване“ АД оперира със собствени средства, не ползва привлечени средства във вид на заеми и дългове към банки и финансови институции.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b/>
          <w:bCs/>
          <w:color w:val="4F81BD"/>
          <w:u w:val="single"/>
          <w:lang w:val="bg-BG"/>
        </w:rPr>
      </w:pPr>
      <w:r w:rsidRPr="004E1DB3">
        <w:rPr>
          <w:b/>
          <w:bCs/>
          <w:color w:val="4F81BD"/>
          <w:u w:val="single"/>
          <w:lang w:val="bg-BG"/>
        </w:rPr>
        <w:t>Перспективи пред дружеството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bCs/>
          <w:lang w:val="bg-BG"/>
        </w:rPr>
      </w:pPr>
      <w:r w:rsidRPr="004E1DB3">
        <w:rPr>
          <w:bCs/>
          <w:lang w:val="bg-BG"/>
        </w:rPr>
        <w:t>Визията на ръководството за очакваните перспективи пред дружеството следва следните стъпки:</w:t>
      </w:r>
    </w:p>
    <w:p w:rsidR="00D914BA" w:rsidRPr="004E1DB3" w:rsidRDefault="00D914BA" w:rsidP="004E1DB3">
      <w:pPr>
        <w:pStyle w:val="ListParagraph"/>
        <w:numPr>
          <w:ilvl w:val="2"/>
          <w:numId w:val="44"/>
        </w:numPr>
        <w:tabs>
          <w:tab w:val="left" w:pos="1276"/>
        </w:tabs>
        <w:spacing w:line="240" w:lineRule="auto"/>
        <w:ind w:right="-2"/>
        <w:jc w:val="both"/>
        <w:rPr>
          <w:rFonts w:eastAsia="Times New Roman" w:cs="Arial"/>
          <w:lang w:val="bg-BG"/>
        </w:rPr>
      </w:pPr>
      <w:r w:rsidRPr="004E1DB3">
        <w:rPr>
          <w:rFonts w:eastAsia="Times New Roman" w:cs="Arial"/>
          <w:lang w:val="bg-BG"/>
        </w:rPr>
        <w:t>Стабилизиране на икономическото и финансово състояние на компанията;</w:t>
      </w:r>
    </w:p>
    <w:p w:rsidR="00D914BA" w:rsidRPr="004E1DB3" w:rsidRDefault="00D914BA" w:rsidP="004E1DB3">
      <w:pPr>
        <w:pStyle w:val="ListParagraph"/>
        <w:numPr>
          <w:ilvl w:val="2"/>
          <w:numId w:val="44"/>
        </w:numPr>
        <w:tabs>
          <w:tab w:val="left" w:pos="1276"/>
        </w:tabs>
        <w:spacing w:line="240" w:lineRule="auto"/>
        <w:ind w:right="-2"/>
        <w:jc w:val="both"/>
        <w:rPr>
          <w:rFonts w:eastAsia="Times New Roman" w:cs="Arial"/>
          <w:lang w:val="bg-BG"/>
        </w:rPr>
      </w:pPr>
      <w:r w:rsidRPr="004E1DB3">
        <w:rPr>
          <w:rFonts w:eastAsia="Times New Roman" w:cs="Arial"/>
          <w:lang w:val="bg-BG"/>
        </w:rPr>
        <w:t>Въвеждане на координиран и интегриран подход в управлението – оптимизиране на бизнес процесите и създаване на липсващи функционални и структурни звена в дружеството;</w:t>
      </w:r>
    </w:p>
    <w:p w:rsidR="00D914BA" w:rsidRPr="004E1DB3" w:rsidRDefault="00D914BA" w:rsidP="004E1DB3">
      <w:pPr>
        <w:pStyle w:val="ListParagraph"/>
        <w:numPr>
          <w:ilvl w:val="2"/>
          <w:numId w:val="44"/>
        </w:numPr>
        <w:tabs>
          <w:tab w:val="left" w:pos="1276"/>
        </w:tabs>
        <w:spacing w:line="240" w:lineRule="auto"/>
        <w:ind w:right="-2"/>
        <w:jc w:val="both"/>
        <w:rPr>
          <w:rFonts w:eastAsia="Times New Roman" w:cs="Arial"/>
          <w:lang w:val="bg-BG"/>
        </w:rPr>
      </w:pPr>
      <w:r w:rsidRPr="004E1DB3">
        <w:rPr>
          <w:rFonts w:eastAsia="Times New Roman" w:cs="Arial"/>
          <w:lang w:val="bg-BG"/>
        </w:rPr>
        <w:t>Кризисни мерки по подобряване на имиджа на компанията;</w:t>
      </w:r>
    </w:p>
    <w:p w:rsidR="00D914BA" w:rsidRPr="004E1DB3" w:rsidRDefault="00D914BA" w:rsidP="004E1DB3">
      <w:pPr>
        <w:pStyle w:val="ListParagraph"/>
        <w:numPr>
          <w:ilvl w:val="2"/>
          <w:numId w:val="44"/>
        </w:numPr>
        <w:tabs>
          <w:tab w:val="left" w:pos="1276"/>
        </w:tabs>
        <w:spacing w:line="240" w:lineRule="auto"/>
        <w:ind w:right="-2"/>
        <w:jc w:val="both"/>
        <w:rPr>
          <w:rFonts w:eastAsia="Times New Roman" w:cs="Arial"/>
          <w:lang w:val="bg-BG"/>
        </w:rPr>
      </w:pPr>
      <w:r w:rsidRPr="004E1DB3">
        <w:rPr>
          <w:rFonts w:eastAsia="Times New Roman" w:cs="Arial"/>
          <w:lang w:val="bg-BG"/>
        </w:rPr>
        <w:t>Разработване на краткосрочна и дългосрочна стратегия за развитие;</w:t>
      </w:r>
    </w:p>
    <w:p w:rsidR="00D914BA" w:rsidRPr="004E1DB3" w:rsidRDefault="00D914BA" w:rsidP="004E1DB3">
      <w:pPr>
        <w:pStyle w:val="ListParagraph"/>
        <w:numPr>
          <w:ilvl w:val="2"/>
          <w:numId w:val="44"/>
        </w:numPr>
        <w:tabs>
          <w:tab w:val="left" w:pos="1276"/>
        </w:tabs>
        <w:spacing w:line="240" w:lineRule="auto"/>
        <w:ind w:right="-2"/>
        <w:jc w:val="both"/>
        <w:rPr>
          <w:rFonts w:eastAsia="Times New Roman" w:cs="Arial"/>
          <w:lang w:val="bg-BG"/>
        </w:rPr>
      </w:pPr>
      <w:r w:rsidRPr="004E1DB3">
        <w:rPr>
          <w:rFonts w:eastAsia="Times New Roman" w:cs="Arial"/>
          <w:lang w:val="bg-BG"/>
        </w:rPr>
        <w:t>Изграждане и развитие на корпоративно портфолио с продукти и услуги, предлагани от дружеството;</w:t>
      </w:r>
    </w:p>
    <w:p w:rsidR="00D914BA" w:rsidRPr="004E1DB3" w:rsidRDefault="00D914BA" w:rsidP="004E1DB3">
      <w:pPr>
        <w:pStyle w:val="ListParagraph"/>
        <w:numPr>
          <w:ilvl w:val="2"/>
          <w:numId w:val="44"/>
        </w:numPr>
        <w:tabs>
          <w:tab w:val="left" w:pos="1276"/>
        </w:tabs>
        <w:spacing w:line="240" w:lineRule="auto"/>
        <w:ind w:right="-2"/>
        <w:jc w:val="both"/>
        <w:rPr>
          <w:rFonts w:eastAsia="Times New Roman" w:cs="Arial"/>
          <w:lang w:val="bg-BG"/>
        </w:rPr>
      </w:pPr>
      <w:r w:rsidRPr="004E1DB3">
        <w:rPr>
          <w:rFonts w:eastAsia="Times New Roman" w:cs="Arial"/>
          <w:lang w:val="bg-BG"/>
        </w:rPr>
        <w:t xml:space="preserve">Реализиране на национална програма за създаване на центрове по </w:t>
      </w:r>
      <w:r w:rsidRPr="004E1DB3">
        <w:rPr>
          <w:rFonts w:eastAsia="Times New Roman" w:cs="Arial"/>
        </w:rPr>
        <w:t xml:space="preserve">IT </w:t>
      </w:r>
      <w:r w:rsidRPr="004E1DB3">
        <w:rPr>
          <w:rFonts w:eastAsia="Times New Roman" w:cs="Arial"/>
          <w:lang w:val="bg-BG"/>
        </w:rPr>
        <w:t>компетенции;</w:t>
      </w:r>
    </w:p>
    <w:p w:rsidR="00D914BA" w:rsidRPr="004E1DB3" w:rsidRDefault="00D914BA" w:rsidP="004E1DB3">
      <w:pPr>
        <w:pStyle w:val="ListParagraph"/>
        <w:numPr>
          <w:ilvl w:val="2"/>
          <w:numId w:val="44"/>
        </w:numPr>
        <w:tabs>
          <w:tab w:val="left" w:pos="1276"/>
        </w:tabs>
        <w:spacing w:line="240" w:lineRule="auto"/>
        <w:ind w:right="-2"/>
        <w:jc w:val="both"/>
        <w:rPr>
          <w:rFonts w:eastAsia="Times New Roman" w:cs="Arial"/>
          <w:lang w:val="bg-BG"/>
        </w:rPr>
      </w:pPr>
      <w:r w:rsidRPr="004E1DB3">
        <w:rPr>
          <w:rFonts w:eastAsia="Times New Roman" w:cs="Arial"/>
          <w:lang w:val="bg-BG"/>
        </w:rPr>
        <w:t>Засилване на партньорствата и дейностите с университети и институции, имащи отношение към развитието на информационното общество в България.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</w:p>
    <w:p w:rsidR="00D914BA" w:rsidRDefault="00D914BA" w:rsidP="004E1DB3">
      <w:pPr>
        <w:spacing w:after="120" w:line="240" w:lineRule="auto"/>
        <w:ind w:left="4956" w:firstLine="709"/>
        <w:jc w:val="both"/>
        <w:rPr>
          <w:b/>
        </w:rPr>
      </w:pPr>
    </w:p>
    <w:p w:rsidR="00D914BA" w:rsidRDefault="00D914BA" w:rsidP="004E1DB3">
      <w:pPr>
        <w:spacing w:after="120" w:line="240" w:lineRule="auto"/>
        <w:ind w:left="4956" w:firstLine="709"/>
        <w:jc w:val="both"/>
        <w:rPr>
          <w:b/>
          <w:lang w:val="bg-BG"/>
        </w:rPr>
      </w:pPr>
    </w:p>
    <w:p w:rsidR="00D914BA" w:rsidRPr="004E1DB3" w:rsidRDefault="00D914BA" w:rsidP="004E1DB3">
      <w:pPr>
        <w:spacing w:after="120" w:line="240" w:lineRule="auto"/>
        <w:ind w:left="4956" w:firstLine="709"/>
        <w:jc w:val="both"/>
        <w:rPr>
          <w:b/>
          <w:lang w:val="bg-BG"/>
        </w:rPr>
      </w:pPr>
      <w:bookmarkStart w:id="0" w:name="_GoBack"/>
      <w:bookmarkEnd w:id="0"/>
      <w:r w:rsidRPr="004E1DB3">
        <w:rPr>
          <w:b/>
          <w:lang w:val="bg-BG"/>
        </w:rPr>
        <w:t>Николай Недялков</w:t>
      </w:r>
    </w:p>
    <w:p w:rsidR="00D914BA" w:rsidRPr="004E1DB3" w:rsidRDefault="00D914BA" w:rsidP="004E1DB3">
      <w:pPr>
        <w:spacing w:after="120" w:line="240" w:lineRule="auto"/>
        <w:ind w:left="4956" w:firstLine="709"/>
        <w:jc w:val="both"/>
        <w:rPr>
          <w:b/>
          <w:lang w:val="bg-BG"/>
        </w:rPr>
      </w:pPr>
      <w:r w:rsidRPr="004E1DB3">
        <w:rPr>
          <w:b/>
          <w:lang w:val="bg-BG"/>
        </w:rPr>
        <w:t>Изпълнителен директор на</w:t>
      </w:r>
    </w:p>
    <w:p w:rsidR="00D914BA" w:rsidRPr="004E1DB3" w:rsidRDefault="00D914BA" w:rsidP="000068D3">
      <w:pPr>
        <w:spacing w:after="120" w:line="240" w:lineRule="auto"/>
        <w:ind w:firstLine="709"/>
        <w:jc w:val="both"/>
        <w:rPr>
          <w:bCs/>
          <w:lang w:val="bg-BG"/>
        </w:rPr>
      </w:pPr>
      <w:r w:rsidRPr="004E1DB3">
        <w:rPr>
          <w:b/>
          <w:lang w:val="bg-BG"/>
        </w:rPr>
        <w:tab/>
      </w:r>
      <w:r w:rsidRPr="004E1DB3">
        <w:rPr>
          <w:b/>
          <w:lang w:val="bg-BG"/>
        </w:rPr>
        <w:tab/>
      </w:r>
      <w:r w:rsidRPr="004E1DB3">
        <w:rPr>
          <w:b/>
          <w:lang w:val="bg-BG"/>
        </w:rPr>
        <w:tab/>
      </w:r>
      <w:r w:rsidRPr="004E1DB3">
        <w:rPr>
          <w:b/>
          <w:lang w:val="bg-BG"/>
        </w:rPr>
        <w:tab/>
      </w:r>
      <w:r w:rsidRPr="004E1DB3">
        <w:rPr>
          <w:b/>
          <w:lang w:val="bg-BG"/>
        </w:rPr>
        <w:tab/>
      </w:r>
      <w:r w:rsidRPr="004E1DB3">
        <w:rPr>
          <w:b/>
          <w:lang w:val="bg-BG"/>
        </w:rPr>
        <w:tab/>
      </w:r>
      <w:r w:rsidRPr="004E1DB3">
        <w:rPr>
          <w:b/>
          <w:lang w:val="bg-BG"/>
        </w:rPr>
        <w:tab/>
        <w:t>„Информационно обслужване“ АД</w:t>
      </w:r>
    </w:p>
    <w:p w:rsidR="00D914BA" w:rsidRPr="004E1DB3" w:rsidRDefault="00D914BA" w:rsidP="004E1DB3">
      <w:pPr>
        <w:spacing w:line="240" w:lineRule="auto"/>
        <w:ind w:firstLine="708"/>
        <w:jc w:val="both"/>
        <w:rPr>
          <w:bCs/>
          <w:lang w:val="bg-BG"/>
        </w:rPr>
      </w:pPr>
    </w:p>
    <w:p w:rsidR="00D914BA" w:rsidRPr="004E1DB3" w:rsidRDefault="00D914BA" w:rsidP="004E1DB3">
      <w:pPr>
        <w:spacing w:line="240" w:lineRule="auto"/>
        <w:ind w:firstLine="708"/>
        <w:jc w:val="both"/>
        <w:rPr>
          <w:lang w:val="bg-BG"/>
        </w:rPr>
      </w:pPr>
    </w:p>
    <w:sectPr w:rsidR="00D914BA" w:rsidRPr="004E1DB3" w:rsidSect="00C55CF4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425" w:footer="4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4BA" w:rsidRDefault="00D914BA" w:rsidP="00334921">
      <w:pPr>
        <w:spacing w:after="0" w:line="240" w:lineRule="auto"/>
      </w:pPr>
      <w:r>
        <w:separator/>
      </w:r>
    </w:p>
  </w:endnote>
  <w:endnote w:type="continuationSeparator" w:id="1">
    <w:p w:rsidR="00D914BA" w:rsidRDefault="00D914BA" w:rsidP="00334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Латински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A4p12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4BA" w:rsidRDefault="00D914BA" w:rsidP="00334921">
    <w:pPr>
      <w:pStyle w:val="Footer"/>
      <w:tabs>
        <w:tab w:val="clear" w:pos="9072"/>
        <w:tab w:val="right" w:pos="9498"/>
      </w:tabs>
      <w:ind w:right="-428"/>
      <w:jc w:val="right"/>
    </w:pPr>
    <w:r>
      <w:rPr>
        <w:noProof/>
        <w:lang w:val="bg-BG"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49" type="#_x0000_t32" style="position:absolute;left:0;text-align:left;margin-left:423.9pt;margin-top:-31.9pt;width:33pt;height:70.5pt;flip:x;z-index:251660288;visibility:visible" strokecolor="#58b0e3"/>
      </w:pict>
    </w:r>
    <w:r w:rsidRPr="00334921">
      <w:rPr>
        <w:b/>
        <w:sz w:val="28"/>
      </w:rPr>
      <w:fldChar w:fldCharType="begin"/>
    </w:r>
    <w:r w:rsidRPr="00334921">
      <w:rPr>
        <w:b/>
        <w:sz w:val="28"/>
      </w:rPr>
      <w:instrText xml:space="preserve"> PAGE   \* MERGEFORMAT </w:instrText>
    </w:r>
    <w:r w:rsidRPr="00334921">
      <w:rPr>
        <w:b/>
        <w:sz w:val="28"/>
      </w:rPr>
      <w:fldChar w:fldCharType="separate"/>
    </w:r>
    <w:r>
      <w:rPr>
        <w:b/>
        <w:noProof/>
        <w:sz w:val="28"/>
      </w:rPr>
      <w:t>6</w:t>
    </w:r>
    <w:r w:rsidRPr="00334921">
      <w:rPr>
        <w:b/>
        <w:sz w:val="28"/>
      </w:rPr>
      <w:fldChar w:fldCharType="end"/>
    </w:r>
  </w:p>
  <w:p w:rsidR="00D914BA" w:rsidRDefault="00D914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4BA" w:rsidRDefault="00D914BA" w:rsidP="00DF2CAB">
    <w:pPr>
      <w:pStyle w:val="Footer"/>
      <w:tabs>
        <w:tab w:val="clear" w:pos="9072"/>
        <w:tab w:val="right" w:pos="9498"/>
      </w:tabs>
      <w:ind w:right="-428"/>
      <w:jc w:val="right"/>
    </w:pPr>
    <w:r>
      <w:rPr>
        <w:noProof/>
        <w:lang w:val="bg-BG"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52" type="#_x0000_t32" style="position:absolute;left:0;text-align:left;margin-left:423.9pt;margin-top:-31.9pt;width:33pt;height:70.5pt;flip:x;z-index:251665408;visibility:visible" strokecolor="#58b0e3"/>
      </w:pict>
    </w:r>
    <w:r w:rsidRPr="00334921">
      <w:rPr>
        <w:b/>
        <w:sz w:val="28"/>
      </w:rPr>
      <w:fldChar w:fldCharType="begin"/>
    </w:r>
    <w:r w:rsidRPr="00334921">
      <w:rPr>
        <w:b/>
        <w:sz w:val="28"/>
      </w:rPr>
      <w:instrText xml:space="preserve"> PAGE   \* MERGEFORMAT </w:instrText>
    </w:r>
    <w:r w:rsidRPr="00334921">
      <w:rPr>
        <w:b/>
        <w:sz w:val="28"/>
      </w:rPr>
      <w:fldChar w:fldCharType="separate"/>
    </w:r>
    <w:r>
      <w:rPr>
        <w:b/>
        <w:noProof/>
        <w:sz w:val="28"/>
      </w:rPr>
      <w:t>1</w:t>
    </w:r>
    <w:r w:rsidRPr="00334921">
      <w:rPr>
        <w:b/>
        <w:sz w:val="28"/>
      </w:rPr>
      <w:fldChar w:fldCharType="end"/>
    </w:r>
  </w:p>
  <w:p w:rsidR="00D914BA" w:rsidRDefault="00D914BA" w:rsidP="00DF2C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4BA" w:rsidRDefault="00D914BA" w:rsidP="00334921">
      <w:pPr>
        <w:spacing w:after="0" w:line="240" w:lineRule="auto"/>
      </w:pPr>
      <w:r>
        <w:separator/>
      </w:r>
    </w:p>
  </w:footnote>
  <w:footnote w:type="continuationSeparator" w:id="1">
    <w:p w:rsidR="00D914BA" w:rsidRDefault="00D914BA" w:rsidP="00334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4BA" w:rsidRPr="00C477D7" w:rsidRDefault="00D914BA" w:rsidP="00DF2CAB">
    <w:pPr>
      <w:pStyle w:val="Header"/>
      <w:tabs>
        <w:tab w:val="clear" w:pos="9072"/>
        <w:tab w:val="right" w:pos="9923"/>
      </w:tabs>
      <w:ind w:left="6663" w:right="-853"/>
      <w:rPr>
        <w:b/>
        <w:color w:val="7F7F7F"/>
        <w:sz w:val="16"/>
      </w:rPr>
    </w:pPr>
    <w:r>
      <w:rPr>
        <w:noProof/>
        <w:lang w:val="bg-BG"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50" type="#_x0000_t32" style="position:absolute;left:0;text-align:left;margin-left:284.2pt;margin-top:-6.6pt;width:33pt;height:70.5pt;flip:x;z-index:251662336;visibility:visible" strokecolor="#58b0e3"/>
      </w:pict>
    </w: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2051" type="#_x0000_t75" style="position:absolute;left:0;text-align:left;margin-left:-42.1pt;margin-top:3.7pt;width:185.3pt;height:45.7pt;z-index:251663360;visibility:visible">
          <v:imagedata r:id="rId1" o:title=""/>
        </v:shape>
      </w:pict>
    </w:r>
    <w:r w:rsidRPr="00C477D7">
      <w:rPr>
        <w:b/>
        <w:color w:val="7F7F7F"/>
        <w:sz w:val="16"/>
      </w:rPr>
      <w:t>1504 София, ул. ПанайотВолов № 2</w:t>
    </w:r>
  </w:p>
  <w:p w:rsidR="00D914BA" w:rsidRPr="00C477D7" w:rsidRDefault="00D914BA" w:rsidP="00DF2CAB">
    <w:pPr>
      <w:pStyle w:val="Header"/>
      <w:tabs>
        <w:tab w:val="clear" w:pos="9072"/>
        <w:tab w:val="right" w:pos="9923"/>
      </w:tabs>
      <w:ind w:left="6663" w:right="-853"/>
      <w:rPr>
        <w:b/>
        <w:color w:val="7F7F7F"/>
        <w:sz w:val="16"/>
      </w:rPr>
    </w:pPr>
    <w:r w:rsidRPr="00C477D7">
      <w:rPr>
        <w:b/>
        <w:color w:val="7F7F7F"/>
        <w:sz w:val="16"/>
      </w:rPr>
      <w:t>Тел.: 02/ 9420 340, факс: 02/ 943 66 07</w:t>
    </w:r>
  </w:p>
  <w:p w:rsidR="00D914BA" w:rsidRPr="00C477D7" w:rsidRDefault="00D914BA" w:rsidP="00DF2CAB">
    <w:pPr>
      <w:pStyle w:val="Header"/>
      <w:tabs>
        <w:tab w:val="clear" w:pos="9072"/>
        <w:tab w:val="right" w:pos="9923"/>
      </w:tabs>
      <w:ind w:left="6663" w:right="-853"/>
      <w:rPr>
        <w:b/>
        <w:color w:val="7F7F7F"/>
        <w:sz w:val="16"/>
      </w:rPr>
    </w:pPr>
    <w:r w:rsidRPr="00C477D7">
      <w:rPr>
        <w:b/>
        <w:color w:val="7F7F7F"/>
        <w:sz w:val="16"/>
      </w:rPr>
      <w:t>office@is-bg.net        www.is-bg.net</w:t>
    </w:r>
  </w:p>
  <w:p w:rsidR="00D914BA" w:rsidRDefault="00D914BA" w:rsidP="00DF2CAB">
    <w:pPr>
      <w:pStyle w:val="Header"/>
      <w:tabs>
        <w:tab w:val="clear" w:pos="9072"/>
        <w:tab w:val="right" w:pos="9923"/>
      </w:tabs>
      <w:ind w:left="6663" w:right="-853"/>
      <w:rPr>
        <w:b/>
        <w:color w:val="7F7F7F"/>
        <w:sz w:val="16"/>
      </w:rPr>
    </w:pPr>
    <w:r w:rsidRPr="00C477D7">
      <w:rPr>
        <w:b/>
        <w:color w:val="7F7F7F"/>
        <w:sz w:val="16"/>
      </w:rPr>
      <w:t>ЕИК: 831641791</w:t>
    </w:r>
  </w:p>
  <w:p w:rsidR="00D914BA" w:rsidRDefault="00D914BA" w:rsidP="00DF2CAB">
    <w:pPr>
      <w:pStyle w:val="Header"/>
      <w:tabs>
        <w:tab w:val="clear" w:pos="9072"/>
        <w:tab w:val="right" w:pos="9923"/>
      </w:tabs>
      <w:ind w:left="6663" w:right="-853"/>
      <w:rPr>
        <w:b/>
        <w:color w:val="7F7F7F"/>
        <w:sz w:val="16"/>
      </w:rPr>
    </w:pPr>
  </w:p>
  <w:p w:rsidR="00D914BA" w:rsidRPr="00C477D7" w:rsidRDefault="00D914BA" w:rsidP="00DF2CAB">
    <w:pPr>
      <w:pStyle w:val="Header"/>
      <w:tabs>
        <w:tab w:val="clear" w:pos="9072"/>
        <w:tab w:val="right" w:pos="9923"/>
      </w:tabs>
      <w:ind w:left="6663" w:right="-853"/>
      <w:rPr>
        <w:color w:val="7F7F7F"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136A2C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D52DA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4264B4"/>
    <w:multiLevelType w:val="hybridMultilevel"/>
    <w:tmpl w:val="4C8E4B2E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37F559F"/>
    <w:multiLevelType w:val="hybridMultilevel"/>
    <w:tmpl w:val="1DAE0A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E12F2"/>
    <w:multiLevelType w:val="hybridMultilevel"/>
    <w:tmpl w:val="1FE28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2D400F1"/>
    <w:multiLevelType w:val="hybridMultilevel"/>
    <w:tmpl w:val="3B7423B8"/>
    <w:lvl w:ilvl="0" w:tplc="F6747154">
      <w:start w:val="1"/>
      <w:numFmt w:val="decimal"/>
      <w:isLgl/>
      <w:lvlText w:val="2.3.%1."/>
      <w:lvlJc w:val="left"/>
      <w:pPr>
        <w:tabs>
          <w:tab w:val="num" w:pos="1457"/>
        </w:tabs>
        <w:ind w:left="1217" w:hanging="480"/>
      </w:pPr>
      <w:rPr>
        <w:rFonts w:cs="Times New Roman" w:hint="default"/>
      </w:rPr>
    </w:lvl>
    <w:lvl w:ilvl="1" w:tplc="04090019">
      <w:start w:val="1"/>
      <w:numFmt w:val="bullet"/>
      <w:pStyle w:val="ListBullet3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54C3F0">
      <w:start w:val="1"/>
      <w:numFmt w:val="decimal"/>
      <w:lvlText w:val="%3."/>
      <w:lvlJc w:val="left"/>
      <w:pPr>
        <w:tabs>
          <w:tab w:val="num" w:pos="2670"/>
        </w:tabs>
        <w:ind w:left="2670" w:hanging="69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A36038"/>
    <w:multiLevelType w:val="hybridMultilevel"/>
    <w:tmpl w:val="F7529EA0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BCB00C2"/>
    <w:multiLevelType w:val="hybridMultilevel"/>
    <w:tmpl w:val="9656D3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8C2D02"/>
    <w:multiLevelType w:val="hybridMultilevel"/>
    <w:tmpl w:val="A60EF6B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5881D6F"/>
    <w:multiLevelType w:val="hybridMultilevel"/>
    <w:tmpl w:val="E3745B08"/>
    <w:lvl w:ilvl="0" w:tplc="0409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BF50644"/>
    <w:multiLevelType w:val="hybridMultilevel"/>
    <w:tmpl w:val="D4B832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14768"/>
    <w:multiLevelType w:val="hybridMultilevel"/>
    <w:tmpl w:val="4F281F5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F4F1591"/>
    <w:multiLevelType w:val="hybridMultilevel"/>
    <w:tmpl w:val="045C95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6B6FE0"/>
    <w:multiLevelType w:val="hybridMultilevel"/>
    <w:tmpl w:val="E932B15C"/>
    <w:lvl w:ilvl="0" w:tplc="0402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>
    <w:nsid w:val="32E95880"/>
    <w:multiLevelType w:val="hybridMultilevel"/>
    <w:tmpl w:val="CFFEED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AF7C3C"/>
    <w:multiLevelType w:val="hybridMultilevel"/>
    <w:tmpl w:val="D2A6CD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9E109B"/>
    <w:multiLevelType w:val="hybridMultilevel"/>
    <w:tmpl w:val="72DAAF54"/>
    <w:lvl w:ilvl="0" w:tplc="0402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3A7C5FCC"/>
    <w:multiLevelType w:val="hybridMultilevel"/>
    <w:tmpl w:val="BCDCE67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237730B"/>
    <w:multiLevelType w:val="hybridMultilevel"/>
    <w:tmpl w:val="8A6E0A16"/>
    <w:lvl w:ilvl="0" w:tplc="0409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442322DB"/>
    <w:multiLevelType w:val="hybridMultilevel"/>
    <w:tmpl w:val="D6B8E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026F5C"/>
    <w:multiLevelType w:val="hybridMultilevel"/>
    <w:tmpl w:val="CB4847AE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6086239"/>
    <w:multiLevelType w:val="hybridMultilevel"/>
    <w:tmpl w:val="EFF64BE0"/>
    <w:lvl w:ilvl="0" w:tplc="A26EF942">
      <w:start w:val="5"/>
      <w:numFmt w:val="bullet"/>
      <w:lvlText w:val="-"/>
      <w:lvlJc w:val="left"/>
      <w:pPr>
        <w:ind w:left="1068" w:hanging="360"/>
      </w:pPr>
      <w:rPr>
        <w:rFonts w:ascii="Times New Roman" w:eastAsia="SimSu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C9F2FCD"/>
    <w:multiLevelType w:val="hybridMultilevel"/>
    <w:tmpl w:val="21A4D1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1C6E75"/>
    <w:multiLevelType w:val="hybridMultilevel"/>
    <w:tmpl w:val="44CC99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FC7D22"/>
    <w:multiLevelType w:val="hybridMultilevel"/>
    <w:tmpl w:val="C25830FE"/>
    <w:lvl w:ilvl="0" w:tplc="0402000F">
      <w:start w:val="1"/>
      <w:numFmt w:val="decimal"/>
      <w:lvlText w:val="%1."/>
      <w:lvlJc w:val="left"/>
      <w:pPr>
        <w:ind w:left="149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21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93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5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7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9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81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53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50" w:hanging="180"/>
      </w:pPr>
      <w:rPr>
        <w:rFonts w:cs="Times New Roman"/>
      </w:rPr>
    </w:lvl>
  </w:abstractNum>
  <w:abstractNum w:abstractNumId="25">
    <w:nsid w:val="4E957A3C"/>
    <w:multiLevelType w:val="hybridMultilevel"/>
    <w:tmpl w:val="277E93C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2D2F67"/>
    <w:multiLevelType w:val="hybridMultilevel"/>
    <w:tmpl w:val="958A72F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0213624"/>
    <w:multiLevelType w:val="hybridMultilevel"/>
    <w:tmpl w:val="2E70DAE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9AA05C5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1085CE1"/>
    <w:multiLevelType w:val="multilevel"/>
    <w:tmpl w:val="040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55D33BC0"/>
    <w:multiLevelType w:val="hybridMultilevel"/>
    <w:tmpl w:val="DD5C8DB2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67A6142"/>
    <w:multiLevelType w:val="hybridMultilevel"/>
    <w:tmpl w:val="F6F839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EF64EE"/>
    <w:multiLevelType w:val="hybridMultilevel"/>
    <w:tmpl w:val="5928C968"/>
    <w:lvl w:ilvl="0" w:tplc="040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F330133"/>
    <w:multiLevelType w:val="hybridMultilevel"/>
    <w:tmpl w:val="719859E6"/>
    <w:lvl w:ilvl="0" w:tplc="0402000D">
      <w:start w:val="1"/>
      <w:numFmt w:val="bullet"/>
      <w:lvlText w:val=""/>
      <w:lvlJc w:val="left"/>
      <w:pPr>
        <w:ind w:left="147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3">
    <w:nsid w:val="61036DF0"/>
    <w:multiLevelType w:val="hybridMultilevel"/>
    <w:tmpl w:val="C10A532E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3283063"/>
    <w:multiLevelType w:val="hybridMultilevel"/>
    <w:tmpl w:val="1AA223F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487612B"/>
    <w:multiLevelType w:val="hybridMultilevel"/>
    <w:tmpl w:val="24260CB4"/>
    <w:lvl w:ilvl="0" w:tplc="0402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>
    <w:nsid w:val="6D7852FC"/>
    <w:multiLevelType w:val="hybridMultilevel"/>
    <w:tmpl w:val="8EEEBB3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303F2D"/>
    <w:multiLevelType w:val="hybridMultilevel"/>
    <w:tmpl w:val="D23E49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297B63"/>
    <w:multiLevelType w:val="hybridMultilevel"/>
    <w:tmpl w:val="B04A8820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3043BD1"/>
    <w:multiLevelType w:val="hybridMultilevel"/>
    <w:tmpl w:val="FE06AEFE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32D5EEE"/>
    <w:multiLevelType w:val="hybridMultilevel"/>
    <w:tmpl w:val="5888E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C5299E"/>
    <w:multiLevelType w:val="hybridMultilevel"/>
    <w:tmpl w:val="A0C2BED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D429D6"/>
    <w:multiLevelType w:val="hybridMultilevel"/>
    <w:tmpl w:val="75E2C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E6541A"/>
    <w:multiLevelType w:val="hybridMultilevel"/>
    <w:tmpl w:val="A8788138"/>
    <w:lvl w:ilvl="0" w:tplc="CCA0D63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4">
    <w:nsid w:val="78E256B6"/>
    <w:multiLevelType w:val="hybridMultilevel"/>
    <w:tmpl w:val="BCF8FFE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BA960E7"/>
    <w:multiLevelType w:val="hybridMultilevel"/>
    <w:tmpl w:val="79E4884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7CDC696C"/>
    <w:multiLevelType w:val="hybridMultilevel"/>
    <w:tmpl w:val="21B464B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>
    <w:nsid w:val="7CF87D10"/>
    <w:multiLevelType w:val="hybridMultilevel"/>
    <w:tmpl w:val="5D448850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19"/>
  </w:num>
  <w:num w:numId="6">
    <w:abstractNumId w:val="12"/>
  </w:num>
  <w:num w:numId="7">
    <w:abstractNumId w:val="22"/>
  </w:num>
  <w:num w:numId="8">
    <w:abstractNumId w:val="37"/>
  </w:num>
  <w:num w:numId="9">
    <w:abstractNumId w:val="7"/>
  </w:num>
  <w:num w:numId="10">
    <w:abstractNumId w:val="21"/>
  </w:num>
  <w:num w:numId="11">
    <w:abstractNumId w:val="44"/>
  </w:num>
  <w:num w:numId="12">
    <w:abstractNumId w:val="45"/>
  </w:num>
  <w:num w:numId="13">
    <w:abstractNumId w:val="42"/>
  </w:num>
  <w:num w:numId="14">
    <w:abstractNumId w:val="14"/>
  </w:num>
  <w:num w:numId="15">
    <w:abstractNumId w:val="5"/>
  </w:num>
  <w:num w:numId="16">
    <w:abstractNumId w:val="27"/>
  </w:num>
  <w:num w:numId="17">
    <w:abstractNumId w:val="43"/>
  </w:num>
  <w:num w:numId="18">
    <w:abstractNumId w:val="9"/>
  </w:num>
  <w:num w:numId="19">
    <w:abstractNumId w:val="18"/>
  </w:num>
  <w:num w:numId="20">
    <w:abstractNumId w:val="23"/>
  </w:num>
  <w:num w:numId="21">
    <w:abstractNumId w:val="35"/>
  </w:num>
  <w:num w:numId="22">
    <w:abstractNumId w:val="30"/>
  </w:num>
  <w:num w:numId="23">
    <w:abstractNumId w:val="29"/>
  </w:num>
  <w:num w:numId="24">
    <w:abstractNumId w:val="16"/>
  </w:num>
  <w:num w:numId="25">
    <w:abstractNumId w:val="32"/>
  </w:num>
  <w:num w:numId="26">
    <w:abstractNumId w:val="39"/>
  </w:num>
  <w:num w:numId="27">
    <w:abstractNumId w:val="38"/>
  </w:num>
  <w:num w:numId="28">
    <w:abstractNumId w:val="41"/>
  </w:num>
  <w:num w:numId="29">
    <w:abstractNumId w:val="20"/>
  </w:num>
  <w:num w:numId="30">
    <w:abstractNumId w:val="33"/>
  </w:num>
  <w:num w:numId="31">
    <w:abstractNumId w:val="15"/>
  </w:num>
  <w:num w:numId="32">
    <w:abstractNumId w:val="31"/>
  </w:num>
  <w:num w:numId="33">
    <w:abstractNumId w:val="11"/>
  </w:num>
  <w:num w:numId="34">
    <w:abstractNumId w:val="34"/>
  </w:num>
  <w:num w:numId="35">
    <w:abstractNumId w:val="6"/>
  </w:num>
  <w:num w:numId="36">
    <w:abstractNumId w:val="13"/>
  </w:num>
  <w:num w:numId="37">
    <w:abstractNumId w:val="26"/>
  </w:num>
  <w:num w:numId="38">
    <w:abstractNumId w:val="4"/>
  </w:num>
  <w:num w:numId="39">
    <w:abstractNumId w:val="17"/>
  </w:num>
  <w:num w:numId="40">
    <w:abstractNumId w:val="25"/>
  </w:num>
  <w:num w:numId="41">
    <w:abstractNumId w:val="36"/>
  </w:num>
  <w:num w:numId="42">
    <w:abstractNumId w:val="8"/>
  </w:num>
  <w:num w:numId="43">
    <w:abstractNumId w:val="40"/>
  </w:num>
  <w:num w:numId="44">
    <w:abstractNumId w:val="28"/>
  </w:num>
  <w:num w:numId="45">
    <w:abstractNumId w:val="46"/>
  </w:num>
  <w:num w:numId="46">
    <w:abstractNumId w:val="3"/>
  </w:num>
  <w:num w:numId="47">
    <w:abstractNumId w:val="10"/>
  </w:num>
  <w:num w:numId="48">
    <w:abstractNumId w:val="24"/>
  </w:num>
  <w:num w:numId="49">
    <w:abstractNumId w:val="47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921"/>
    <w:rsid w:val="00002309"/>
    <w:rsid w:val="000068D3"/>
    <w:rsid w:val="00010F51"/>
    <w:rsid w:val="0001277C"/>
    <w:rsid w:val="00013CFF"/>
    <w:rsid w:val="0002004C"/>
    <w:rsid w:val="00022185"/>
    <w:rsid w:val="00025F31"/>
    <w:rsid w:val="00027A8C"/>
    <w:rsid w:val="00030DCA"/>
    <w:rsid w:val="00033AE0"/>
    <w:rsid w:val="00034DD3"/>
    <w:rsid w:val="00035B0C"/>
    <w:rsid w:val="00040B3A"/>
    <w:rsid w:val="0004101D"/>
    <w:rsid w:val="000442F1"/>
    <w:rsid w:val="00045802"/>
    <w:rsid w:val="00045E89"/>
    <w:rsid w:val="000504BD"/>
    <w:rsid w:val="00052786"/>
    <w:rsid w:val="000634CF"/>
    <w:rsid w:val="00065888"/>
    <w:rsid w:val="0007754E"/>
    <w:rsid w:val="0008069C"/>
    <w:rsid w:val="00085202"/>
    <w:rsid w:val="00085C29"/>
    <w:rsid w:val="00086339"/>
    <w:rsid w:val="00086573"/>
    <w:rsid w:val="000924F3"/>
    <w:rsid w:val="00094013"/>
    <w:rsid w:val="000A717E"/>
    <w:rsid w:val="000B2B87"/>
    <w:rsid w:val="000C51F9"/>
    <w:rsid w:val="000D4C2F"/>
    <w:rsid w:val="000D6496"/>
    <w:rsid w:val="000E40B4"/>
    <w:rsid w:val="000F1617"/>
    <w:rsid w:val="000F35EC"/>
    <w:rsid w:val="000F4FD4"/>
    <w:rsid w:val="00104BF9"/>
    <w:rsid w:val="00114573"/>
    <w:rsid w:val="001164F3"/>
    <w:rsid w:val="00127FCE"/>
    <w:rsid w:val="00135DBB"/>
    <w:rsid w:val="00152BB8"/>
    <w:rsid w:val="00155D50"/>
    <w:rsid w:val="00155E37"/>
    <w:rsid w:val="00160E86"/>
    <w:rsid w:val="00161327"/>
    <w:rsid w:val="001667CF"/>
    <w:rsid w:val="00177E45"/>
    <w:rsid w:val="001815E6"/>
    <w:rsid w:val="00187803"/>
    <w:rsid w:val="00192D5A"/>
    <w:rsid w:val="00193244"/>
    <w:rsid w:val="001A0D53"/>
    <w:rsid w:val="001A5952"/>
    <w:rsid w:val="001B2081"/>
    <w:rsid w:val="001B3FE3"/>
    <w:rsid w:val="001C07D0"/>
    <w:rsid w:val="001C29B2"/>
    <w:rsid w:val="001C2A13"/>
    <w:rsid w:val="001C4A40"/>
    <w:rsid w:val="001C4AB1"/>
    <w:rsid w:val="001D16BE"/>
    <w:rsid w:val="001D2B71"/>
    <w:rsid w:val="001F1BA0"/>
    <w:rsid w:val="001F387F"/>
    <w:rsid w:val="001F3FBD"/>
    <w:rsid w:val="001F6E0E"/>
    <w:rsid w:val="00201208"/>
    <w:rsid w:val="002059D1"/>
    <w:rsid w:val="00205D1C"/>
    <w:rsid w:val="0020609C"/>
    <w:rsid w:val="002101DC"/>
    <w:rsid w:val="00217805"/>
    <w:rsid w:val="00227532"/>
    <w:rsid w:val="00232534"/>
    <w:rsid w:val="00236151"/>
    <w:rsid w:val="00236F8D"/>
    <w:rsid w:val="00244F8B"/>
    <w:rsid w:val="0024761A"/>
    <w:rsid w:val="002510C2"/>
    <w:rsid w:val="00252128"/>
    <w:rsid w:val="00253604"/>
    <w:rsid w:val="002542BB"/>
    <w:rsid w:val="0026352E"/>
    <w:rsid w:val="0026387A"/>
    <w:rsid w:val="00270382"/>
    <w:rsid w:val="00270C03"/>
    <w:rsid w:val="0027679C"/>
    <w:rsid w:val="0027680C"/>
    <w:rsid w:val="00292A18"/>
    <w:rsid w:val="002A0858"/>
    <w:rsid w:val="002A3731"/>
    <w:rsid w:val="002A56E7"/>
    <w:rsid w:val="002A6385"/>
    <w:rsid w:val="002A6D3E"/>
    <w:rsid w:val="002B773F"/>
    <w:rsid w:val="002C1030"/>
    <w:rsid w:val="002C320E"/>
    <w:rsid w:val="002D5F62"/>
    <w:rsid w:val="002D628F"/>
    <w:rsid w:val="002D642A"/>
    <w:rsid w:val="002E0DA3"/>
    <w:rsid w:val="002E33EC"/>
    <w:rsid w:val="002F224C"/>
    <w:rsid w:val="002F5A29"/>
    <w:rsid w:val="002F673D"/>
    <w:rsid w:val="002F6CF9"/>
    <w:rsid w:val="002F7278"/>
    <w:rsid w:val="00307262"/>
    <w:rsid w:val="00310772"/>
    <w:rsid w:val="00316B86"/>
    <w:rsid w:val="003259AE"/>
    <w:rsid w:val="003273C8"/>
    <w:rsid w:val="00334921"/>
    <w:rsid w:val="0035170E"/>
    <w:rsid w:val="0035205B"/>
    <w:rsid w:val="0035317B"/>
    <w:rsid w:val="00373EE2"/>
    <w:rsid w:val="00376BA2"/>
    <w:rsid w:val="00382011"/>
    <w:rsid w:val="00383EA2"/>
    <w:rsid w:val="00384B6E"/>
    <w:rsid w:val="00385207"/>
    <w:rsid w:val="003860FB"/>
    <w:rsid w:val="003867CF"/>
    <w:rsid w:val="00390BDB"/>
    <w:rsid w:val="00396BF4"/>
    <w:rsid w:val="003A3653"/>
    <w:rsid w:val="003A4628"/>
    <w:rsid w:val="003B04A0"/>
    <w:rsid w:val="003B2FC7"/>
    <w:rsid w:val="003B3810"/>
    <w:rsid w:val="003C11FD"/>
    <w:rsid w:val="003C1315"/>
    <w:rsid w:val="003C2ABE"/>
    <w:rsid w:val="003D132A"/>
    <w:rsid w:val="003D19D2"/>
    <w:rsid w:val="003D1CB0"/>
    <w:rsid w:val="003D240D"/>
    <w:rsid w:val="003E24EB"/>
    <w:rsid w:val="003E341C"/>
    <w:rsid w:val="003E79A2"/>
    <w:rsid w:val="003F379A"/>
    <w:rsid w:val="003F4B1F"/>
    <w:rsid w:val="004043A8"/>
    <w:rsid w:val="00406B1B"/>
    <w:rsid w:val="004076A3"/>
    <w:rsid w:val="00431EFC"/>
    <w:rsid w:val="004337D2"/>
    <w:rsid w:val="00434028"/>
    <w:rsid w:val="004347F3"/>
    <w:rsid w:val="004364E9"/>
    <w:rsid w:val="00440BE7"/>
    <w:rsid w:val="00447216"/>
    <w:rsid w:val="00463FF3"/>
    <w:rsid w:val="004673E4"/>
    <w:rsid w:val="00471BE1"/>
    <w:rsid w:val="0047745C"/>
    <w:rsid w:val="004838F7"/>
    <w:rsid w:val="004843B2"/>
    <w:rsid w:val="00493074"/>
    <w:rsid w:val="004933E9"/>
    <w:rsid w:val="004B676B"/>
    <w:rsid w:val="004D25AA"/>
    <w:rsid w:val="004E0152"/>
    <w:rsid w:val="004E1DB3"/>
    <w:rsid w:val="004F1058"/>
    <w:rsid w:val="004F2906"/>
    <w:rsid w:val="004F6E65"/>
    <w:rsid w:val="004F77AC"/>
    <w:rsid w:val="00500C88"/>
    <w:rsid w:val="005078F3"/>
    <w:rsid w:val="005129FA"/>
    <w:rsid w:val="00514453"/>
    <w:rsid w:val="00526F50"/>
    <w:rsid w:val="005315CA"/>
    <w:rsid w:val="00540C9E"/>
    <w:rsid w:val="005425B3"/>
    <w:rsid w:val="00545FD9"/>
    <w:rsid w:val="00552B5F"/>
    <w:rsid w:val="00557C4E"/>
    <w:rsid w:val="00561776"/>
    <w:rsid w:val="005617A2"/>
    <w:rsid w:val="00563A9A"/>
    <w:rsid w:val="0056469A"/>
    <w:rsid w:val="0056573E"/>
    <w:rsid w:val="00566234"/>
    <w:rsid w:val="0056713D"/>
    <w:rsid w:val="005703AF"/>
    <w:rsid w:val="00571C29"/>
    <w:rsid w:val="0058408D"/>
    <w:rsid w:val="00584C32"/>
    <w:rsid w:val="005903D8"/>
    <w:rsid w:val="0059396C"/>
    <w:rsid w:val="0059524F"/>
    <w:rsid w:val="005A6714"/>
    <w:rsid w:val="005A78CA"/>
    <w:rsid w:val="005B48E7"/>
    <w:rsid w:val="005B5DA7"/>
    <w:rsid w:val="005D121C"/>
    <w:rsid w:val="005D60C0"/>
    <w:rsid w:val="005E3080"/>
    <w:rsid w:val="005E36D8"/>
    <w:rsid w:val="005E6322"/>
    <w:rsid w:val="005F380B"/>
    <w:rsid w:val="005F757C"/>
    <w:rsid w:val="005F7943"/>
    <w:rsid w:val="00606B97"/>
    <w:rsid w:val="00610F2F"/>
    <w:rsid w:val="00612B79"/>
    <w:rsid w:val="006174B0"/>
    <w:rsid w:val="00617E7A"/>
    <w:rsid w:val="00622177"/>
    <w:rsid w:val="006264FF"/>
    <w:rsid w:val="00645792"/>
    <w:rsid w:val="00647152"/>
    <w:rsid w:val="0066292A"/>
    <w:rsid w:val="00666CB3"/>
    <w:rsid w:val="00681437"/>
    <w:rsid w:val="00686569"/>
    <w:rsid w:val="00687D4A"/>
    <w:rsid w:val="0069216C"/>
    <w:rsid w:val="00695F74"/>
    <w:rsid w:val="006A2B11"/>
    <w:rsid w:val="006A4543"/>
    <w:rsid w:val="006A7E67"/>
    <w:rsid w:val="006B2332"/>
    <w:rsid w:val="006C20D9"/>
    <w:rsid w:val="006C24E7"/>
    <w:rsid w:val="006C60BD"/>
    <w:rsid w:val="006E3A18"/>
    <w:rsid w:val="006E4EC3"/>
    <w:rsid w:val="006E61A9"/>
    <w:rsid w:val="006F33BC"/>
    <w:rsid w:val="00704A4E"/>
    <w:rsid w:val="00710AC3"/>
    <w:rsid w:val="00714501"/>
    <w:rsid w:val="00721C46"/>
    <w:rsid w:val="00722619"/>
    <w:rsid w:val="007348AB"/>
    <w:rsid w:val="007414CE"/>
    <w:rsid w:val="00752A93"/>
    <w:rsid w:val="007549EA"/>
    <w:rsid w:val="00757DD1"/>
    <w:rsid w:val="007755A6"/>
    <w:rsid w:val="0077581B"/>
    <w:rsid w:val="00780A1E"/>
    <w:rsid w:val="007816F7"/>
    <w:rsid w:val="007903B1"/>
    <w:rsid w:val="00797747"/>
    <w:rsid w:val="007B39B5"/>
    <w:rsid w:val="007B7E73"/>
    <w:rsid w:val="007C6518"/>
    <w:rsid w:val="007C746D"/>
    <w:rsid w:val="007D0278"/>
    <w:rsid w:val="007D4E57"/>
    <w:rsid w:val="007D7504"/>
    <w:rsid w:val="007E1907"/>
    <w:rsid w:val="007F78C2"/>
    <w:rsid w:val="007F7C11"/>
    <w:rsid w:val="00801ABF"/>
    <w:rsid w:val="008026DC"/>
    <w:rsid w:val="00804333"/>
    <w:rsid w:val="00805BDA"/>
    <w:rsid w:val="00822184"/>
    <w:rsid w:val="008239CC"/>
    <w:rsid w:val="008250C1"/>
    <w:rsid w:val="00825CC6"/>
    <w:rsid w:val="00831E5E"/>
    <w:rsid w:val="0083352A"/>
    <w:rsid w:val="00837295"/>
    <w:rsid w:val="00846BF2"/>
    <w:rsid w:val="00851D91"/>
    <w:rsid w:val="00853348"/>
    <w:rsid w:val="00853628"/>
    <w:rsid w:val="0085437F"/>
    <w:rsid w:val="00854E89"/>
    <w:rsid w:val="00854FE6"/>
    <w:rsid w:val="00855408"/>
    <w:rsid w:val="00855BB9"/>
    <w:rsid w:val="0085641C"/>
    <w:rsid w:val="0086066B"/>
    <w:rsid w:val="00860E72"/>
    <w:rsid w:val="00863538"/>
    <w:rsid w:val="0087009A"/>
    <w:rsid w:val="00875465"/>
    <w:rsid w:val="008775D4"/>
    <w:rsid w:val="0089129B"/>
    <w:rsid w:val="008973B7"/>
    <w:rsid w:val="008A5DE4"/>
    <w:rsid w:val="008A6196"/>
    <w:rsid w:val="008B7871"/>
    <w:rsid w:val="008C607A"/>
    <w:rsid w:val="008C7ED2"/>
    <w:rsid w:val="008D1055"/>
    <w:rsid w:val="008D6A78"/>
    <w:rsid w:val="008E6EDC"/>
    <w:rsid w:val="008F0C34"/>
    <w:rsid w:val="008F0CCB"/>
    <w:rsid w:val="008F24E5"/>
    <w:rsid w:val="0090408A"/>
    <w:rsid w:val="00906718"/>
    <w:rsid w:val="00906EB1"/>
    <w:rsid w:val="0091070D"/>
    <w:rsid w:val="009155F1"/>
    <w:rsid w:val="00917BE0"/>
    <w:rsid w:val="00920CE2"/>
    <w:rsid w:val="00927693"/>
    <w:rsid w:val="00932CCD"/>
    <w:rsid w:val="00945892"/>
    <w:rsid w:val="009466EE"/>
    <w:rsid w:val="0095590E"/>
    <w:rsid w:val="00955EC8"/>
    <w:rsid w:val="009643EF"/>
    <w:rsid w:val="0096599F"/>
    <w:rsid w:val="00966806"/>
    <w:rsid w:val="009718E9"/>
    <w:rsid w:val="00975F92"/>
    <w:rsid w:val="00980782"/>
    <w:rsid w:val="009812E7"/>
    <w:rsid w:val="0098209C"/>
    <w:rsid w:val="009827E3"/>
    <w:rsid w:val="00986D12"/>
    <w:rsid w:val="00990FD5"/>
    <w:rsid w:val="009910D2"/>
    <w:rsid w:val="00996980"/>
    <w:rsid w:val="009A0D93"/>
    <w:rsid w:val="009A19EB"/>
    <w:rsid w:val="009B1D0F"/>
    <w:rsid w:val="009B30AC"/>
    <w:rsid w:val="009B3D17"/>
    <w:rsid w:val="009C4D55"/>
    <w:rsid w:val="009C5474"/>
    <w:rsid w:val="009D243C"/>
    <w:rsid w:val="009D450D"/>
    <w:rsid w:val="009E108F"/>
    <w:rsid w:val="009E1DC1"/>
    <w:rsid w:val="009F1448"/>
    <w:rsid w:val="009F17EA"/>
    <w:rsid w:val="009F3D6E"/>
    <w:rsid w:val="009F777B"/>
    <w:rsid w:val="00A00E06"/>
    <w:rsid w:val="00A03F60"/>
    <w:rsid w:val="00A04728"/>
    <w:rsid w:val="00A0624D"/>
    <w:rsid w:val="00A324AC"/>
    <w:rsid w:val="00A35994"/>
    <w:rsid w:val="00A3687B"/>
    <w:rsid w:val="00A41BF3"/>
    <w:rsid w:val="00A42FE7"/>
    <w:rsid w:val="00A45466"/>
    <w:rsid w:val="00A47486"/>
    <w:rsid w:val="00A56AC4"/>
    <w:rsid w:val="00A75F83"/>
    <w:rsid w:val="00A8498E"/>
    <w:rsid w:val="00A87C8A"/>
    <w:rsid w:val="00A966FD"/>
    <w:rsid w:val="00AA135A"/>
    <w:rsid w:val="00AA663B"/>
    <w:rsid w:val="00AE01AC"/>
    <w:rsid w:val="00AE0425"/>
    <w:rsid w:val="00AE1A5F"/>
    <w:rsid w:val="00AF0152"/>
    <w:rsid w:val="00AF6377"/>
    <w:rsid w:val="00B077BC"/>
    <w:rsid w:val="00B12A21"/>
    <w:rsid w:val="00B16590"/>
    <w:rsid w:val="00B21E1F"/>
    <w:rsid w:val="00B31205"/>
    <w:rsid w:val="00B3269A"/>
    <w:rsid w:val="00B3427A"/>
    <w:rsid w:val="00B345B6"/>
    <w:rsid w:val="00B35B22"/>
    <w:rsid w:val="00B36F7A"/>
    <w:rsid w:val="00B37CAA"/>
    <w:rsid w:val="00B57156"/>
    <w:rsid w:val="00B5742E"/>
    <w:rsid w:val="00B60006"/>
    <w:rsid w:val="00B64C34"/>
    <w:rsid w:val="00B6700D"/>
    <w:rsid w:val="00B6748B"/>
    <w:rsid w:val="00B86A21"/>
    <w:rsid w:val="00B929DD"/>
    <w:rsid w:val="00B94497"/>
    <w:rsid w:val="00BA6554"/>
    <w:rsid w:val="00BB5370"/>
    <w:rsid w:val="00BB5393"/>
    <w:rsid w:val="00BD02CB"/>
    <w:rsid w:val="00BD0882"/>
    <w:rsid w:val="00BD4A28"/>
    <w:rsid w:val="00BE59D7"/>
    <w:rsid w:val="00BF46B6"/>
    <w:rsid w:val="00C01892"/>
    <w:rsid w:val="00C07026"/>
    <w:rsid w:val="00C076D3"/>
    <w:rsid w:val="00C111B9"/>
    <w:rsid w:val="00C178CF"/>
    <w:rsid w:val="00C22ACE"/>
    <w:rsid w:val="00C24180"/>
    <w:rsid w:val="00C32523"/>
    <w:rsid w:val="00C346CF"/>
    <w:rsid w:val="00C37A52"/>
    <w:rsid w:val="00C4212C"/>
    <w:rsid w:val="00C42CFF"/>
    <w:rsid w:val="00C469EF"/>
    <w:rsid w:val="00C477D7"/>
    <w:rsid w:val="00C50EBA"/>
    <w:rsid w:val="00C55CF4"/>
    <w:rsid w:val="00C65DC0"/>
    <w:rsid w:val="00C667D6"/>
    <w:rsid w:val="00C738A5"/>
    <w:rsid w:val="00C751C6"/>
    <w:rsid w:val="00C76B69"/>
    <w:rsid w:val="00C82362"/>
    <w:rsid w:val="00C83160"/>
    <w:rsid w:val="00C85C12"/>
    <w:rsid w:val="00C92395"/>
    <w:rsid w:val="00C92E9E"/>
    <w:rsid w:val="00C97B0B"/>
    <w:rsid w:val="00CA7C15"/>
    <w:rsid w:val="00CA7FAC"/>
    <w:rsid w:val="00CB0341"/>
    <w:rsid w:val="00CB07A3"/>
    <w:rsid w:val="00CB1633"/>
    <w:rsid w:val="00CC6AD9"/>
    <w:rsid w:val="00CD1172"/>
    <w:rsid w:val="00CD17CC"/>
    <w:rsid w:val="00CD1B0A"/>
    <w:rsid w:val="00CD7C14"/>
    <w:rsid w:val="00CD7D16"/>
    <w:rsid w:val="00CE1A6A"/>
    <w:rsid w:val="00CE791D"/>
    <w:rsid w:val="00D00FC3"/>
    <w:rsid w:val="00D0202B"/>
    <w:rsid w:val="00D073C3"/>
    <w:rsid w:val="00D07AC6"/>
    <w:rsid w:val="00D14B06"/>
    <w:rsid w:val="00D16D85"/>
    <w:rsid w:val="00D17F42"/>
    <w:rsid w:val="00D20C24"/>
    <w:rsid w:val="00D25EC2"/>
    <w:rsid w:val="00D31830"/>
    <w:rsid w:val="00D3198E"/>
    <w:rsid w:val="00D35ED0"/>
    <w:rsid w:val="00D3610F"/>
    <w:rsid w:val="00D63A35"/>
    <w:rsid w:val="00D641EA"/>
    <w:rsid w:val="00D64930"/>
    <w:rsid w:val="00D6781B"/>
    <w:rsid w:val="00D71CFE"/>
    <w:rsid w:val="00D753E4"/>
    <w:rsid w:val="00D81A98"/>
    <w:rsid w:val="00D831F2"/>
    <w:rsid w:val="00D8374A"/>
    <w:rsid w:val="00D843F7"/>
    <w:rsid w:val="00D84561"/>
    <w:rsid w:val="00D84F1C"/>
    <w:rsid w:val="00D90C63"/>
    <w:rsid w:val="00D914BA"/>
    <w:rsid w:val="00D9554E"/>
    <w:rsid w:val="00DA12DB"/>
    <w:rsid w:val="00DA1367"/>
    <w:rsid w:val="00DA4845"/>
    <w:rsid w:val="00DB24AE"/>
    <w:rsid w:val="00DB4E59"/>
    <w:rsid w:val="00DC17F0"/>
    <w:rsid w:val="00DC38D8"/>
    <w:rsid w:val="00DD07A0"/>
    <w:rsid w:val="00DD35D0"/>
    <w:rsid w:val="00DD70B0"/>
    <w:rsid w:val="00DE4729"/>
    <w:rsid w:val="00DE5E4C"/>
    <w:rsid w:val="00DF013D"/>
    <w:rsid w:val="00DF2CAB"/>
    <w:rsid w:val="00DF39BA"/>
    <w:rsid w:val="00DF3F8E"/>
    <w:rsid w:val="00DF6D88"/>
    <w:rsid w:val="00E10C66"/>
    <w:rsid w:val="00E17D9C"/>
    <w:rsid w:val="00E20821"/>
    <w:rsid w:val="00E20C94"/>
    <w:rsid w:val="00E22C23"/>
    <w:rsid w:val="00E25E0F"/>
    <w:rsid w:val="00E26620"/>
    <w:rsid w:val="00E3607F"/>
    <w:rsid w:val="00E371EB"/>
    <w:rsid w:val="00E4270B"/>
    <w:rsid w:val="00E43A2F"/>
    <w:rsid w:val="00E43C7A"/>
    <w:rsid w:val="00E45D51"/>
    <w:rsid w:val="00E47618"/>
    <w:rsid w:val="00E47D2E"/>
    <w:rsid w:val="00E56BBF"/>
    <w:rsid w:val="00E60126"/>
    <w:rsid w:val="00E72807"/>
    <w:rsid w:val="00E732FA"/>
    <w:rsid w:val="00E752AF"/>
    <w:rsid w:val="00E81E0C"/>
    <w:rsid w:val="00EA2B41"/>
    <w:rsid w:val="00EA68F3"/>
    <w:rsid w:val="00EB079E"/>
    <w:rsid w:val="00EB4907"/>
    <w:rsid w:val="00EB4DB2"/>
    <w:rsid w:val="00EC3B9F"/>
    <w:rsid w:val="00EC48C2"/>
    <w:rsid w:val="00EC78B1"/>
    <w:rsid w:val="00ED4A23"/>
    <w:rsid w:val="00EE425B"/>
    <w:rsid w:val="00EE577B"/>
    <w:rsid w:val="00F06CD8"/>
    <w:rsid w:val="00F12A5D"/>
    <w:rsid w:val="00F15DAE"/>
    <w:rsid w:val="00F16792"/>
    <w:rsid w:val="00F17910"/>
    <w:rsid w:val="00F22F00"/>
    <w:rsid w:val="00F32C2A"/>
    <w:rsid w:val="00F4015C"/>
    <w:rsid w:val="00F45E4A"/>
    <w:rsid w:val="00F52518"/>
    <w:rsid w:val="00F56090"/>
    <w:rsid w:val="00F63B54"/>
    <w:rsid w:val="00F6518B"/>
    <w:rsid w:val="00F66460"/>
    <w:rsid w:val="00F7696E"/>
    <w:rsid w:val="00F83A62"/>
    <w:rsid w:val="00F842BE"/>
    <w:rsid w:val="00F91FF9"/>
    <w:rsid w:val="00F94225"/>
    <w:rsid w:val="00F94AC0"/>
    <w:rsid w:val="00FA3FBC"/>
    <w:rsid w:val="00FA66F1"/>
    <w:rsid w:val="00FB552B"/>
    <w:rsid w:val="00FB6700"/>
    <w:rsid w:val="00FC5C53"/>
    <w:rsid w:val="00FD4033"/>
    <w:rsid w:val="00FE2670"/>
    <w:rsid w:val="00FE70E5"/>
    <w:rsid w:val="00FF3371"/>
    <w:rsid w:val="00FF6468"/>
    <w:rsid w:val="00FF6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27A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380B"/>
    <w:pPr>
      <w:keepNext/>
      <w:keepLines/>
      <w:spacing w:before="480" w:after="480" w:line="240" w:lineRule="auto"/>
      <w:jc w:val="center"/>
      <w:outlineLvl w:val="0"/>
    </w:pPr>
    <w:rPr>
      <w:rFonts w:ascii="Cambria" w:hAnsi="Cambria" w:cs="Calibri"/>
      <w:b/>
      <w:bCs/>
      <w:smallCaps/>
      <w:color w:val="4F81BD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77D7"/>
    <w:pPr>
      <w:keepNext/>
      <w:keepLines/>
      <w:spacing w:before="480" w:after="120"/>
      <w:outlineLvl w:val="1"/>
    </w:pPr>
    <w:rPr>
      <w:rFonts w:ascii="Cambria" w:hAnsi="Cambria"/>
      <w:b/>
      <w:bCs/>
      <w:color w:val="4F81BD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6BB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380B"/>
    <w:rPr>
      <w:rFonts w:ascii="Cambria" w:eastAsia="PMingLiU" w:hAnsi="Cambria" w:cs="Calibri"/>
      <w:b/>
      <w:bCs/>
      <w:smallCaps/>
      <w:color w:val="4F81BD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77D7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56BBF"/>
    <w:rPr>
      <w:rFonts w:ascii="Cambria" w:eastAsia="PMingLiU" w:hAnsi="Cambria" w:cs="Times New Roman"/>
      <w:b/>
      <w:bCs/>
      <w:color w:val="4F81BD"/>
    </w:rPr>
  </w:style>
  <w:style w:type="paragraph" w:styleId="Header">
    <w:name w:val="header"/>
    <w:basedOn w:val="Normal"/>
    <w:link w:val="HeaderChar"/>
    <w:uiPriority w:val="99"/>
    <w:rsid w:val="00334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3492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34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3492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3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92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33492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477D7"/>
    <w:pPr>
      <w:ind w:left="720"/>
      <w:contextualSpacing/>
    </w:pPr>
  </w:style>
  <w:style w:type="table" w:styleId="TableGrid">
    <w:name w:val="Table Grid"/>
    <w:basedOn w:val="TableNormal"/>
    <w:uiPriority w:val="99"/>
    <w:rsid w:val="006865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C82362"/>
    <w:pPr>
      <w:spacing w:after="0" w:line="240" w:lineRule="auto"/>
      <w:ind w:left="180"/>
      <w:jc w:val="center"/>
    </w:pPr>
    <w:rPr>
      <w:rFonts w:ascii="Латински" w:eastAsia="SimSun" w:hAnsi="Латински"/>
      <w:b/>
      <w:caps/>
      <w:sz w:val="28"/>
      <w:szCs w:val="24"/>
      <w:lang w:val="bg-BG" w:eastAsia="zh-CN"/>
    </w:rPr>
  </w:style>
  <w:style w:type="character" w:customStyle="1" w:styleId="TitleChar">
    <w:name w:val="Title Char"/>
    <w:basedOn w:val="DefaultParagraphFont"/>
    <w:link w:val="Title"/>
    <w:uiPriority w:val="99"/>
    <w:locked/>
    <w:rsid w:val="00C82362"/>
    <w:rPr>
      <w:rFonts w:ascii="Латински" w:eastAsia="SimSun" w:hAnsi="Латински" w:cs="Times New Roman"/>
      <w:b/>
      <w:caps/>
      <w:sz w:val="24"/>
      <w:szCs w:val="24"/>
      <w:lang w:val="bg-BG" w:eastAsia="zh-CN"/>
    </w:rPr>
  </w:style>
  <w:style w:type="paragraph" w:styleId="BlockText">
    <w:name w:val="Block Text"/>
    <w:basedOn w:val="Normal"/>
    <w:uiPriority w:val="99"/>
    <w:rsid w:val="00F06CD8"/>
    <w:pPr>
      <w:widowControl w:val="0"/>
      <w:spacing w:after="0" w:line="240" w:lineRule="auto"/>
      <w:ind w:left="20" w:right="200" w:firstLine="700"/>
      <w:jc w:val="both"/>
    </w:pPr>
    <w:rPr>
      <w:rFonts w:ascii="Латински" w:hAnsi="Латински"/>
      <w:sz w:val="24"/>
      <w:szCs w:val="24"/>
      <w:lang w:eastAsia="zh-CN"/>
    </w:rPr>
  </w:style>
  <w:style w:type="paragraph" w:customStyle="1" w:styleId="Style1">
    <w:name w:val="Style1"/>
    <w:basedOn w:val="Normal"/>
    <w:uiPriority w:val="99"/>
    <w:rsid w:val="007C746D"/>
    <w:pPr>
      <w:spacing w:after="0" w:line="300" w:lineRule="auto"/>
      <w:ind w:firstLine="720"/>
      <w:jc w:val="both"/>
    </w:pPr>
    <w:rPr>
      <w:rFonts w:ascii="Times New Roman" w:hAnsi="Times New Roman"/>
      <w:sz w:val="24"/>
      <w:szCs w:val="24"/>
      <w:lang w:val="bg-BG"/>
    </w:rPr>
  </w:style>
  <w:style w:type="paragraph" w:styleId="BodyTextIndent3">
    <w:name w:val="Body Text Indent 3"/>
    <w:basedOn w:val="Normal"/>
    <w:link w:val="BodyTextIndent3Char"/>
    <w:uiPriority w:val="99"/>
    <w:rsid w:val="007C746D"/>
    <w:pPr>
      <w:spacing w:after="0" w:line="240" w:lineRule="auto"/>
      <w:ind w:firstLine="720"/>
      <w:jc w:val="both"/>
    </w:pPr>
    <w:rPr>
      <w:rFonts w:ascii="A4p12" w:hAnsi="A4p12"/>
      <w:sz w:val="24"/>
      <w:szCs w:val="24"/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C746D"/>
    <w:rPr>
      <w:rFonts w:ascii="A4p12" w:hAnsi="A4p12" w:cs="Times New Roman"/>
      <w:sz w:val="24"/>
      <w:szCs w:val="24"/>
      <w:lang w:val="bg-BG"/>
    </w:rPr>
  </w:style>
  <w:style w:type="paragraph" w:styleId="ListBullet3">
    <w:name w:val="List Bullet 3"/>
    <w:basedOn w:val="ListBullet"/>
    <w:uiPriority w:val="99"/>
    <w:rsid w:val="007C746D"/>
    <w:pPr>
      <w:numPr>
        <w:ilvl w:val="1"/>
        <w:numId w:val="15"/>
      </w:numPr>
      <w:tabs>
        <w:tab w:val="clear" w:pos="1440"/>
      </w:tabs>
      <w:spacing w:before="120" w:after="0" w:line="240" w:lineRule="auto"/>
      <w:contextualSpacing w:val="0"/>
      <w:jc w:val="both"/>
    </w:pPr>
    <w:rPr>
      <w:rFonts w:ascii="Arial" w:hAnsi="Arial"/>
      <w:noProof/>
      <w:sz w:val="24"/>
      <w:szCs w:val="20"/>
      <w:lang w:val="bg-BG"/>
    </w:rPr>
  </w:style>
  <w:style w:type="paragraph" w:customStyle="1" w:styleId="StyleListBullet3Linespacingsingle">
    <w:name w:val="Style List Bullet 3 + Line spacing:  single"/>
    <w:basedOn w:val="ListBullet3"/>
    <w:uiPriority w:val="99"/>
    <w:rsid w:val="007C746D"/>
  </w:style>
  <w:style w:type="paragraph" w:styleId="ListBullet">
    <w:name w:val="List Bullet"/>
    <w:basedOn w:val="Normal"/>
    <w:uiPriority w:val="99"/>
    <w:semiHidden/>
    <w:rsid w:val="007C746D"/>
    <w:pPr>
      <w:contextualSpacing/>
    </w:pPr>
  </w:style>
  <w:style w:type="character" w:styleId="IntenseEmphasis">
    <w:name w:val="Intense Emphasis"/>
    <w:basedOn w:val="DefaultParagraphFont"/>
    <w:uiPriority w:val="99"/>
    <w:qFormat/>
    <w:rsid w:val="00DA4845"/>
    <w:rPr>
      <w:rFonts w:cs="Times New Roman"/>
      <w:b/>
      <w:bCs/>
      <w:i/>
      <w:iCs/>
      <w:color w:val="4F81BD"/>
    </w:rPr>
  </w:style>
  <w:style w:type="table" w:styleId="LightGrid-Accent1">
    <w:name w:val="Light Grid Accent 1"/>
    <w:basedOn w:val="TableNormal"/>
    <w:uiPriority w:val="99"/>
    <w:rsid w:val="00F45E4A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PMingLiU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PMingLiU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PMingLiU" w:hAnsi="Cambria" w:cs="Times New Roman"/>
        <w:b/>
        <w:bCs/>
      </w:rPr>
    </w:tblStylePr>
    <w:tblStylePr w:type="lastCol">
      <w:rPr>
        <w:rFonts w:ascii="Cambria" w:eastAsia="PMingLiU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11</Pages>
  <Words>2805</Words>
  <Characters>15992</Characters>
  <Application>Microsoft Office Outlook</Application>
  <DocSecurity>0</DocSecurity>
  <Lines>0</Lines>
  <Paragraphs>0</Paragraphs>
  <ScaleCrop>false</ScaleCrop>
  <Company>Information Services plc.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ФИНАНСОВО-ИКОНОМИЧЕСКИ АНАЛИЗ</dc:title>
  <dc:subject/>
  <dc:creator>Илия П. Горанов</dc:creator>
  <cp:keywords/>
  <dc:description/>
  <cp:lastModifiedBy>DAntcheva</cp:lastModifiedBy>
  <cp:revision>2</cp:revision>
  <cp:lastPrinted>2013-10-22T13:05:00Z</cp:lastPrinted>
  <dcterms:created xsi:type="dcterms:W3CDTF">2013-10-28T07:01:00Z</dcterms:created>
  <dcterms:modified xsi:type="dcterms:W3CDTF">2013-10-28T07:01:00Z</dcterms:modified>
</cp:coreProperties>
</file>