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53" w:rsidRPr="00F96453" w:rsidRDefault="00F96453" w:rsidP="00F60F1C">
      <w:pPr>
        <w:pStyle w:val="Subtitle"/>
        <w:spacing w:line="360" w:lineRule="auto"/>
        <w:rPr>
          <w:rStyle w:val="Strong"/>
          <w:sz w:val="22"/>
          <w:szCs w:val="22"/>
        </w:rPr>
      </w:pPr>
      <w:bookmarkStart w:id="0" w:name="_GoBack"/>
      <w:bookmarkEnd w:id="0"/>
    </w:p>
    <w:p w:rsidR="006D3E62" w:rsidRDefault="004B48BB" w:rsidP="00F60F1C">
      <w:pPr>
        <w:pStyle w:val="Subtitle"/>
        <w:spacing w:line="360" w:lineRule="auto"/>
        <w:rPr>
          <w:rStyle w:val="Strong"/>
          <w:sz w:val="22"/>
          <w:szCs w:val="22"/>
        </w:rPr>
      </w:pPr>
      <w:r w:rsidRPr="00F96453">
        <w:rPr>
          <w:rStyle w:val="Strong"/>
          <w:sz w:val="22"/>
          <w:szCs w:val="22"/>
        </w:rPr>
        <w:t xml:space="preserve">АНАЛИЗ НА ПАЗАРНИТЕ ПЕРЕСПЕКТИВИ НА БАЗА </w:t>
      </w:r>
      <w:r w:rsidR="001B25B3" w:rsidRPr="00F96453">
        <w:rPr>
          <w:rStyle w:val="Strong"/>
          <w:sz w:val="22"/>
          <w:szCs w:val="22"/>
        </w:rPr>
        <w:t>НА</w:t>
      </w:r>
      <w:r w:rsidRPr="00F96453">
        <w:rPr>
          <w:rStyle w:val="Strong"/>
          <w:sz w:val="22"/>
          <w:szCs w:val="22"/>
        </w:rPr>
        <w:t xml:space="preserve"> АНАЛИЗ НА ТЪРГОВСКАТА ДЕЙНОСТ И ОТЧЕТЕНИТЕ</w:t>
      </w:r>
      <w:r w:rsidR="00EC7922" w:rsidRPr="00F96453">
        <w:rPr>
          <w:rStyle w:val="Strong"/>
          <w:sz w:val="22"/>
          <w:szCs w:val="22"/>
        </w:rPr>
        <w:t xml:space="preserve"> </w:t>
      </w:r>
      <w:r w:rsidRPr="00F96453">
        <w:rPr>
          <w:rStyle w:val="Strong"/>
          <w:sz w:val="22"/>
          <w:szCs w:val="22"/>
        </w:rPr>
        <w:t>ФИНАНСОВО-ИКОНОМИЧЕСКИ РЕЗУЛТАТИ</w:t>
      </w:r>
      <w:r w:rsidR="001E74E8" w:rsidRPr="00F96453">
        <w:rPr>
          <w:rStyle w:val="Strong"/>
          <w:sz w:val="22"/>
          <w:szCs w:val="22"/>
        </w:rPr>
        <w:t xml:space="preserve"> КЪМ 30.06.2013 г.</w:t>
      </w:r>
    </w:p>
    <w:p w:rsidR="00F96453" w:rsidRPr="00F96453" w:rsidRDefault="00F96453" w:rsidP="00F60F1C">
      <w:pPr>
        <w:spacing w:line="360" w:lineRule="auto"/>
        <w:rPr>
          <w:sz w:val="20"/>
          <w:szCs w:val="20"/>
        </w:rPr>
      </w:pPr>
    </w:p>
    <w:p w:rsidR="00AE07AE" w:rsidRPr="00FC7E9C" w:rsidRDefault="00A22C31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 w:cs="Arial"/>
          <w:b/>
          <w:bCs/>
          <w:sz w:val="22"/>
          <w:szCs w:val="22"/>
        </w:rPr>
        <w:t>„АДИ</w:t>
      </w:r>
      <w:r w:rsidR="00EE7676" w:rsidRPr="00FC7E9C">
        <w:rPr>
          <w:rFonts w:ascii="Cambria" w:hAnsi="Cambria" w:cs="Arial"/>
          <w:b/>
          <w:bCs/>
          <w:sz w:val="22"/>
          <w:szCs w:val="22"/>
        </w:rPr>
        <w:t>С” ЕООД</w:t>
      </w:r>
      <w:r w:rsidR="00EC7922" w:rsidRPr="00FC7E9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E07AE" w:rsidRPr="00FC7E9C">
        <w:rPr>
          <w:rFonts w:ascii="Cambria" w:hAnsi="Cambria"/>
          <w:sz w:val="22"/>
          <w:szCs w:val="22"/>
        </w:rPr>
        <w:t>е регистрирано по ф.д.</w:t>
      </w:r>
      <w:r w:rsidR="00EC7922" w:rsidRPr="00FC7E9C">
        <w:rPr>
          <w:rFonts w:ascii="Cambria" w:hAnsi="Cambria"/>
          <w:sz w:val="22"/>
          <w:szCs w:val="22"/>
        </w:rPr>
        <w:t xml:space="preserve"> </w:t>
      </w:r>
      <w:r w:rsidR="00AE07AE" w:rsidRPr="00FC7E9C">
        <w:rPr>
          <w:rFonts w:ascii="Cambria" w:hAnsi="Cambria"/>
          <w:sz w:val="22"/>
          <w:szCs w:val="22"/>
        </w:rPr>
        <w:t>№ 11290 / 2001 г. на СГС, вписано в регистъра за търговски дружества под № 947, том 18, стр. 27 със седа</w:t>
      </w:r>
      <w:r w:rsidR="00F96453">
        <w:rPr>
          <w:rFonts w:ascii="Cambria" w:hAnsi="Cambria"/>
          <w:sz w:val="22"/>
          <w:szCs w:val="22"/>
        </w:rPr>
        <w:t>лище и адрес на управление: гр.</w:t>
      </w:r>
      <w:r w:rsidR="00AE07AE" w:rsidRPr="00FC7E9C">
        <w:rPr>
          <w:rFonts w:ascii="Cambria" w:hAnsi="Cambria"/>
          <w:sz w:val="22"/>
          <w:szCs w:val="22"/>
        </w:rPr>
        <w:t>София, община Оборище, ул.</w:t>
      </w:r>
      <w:r w:rsidR="00095619" w:rsidRPr="00FC7E9C">
        <w:rPr>
          <w:rFonts w:ascii="Cambria" w:hAnsi="Cambria"/>
          <w:sz w:val="22"/>
          <w:szCs w:val="22"/>
          <w:lang w:val="en-US"/>
        </w:rPr>
        <w:t>”</w:t>
      </w:r>
      <w:r w:rsidR="00AE07AE" w:rsidRPr="00FC7E9C">
        <w:rPr>
          <w:rFonts w:ascii="Cambria" w:hAnsi="Cambria"/>
          <w:sz w:val="22"/>
          <w:szCs w:val="22"/>
        </w:rPr>
        <w:t>Велико Търново</w:t>
      </w:r>
      <w:r w:rsidR="00095619" w:rsidRPr="00FC7E9C">
        <w:rPr>
          <w:rFonts w:ascii="Cambria" w:hAnsi="Cambria"/>
          <w:sz w:val="22"/>
          <w:szCs w:val="22"/>
          <w:lang w:val="en-US"/>
        </w:rPr>
        <w:t>”</w:t>
      </w:r>
      <w:r w:rsidR="00AE07AE" w:rsidRPr="00FC7E9C">
        <w:rPr>
          <w:rFonts w:ascii="Cambria" w:hAnsi="Cambria"/>
          <w:sz w:val="22"/>
          <w:szCs w:val="22"/>
        </w:rPr>
        <w:t xml:space="preserve"> № 27, ЕИК № 130697848.</w:t>
      </w:r>
    </w:p>
    <w:p w:rsidR="00831835" w:rsidRPr="00FC7E9C" w:rsidRDefault="00AE07AE" w:rsidP="00F60F1C">
      <w:pPr>
        <w:spacing w:line="360" w:lineRule="auto"/>
        <w:ind w:firstLine="709"/>
        <w:jc w:val="both"/>
        <w:rPr>
          <w:rFonts w:ascii="Cambria" w:hAnsi="Cambria"/>
          <w:caps/>
          <w:sz w:val="22"/>
          <w:szCs w:val="22"/>
        </w:rPr>
      </w:pPr>
      <w:r w:rsidRPr="00FC7E9C">
        <w:rPr>
          <w:rFonts w:ascii="Cambria" w:hAnsi="Cambria" w:cs="Arial"/>
          <w:bCs/>
          <w:sz w:val="22"/>
          <w:szCs w:val="22"/>
        </w:rPr>
        <w:t xml:space="preserve">Предметът на дейност на </w:t>
      </w:r>
      <w:r w:rsidR="00EF1A52" w:rsidRPr="00FC7E9C">
        <w:rPr>
          <w:rFonts w:ascii="Cambria" w:hAnsi="Cambria" w:cs="Arial"/>
          <w:bCs/>
          <w:sz w:val="22"/>
          <w:szCs w:val="22"/>
        </w:rPr>
        <w:t>дружество</w:t>
      </w:r>
      <w:r w:rsidRPr="00FC7E9C">
        <w:rPr>
          <w:rFonts w:ascii="Cambria" w:hAnsi="Cambria" w:cs="Arial"/>
          <w:bCs/>
          <w:sz w:val="22"/>
          <w:szCs w:val="22"/>
        </w:rPr>
        <w:t xml:space="preserve">то е </w:t>
      </w:r>
      <w:r w:rsidR="00EF1A52" w:rsidRPr="00FC7E9C">
        <w:rPr>
          <w:rFonts w:ascii="Cambria" w:hAnsi="Cambria" w:cs="Arial"/>
          <w:bCs/>
          <w:sz w:val="22"/>
          <w:szCs w:val="22"/>
        </w:rPr>
        <w:t xml:space="preserve">отдаване под наем на недвижими имоти и принадлежащите към тях технически съоръжения за жилищни, търговски или административни нужди на членовете на дипломатическия корпус в Република България и на други физически и юридически лица, покупка, строеж или обзавеждане на недвижими имоти с цел продажба. </w:t>
      </w:r>
    </w:p>
    <w:p w:rsidR="00AE07AE" w:rsidRPr="00FC7E9C" w:rsidRDefault="00EF1A52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Дружество</w:t>
      </w:r>
      <w:r w:rsidR="00831835" w:rsidRPr="00FC7E9C">
        <w:rPr>
          <w:rFonts w:ascii="Cambria" w:hAnsi="Cambria"/>
          <w:sz w:val="22"/>
          <w:szCs w:val="22"/>
        </w:rPr>
        <w:t>то няма разкрити офиси /</w:t>
      </w:r>
      <w:r w:rsidR="00AE07AE" w:rsidRPr="00FC7E9C">
        <w:rPr>
          <w:rFonts w:ascii="Cambria" w:hAnsi="Cambria"/>
          <w:sz w:val="22"/>
          <w:szCs w:val="22"/>
        </w:rPr>
        <w:t xml:space="preserve">клонове/ или представителства в страната и </w:t>
      </w:r>
      <w:r w:rsidR="00AE07AE" w:rsidRPr="00FC7E9C">
        <w:rPr>
          <w:rFonts w:ascii="Cambria" w:hAnsi="Cambria" w:cs="Arial"/>
          <w:bCs/>
          <w:sz w:val="22"/>
          <w:szCs w:val="22"/>
        </w:rPr>
        <w:t>чужбина</w:t>
      </w:r>
      <w:r w:rsidR="00AE07AE" w:rsidRPr="00FC7E9C">
        <w:rPr>
          <w:rFonts w:ascii="Cambria" w:hAnsi="Cambria"/>
          <w:sz w:val="22"/>
          <w:szCs w:val="22"/>
        </w:rPr>
        <w:t>.</w:t>
      </w:r>
    </w:p>
    <w:p w:rsidR="004B48BB" w:rsidRPr="00FC7E9C" w:rsidRDefault="004B48BB" w:rsidP="00F60F1C">
      <w:pPr>
        <w:spacing w:line="360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FC7E9C">
        <w:rPr>
          <w:rFonts w:ascii="Cambria" w:hAnsi="Cambria" w:cs="Arial"/>
          <w:bCs/>
          <w:sz w:val="22"/>
          <w:szCs w:val="22"/>
        </w:rPr>
        <w:t xml:space="preserve">Основни клиенти на </w:t>
      </w:r>
      <w:r w:rsidR="00EF1A52" w:rsidRPr="00FC7E9C">
        <w:rPr>
          <w:rFonts w:ascii="Cambria" w:hAnsi="Cambria" w:cs="Arial"/>
          <w:bCs/>
          <w:sz w:val="22"/>
          <w:szCs w:val="22"/>
        </w:rPr>
        <w:t>дружество</w:t>
      </w:r>
      <w:r w:rsidRPr="00FC7E9C">
        <w:rPr>
          <w:rFonts w:ascii="Cambria" w:hAnsi="Cambria" w:cs="Arial"/>
          <w:bCs/>
          <w:sz w:val="22"/>
          <w:szCs w:val="22"/>
        </w:rPr>
        <w:t>то са дипломатически мисии и</w:t>
      </w:r>
      <w:r w:rsidRPr="00FC7E9C">
        <w:rPr>
          <w:rFonts w:ascii="Cambria" w:hAnsi="Cambria" w:cs="Arial"/>
          <w:sz w:val="22"/>
          <w:szCs w:val="22"/>
        </w:rPr>
        <w:t xml:space="preserve"> представителства, бизнес единици – фирми и организации</w:t>
      </w:r>
      <w:r w:rsidR="00A22C31" w:rsidRPr="00FC7E9C">
        <w:rPr>
          <w:rFonts w:ascii="Cambria" w:hAnsi="Cambria" w:cs="Arial"/>
          <w:sz w:val="22"/>
          <w:szCs w:val="22"/>
        </w:rPr>
        <w:t xml:space="preserve"> и</w:t>
      </w:r>
      <w:r w:rsidRPr="00FC7E9C">
        <w:rPr>
          <w:rFonts w:ascii="Cambria" w:hAnsi="Cambria" w:cs="Arial"/>
          <w:sz w:val="22"/>
          <w:szCs w:val="22"/>
        </w:rPr>
        <w:t xml:space="preserve"> частни лица.</w:t>
      </w:r>
    </w:p>
    <w:p w:rsidR="00AE07AE" w:rsidRPr="00FC7E9C" w:rsidRDefault="00AE07AE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 xml:space="preserve">Основните доставчици на </w:t>
      </w:r>
      <w:r w:rsidR="00EF1A52" w:rsidRPr="00FC7E9C">
        <w:rPr>
          <w:rFonts w:ascii="Cambria" w:hAnsi="Cambria"/>
          <w:sz w:val="22"/>
          <w:szCs w:val="22"/>
        </w:rPr>
        <w:t>Дружество</w:t>
      </w:r>
      <w:r w:rsidR="00B91782">
        <w:rPr>
          <w:rFonts w:ascii="Cambria" w:hAnsi="Cambria"/>
          <w:sz w:val="22"/>
          <w:szCs w:val="22"/>
        </w:rPr>
        <w:t xml:space="preserve">то </w:t>
      </w:r>
      <w:r w:rsidRPr="00FC7E9C">
        <w:rPr>
          <w:rFonts w:ascii="Cambria" w:hAnsi="Cambria"/>
          <w:sz w:val="22"/>
          <w:szCs w:val="22"/>
        </w:rPr>
        <w:t>са “ЧЕЗ Електро България”АД, “ЕОН България Продажби” АД, “ЕВН България” АД, “БТК” АД, “Топлофикация София”АД, “Софийска Вода” АД и други.</w:t>
      </w:r>
    </w:p>
    <w:p w:rsidR="006D3E62" w:rsidRPr="00FC7E9C" w:rsidRDefault="006D3E62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</w:p>
    <w:p w:rsidR="00AE07AE" w:rsidRPr="00FC7E9C" w:rsidRDefault="00AE07AE" w:rsidP="00F60F1C">
      <w:pPr>
        <w:spacing w:line="360" w:lineRule="auto"/>
        <w:ind w:firstLine="708"/>
        <w:jc w:val="both"/>
        <w:rPr>
          <w:rFonts w:ascii="Cambria" w:hAnsi="Cambria"/>
          <w:b/>
          <w:bCs/>
          <w:sz w:val="22"/>
          <w:szCs w:val="22"/>
        </w:rPr>
      </w:pPr>
      <w:r w:rsidRPr="00FC7E9C">
        <w:rPr>
          <w:rFonts w:ascii="Cambria" w:hAnsi="Cambria" w:cs="Arial"/>
          <w:b/>
          <w:sz w:val="22"/>
          <w:szCs w:val="22"/>
        </w:rPr>
        <w:t xml:space="preserve">АНАЛИЗ </w:t>
      </w:r>
      <w:r w:rsidR="00A614D7" w:rsidRPr="00FC7E9C">
        <w:rPr>
          <w:rFonts w:ascii="Cambria" w:hAnsi="Cambria" w:cs="Arial"/>
          <w:b/>
          <w:bCs/>
          <w:sz w:val="22"/>
          <w:szCs w:val="22"/>
        </w:rPr>
        <w:t>ФИНАНСОВО-ИКОНОМИЧЕСКИ РЕЗУЛТАТИ</w:t>
      </w:r>
      <w:r w:rsidRPr="00FC7E9C">
        <w:rPr>
          <w:rFonts w:ascii="Cambria" w:hAnsi="Cambria"/>
          <w:b/>
          <w:bCs/>
          <w:sz w:val="22"/>
          <w:szCs w:val="22"/>
        </w:rPr>
        <w:t xml:space="preserve"> НА </w:t>
      </w:r>
      <w:r w:rsidR="00EF1A52" w:rsidRPr="00FC7E9C">
        <w:rPr>
          <w:rFonts w:ascii="Cambria" w:hAnsi="Cambria"/>
          <w:b/>
          <w:bCs/>
          <w:sz w:val="22"/>
          <w:szCs w:val="22"/>
        </w:rPr>
        <w:t>ДРУЖЕСТВО</w:t>
      </w:r>
      <w:r w:rsidRPr="00FC7E9C">
        <w:rPr>
          <w:rFonts w:ascii="Cambria" w:hAnsi="Cambria"/>
          <w:b/>
          <w:bCs/>
          <w:sz w:val="22"/>
          <w:szCs w:val="22"/>
        </w:rPr>
        <w:t>ТО</w:t>
      </w:r>
    </w:p>
    <w:p w:rsidR="00514BA2" w:rsidRPr="00FC7E9C" w:rsidRDefault="00514BA2" w:rsidP="00F60F1C">
      <w:pPr>
        <w:spacing w:line="360" w:lineRule="auto"/>
        <w:ind w:firstLine="708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>Приходи</w:t>
      </w:r>
    </w:p>
    <w:p w:rsidR="00AE07AE" w:rsidRPr="00FC7E9C" w:rsidRDefault="00AE07AE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Реализираните</w:t>
      </w:r>
      <w:r w:rsidR="00EC7922" w:rsidRPr="00FC7E9C">
        <w:rPr>
          <w:rFonts w:ascii="Cambria" w:hAnsi="Cambria"/>
          <w:sz w:val="22"/>
          <w:szCs w:val="22"/>
        </w:rPr>
        <w:t xml:space="preserve"> </w:t>
      </w:r>
      <w:r w:rsidRPr="00FC7E9C">
        <w:rPr>
          <w:rFonts w:ascii="Cambria" w:hAnsi="Cambria"/>
          <w:sz w:val="22"/>
          <w:szCs w:val="22"/>
        </w:rPr>
        <w:t xml:space="preserve">от </w:t>
      </w:r>
      <w:r w:rsidR="00EF1A52" w:rsidRPr="00FC7E9C">
        <w:rPr>
          <w:rFonts w:ascii="Cambria" w:hAnsi="Cambria"/>
          <w:sz w:val="22"/>
          <w:szCs w:val="22"/>
        </w:rPr>
        <w:t>дружество</w:t>
      </w:r>
      <w:r w:rsidR="00DB2440">
        <w:rPr>
          <w:rFonts w:ascii="Cambria" w:hAnsi="Cambria"/>
          <w:sz w:val="22"/>
          <w:szCs w:val="22"/>
        </w:rPr>
        <w:t>то приходи</w:t>
      </w:r>
      <w:r w:rsidRPr="00FC7E9C">
        <w:rPr>
          <w:rFonts w:ascii="Cambria" w:hAnsi="Cambria"/>
          <w:sz w:val="22"/>
          <w:szCs w:val="22"/>
        </w:rPr>
        <w:t xml:space="preserve"> са посочени в следната таблица:</w:t>
      </w:r>
    </w:p>
    <w:p w:rsidR="00AE07AE" w:rsidRPr="00CD00DE" w:rsidRDefault="006D3E62" w:rsidP="00F60F1C">
      <w:pPr>
        <w:spacing w:line="360" w:lineRule="auto"/>
        <w:ind w:left="4248"/>
        <w:jc w:val="right"/>
        <w:rPr>
          <w:rFonts w:ascii="Cambria" w:hAnsi="Cambria" w:cs="Arial"/>
          <w:i/>
          <w:sz w:val="18"/>
          <w:szCs w:val="18"/>
        </w:rPr>
      </w:pPr>
      <w:r w:rsidRPr="00CD00DE">
        <w:rPr>
          <w:rFonts w:ascii="Cambria" w:hAnsi="Cambria" w:cs="Arial"/>
          <w:i/>
          <w:sz w:val="18"/>
          <w:szCs w:val="18"/>
        </w:rPr>
        <w:t xml:space="preserve">       </w:t>
      </w:r>
      <w:r w:rsidR="00514BA2" w:rsidRPr="00CD00DE">
        <w:rPr>
          <w:rFonts w:ascii="Cambria" w:hAnsi="Cambria" w:cs="Arial"/>
          <w:i/>
          <w:sz w:val="18"/>
          <w:szCs w:val="18"/>
        </w:rPr>
        <w:t>Всички сум</w:t>
      </w:r>
      <w:r w:rsidR="000F1084" w:rsidRPr="00CD00DE">
        <w:rPr>
          <w:rFonts w:ascii="Cambria" w:hAnsi="Cambria" w:cs="Arial"/>
          <w:i/>
          <w:sz w:val="18"/>
          <w:szCs w:val="18"/>
        </w:rPr>
        <w:t>и</w:t>
      </w:r>
      <w:r w:rsidR="00514BA2" w:rsidRPr="00CD00DE">
        <w:rPr>
          <w:rFonts w:ascii="Cambria" w:hAnsi="Cambria" w:cs="Arial"/>
          <w:i/>
          <w:sz w:val="18"/>
          <w:szCs w:val="18"/>
        </w:rPr>
        <w:t xml:space="preserve"> са в хиляди лева</w:t>
      </w:r>
    </w:p>
    <w:tbl>
      <w:tblPr>
        <w:tblW w:w="35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9"/>
        <w:gridCol w:w="1555"/>
        <w:gridCol w:w="1208"/>
      </w:tblGrid>
      <w:tr w:rsidR="00D97C47" w:rsidRPr="00D97C47" w:rsidTr="000E26E8">
        <w:trPr>
          <w:jc w:val="center"/>
        </w:trPr>
        <w:tc>
          <w:tcPr>
            <w:tcW w:w="3051" w:type="pct"/>
            <w:vAlign w:val="center"/>
          </w:tcPr>
          <w:p w:rsidR="00DE0418" w:rsidRPr="005E0F39" w:rsidRDefault="00DE0418" w:rsidP="00F60F1C">
            <w:pPr>
              <w:spacing w:line="360" w:lineRule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Година</w:t>
            </w:r>
            <w:r w:rsidR="00F96453">
              <w:rPr>
                <w:rFonts w:ascii="Cambria" w:hAnsi="Cambria"/>
                <w:sz w:val="22"/>
                <w:szCs w:val="22"/>
              </w:rPr>
              <w:t>/период</w:t>
            </w:r>
          </w:p>
        </w:tc>
        <w:tc>
          <w:tcPr>
            <w:tcW w:w="1096" w:type="pct"/>
          </w:tcPr>
          <w:p w:rsidR="00DE0418" w:rsidRPr="005E0F39" w:rsidRDefault="000E26E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30.06.2013 г.</w:t>
            </w:r>
          </w:p>
        </w:tc>
        <w:tc>
          <w:tcPr>
            <w:tcW w:w="852" w:type="pct"/>
            <w:vAlign w:val="center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 xml:space="preserve">2012 </w:t>
            </w: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г.</w:t>
            </w:r>
          </w:p>
        </w:tc>
      </w:tr>
      <w:tr w:rsidR="00D97C47" w:rsidRPr="00D97C47" w:rsidTr="000E26E8">
        <w:trPr>
          <w:jc w:val="center"/>
        </w:trPr>
        <w:tc>
          <w:tcPr>
            <w:tcW w:w="3051" w:type="pct"/>
            <w:vAlign w:val="center"/>
          </w:tcPr>
          <w:p w:rsidR="00DE0418" w:rsidRPr="005E0F39" w:rsidRDefault="00DE0418" w:rsidP="00F60F1C">
            <w:pPr>
              <w:spacing w:line="360" w:lineRule="auto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Общо приходи</w:t>
            </w:r>
          </w:p>
        </w:tc>
        <w:tc>
          <w:tcPr>
            <w:tcW w:w="1096" w:type="pct"/>
          </w:tcPr>
          <w:p w:rsidR="00DE0418" w:rsidRPr="005E0F39" w:rsidRDefault="00F93F96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4 613</w:t>
            </w:r>
          </w:p>
        </w:tc>
        <w:tc>
          <w:tcPr>
            <w:tcW w:w="852" w:type="pct"/>
            <w:vAlign w:val="center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10</w:t>
            </w: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5E0F39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096</w:t>
            </w:r>
          </w:p>
        </w:tc>
      </w:tr>
    </w:tbl>
    <w:p w:rsidR="00831835" w:rsidRPr="00FC7E9C" w:rsidRDefault="00831835" w:rsidP="00F60F1C">
      <w:pPr>
        <w:spacing w:line="360" w:lineRule="auto"/>
        <w:ind w:firstLine="708"/>
        <w:jc w:val="both"/>
        <w:rPr>
          <w:rFonts w:ascii="Cambria" w:hAnsi="Cambria"/>
          <w:sz w:val="22"/>
          <w:szCs w:val="22"/>
          <w:lang w:val="en-US"/>
        </w:rPr>
      </w:pPr>
    </w:p>
    <w:p w:rsidR="005C1692" w:rsidRPr="005C1692" w:rsidRDefault="00F12D5C" w:rsidP="00F60F1C">
      <w:pPr>
        <w:widowControl w:val="0"/>
        <w:spacing w:line="360" w:lineRule="auto"/>
        <w:ind w:firstLine="708"/>
        <w:jc w:val="both"/>
        <w:rPr>
          <w:rFonts w:ascii="Cambria" w:hAnsi="Cambria" w:cs="Arial"/>
          <w:color w:val="000000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Реализираните приходи</w:t>
      </w:r>
      <w:r w:rsidR="006D3E62" w:rsidRPr="00FC7E9C">
        <w:rPr>
          <w:rFonts w:ascii="Cambria" w:hAnsi="Cambria"/>
          <w:sz w:val="22"/>
          <w:szCs w:val="22"/>
        </w:rPr>
        <w:t xml:space="preserve"> от продажби</w:t>
      </w:r>
      <w:r w:rsidRPr="00FC7E9C">
        <w:rPr>
          <w:rFonts w:ascii="Cambria" w:hAnsi="Cambria"/>
          <w:sz w:val="22"/>
          <w:szCs w:val="22"/>
        </w:rPr>
        <w:t xml:space="preserve"> през </w:t>
      </w:r>
      <w:r w:rsidR="00F0686C">
        <w:rPr>
          <w:rFonts w:ascii="Cambria" w:hAnsi="Cambria"/>
          <w:sz w:val="22"/>
          <w:szCs w:val="22"/>
        </w:rPr>
        <w:t xml:space="preserve">първата половина на </w:t>
      </w:r>
      <w:r w:rsidR="00262C93" w:rsidRPr="00FC7E9C">
        <w:rPr>
          <w:rFonts w:ascii="Cambria" w:hAnsi="Cambria"/>
          <w:sz w:val="22"/>
          <w:szCs w:val="22"/>
        </w:rPr>
        <w:t>201</w:t>
      </w:r>
      <w:r w:rsidR="00F0686C">
        <w:rPr>
          <w:rFonts w:ascii="Cambria" w:hAnsi="Cambria"/>
          <w:sz w:val="22"/>
          <w:szCs w:val="22"/>
        </w:rPr>
        <w:t>3</w:t>
      </w:r>
      <w:r w:rsidR="00262C93" w:rsidRPr="00FC7E9C">
        <w:rPr>
          <w:rFonts w:ascii="Cambria" w:hAnsi="Cambria"/>
          <w:sz w:val="22"/>
          <w:szCs w:val="22"/>
        </w:rPr>
        <w:t xml:space="preserve"> година са </w:t>
      </w:r>
      <w:r w:rsidR="00AF0E31">
        <w:rPr>
          <w:rFonts w:ascii="Cambria" w:hAnsi="Cambria"/>
          <w:sz w:val="22"/>
          <w:szCs w:val="22"/>
        </w:rPr>
        <w:t>намаляли</w:t>
      </w:r>
      <w:r w:rsidR="00F0686C">
        <w:rPr>
          <w:rFonts w:ascii="Cambria" w:hAnsi="Cambria"/>
          <w:sz w:val="22"/>
          <w:szCs w:val="22"/>
        </w:rPr>
        <w:t xml:space="preserve"> </w:t>
      </w:r>
      <w:r w:rsidR="005C1692">
        <w:rPr>
          <w:rFonts w:ascii="Cambria" w:hAnsi="Cambria"/>
          <w:sz w:val="22"/>
          <w:szCs w:val="22"/>
        </w:rPr>
        <w:t xml:space="preserve">основно </w:t>
      </w:r>
      <w:r w:rsidR="00F0686C">
        <w:rPr>
          <w:rFonts w:ascii="Cambria" w:hAnsi="Cambria"/>
          <w:sz w:val="22"/>
          <w:szCs w:val="22"/>
        </w:rPr>
        <w:t>поради</w:t>
      </w:r>
      <w:r w:rsidR="005C1692" w:rsidRPr="005C1692">
        <w:rPr>
          <w:rFonts w:ascii="Cambria" w:hAnsi="Cambria" w:cs="Arial"/>
          <w:color w:val="000000"/>
          <w:sz w:val="22"/>
          <w:szCs w:val="22"/>
        </w:rPr>
        <w:t xml:space="preserve"> прекратяване на договора </w:t>
      </w:r>
      <w:r w:rsidR="005C1692">
        <w:rPr>
          <w:rFonts w:ascii="Cambria" w:hAnsi="Cambria" w:cs="Arial"/>
          <w:color w:val="000000"/>
          <w:sz w:val="22"/>
          <w:szCs w:val="22"/>
        </w:rPr>
        <w:t xml:space="preserve">за наем </w:t>
      </w:r>
      <w:r w:rsidR="005C1692" w:rsidRPr="005C1692">
        <w:rPr>
          <w:rFonts w:ascii="Cambria" w:hAnsi="Cambria" w:cs="Arial"/>
          <w:color w:val="000000"/>
          <w:sz w:val="22"/>
          <w:szCs w:val="22"/>
        </w:rPr>
        <w:t xml:space="preserve">с </w:t>
      </w:r>
      <w:r w:rsidR="005C1692">
        <w:rPr>
          <w:rFonts w:ascii="Cambria" w:hAnsi="Cambria" w:cs="Arial"/>
          <w:color w:val="000000"/>
          <w:sz w:val="22"/>
          <w:szCs w:val="22"/>
        </w:rPr>
        <w:t>голям клиент  на дружеството</w:t>
      </w:r>
      <w:r w:rsidR="005C1692" w:rsidRPr="005C1692">
        <w:rPr>
          <w:rFonts w:ascii="Cambria" w:hAnsi="Cambria" w:cs="Arial"/>
          <w:color w:val="000000"/>
          <w:sz w:val="22"/>
          <w:szCs w:val="22"/>
        </w:rPr>
        <w:t xml:space="preserve"> към </w:t>
      </w:r>
      <w:r w:rsidR="00F96453">
        <w:rPr>
          <w:rFonts w:ascii="Cambria" w:hAnsi="Cambria" w:cs="Arial"/>
          <w:color w:val="000000"/>
          <w:sz w:val="22"/>
          <w:szCs w:val="22"/>
        </w:rPr>
        <w:t>28.02.</w:t>
      </w:r>
      <w:r w:rsidR="00FC6081">
        <w:rPr>
          <w:rFonts w:ascii="Cambria" w:hAnsi="Cambria" w:cs="Arial"/>
          <w:color w:val="000000"/>
          <w:sz w:val="22"/>
          <w:szCs w:val="22"/>
        </w:rPr>
        <w:t>2013 г</w:t>
      </w:r>
      <w:r w:rsidR="005C1692" w:rsidRPr="005C1692">
        <w:rPr>
          <w:rFonts w:ascii="Cambria" w:hAnsi="Cambria" w:cs="Arial"/>
          <w:color w:val="000000"/>
          <w:sz w:val="22"/>
          <w:szCs w:val="22"/>
        </w:rPr>
        <w:t>.</w:t>
      </w:r>
    </w:p>
    <w:p w:rsidR="00AE07AE" w:rsidRPr="00F96453" w:rsidRDefault="00AE07AE" w:rsidP="00F60F1C">
      <w:pPr>
        <w:spacing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:rsidR="00514BA2" w:rsidRPr="00FC7E9C" w:rsidRDefault="00514BA2" w:rsidP="00F60F1C">
      <w:pPr>
        <w:spacing w:line="360" w:lineRule="auto"/>
        <w:ind w:firstLine="708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>Оперативни разходи</w:t>
      </w:r>
    </w:p>
    <w:p w:rsidR="009C41EF" w:rsidRDefault="00944878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 xml:space="preserve">Най-голям относителен дял в разходите от оперативна дейност на </w:t>
      </w:r>
      <w:r w:rsidR="00EF1A52" w:rsidRPr="00FC7E9C">
        <w:rPr>
          <w:rFonts w:ascii="Cambria" w:hAnsi="Cambria"/>
          <w:sz w:val="22"/>
          <w:szCs w:val="22"/>
        </w:rPr>
        <w:t>Дружество</w:t>
      </w:r>
      <w:r w:rsidRPr="00FC7E9C">
        <w:rPr>
          <w:rFonts w:ascii="Cambria" w:hAnsi="Cambria"/>
          <w:sz w:val="22"/>
          <w:szCs w:val="22"/>
        </w:rPr>
        <w:t>то заемат разходи</w:t>
      </w:r>
      <w:r w:rsidR="007F0E27" w:rsidRPr="00FC7E9C">
        <w:rPr>
          <w:rFonts w:ascii="Cambria" w:hAnsi="Cambria"/>
          <w:sz w:val="22"/>
          <w:szCs w:val="22"/>
        </w:rPr>
        <w:t>те за материали и външни услуги</w:t>
      </w:r>
      <w:r w:rsidRPr="00FC7E9C">
        <w:rPr>
          <w:rFonts w:ascii="Cambria" w:hAnsi="Cambria"/>
          <w:sz w:val="22"/>
          <w:szCs w:val="22"/>
        </w:rPr>
        <w:t>, разходите за възнаграждения на персонала и осигуровки</w:t>
      </w:r>
      <w:r w:rsidR="00EC7922" w:rsidRPr="00FC7E9C">
        <w:rPr>
          <w:rFonts w:ascii="Cambria" w:hAnsi="Cambria"/>
          <w:sz w:val="22"/>
          <w:szCs w:val="22"/>
        </w:rPr>
        <w:t xml:space="preserve"> </w:t>
      </w:r>
      <w:r w:rsidR="007F0E27" w:rsidRPr="00FC7E9C">
        <w:rPr>
          <w:rFonts w:ascii="Cambria" w:hAnsi="Cambria"/>
          <w:sz w:val="22"/>
          <w:szCs w:val="22"/>
        </w:rPr>
        <w:t>и разходите за амортизация</w:t>
      </w:r>
      <w:r w:rsidRPr="00FC7E9C">
        <w:rPr>
          <w:rFonts w:ascii="Cambria" w:hAnsi="Cambria"/>
          <w:sz w:val="22"/>
          <w:szCs w:val="22"/>
        </w:rPr>
        <w:t>. Конкретните стойности за</w:t>
      </w:r>
      <w:r w:rsidR="000E26E8">
        <w:rPr>
          <w:rFonts w:ascii="Cambria" w:hAnsi="Cambria"/>
          <w:sz w:val="22"/>
          <w:szCs w:val="22"/>
        </w:rPr>
        <w:t xml:space="preserve"> 2013</w:t>
      </w:r>
      <w:r w:rsidRPr="00FC7E9C">
        <w:rPr>
          <w:rFonts w:ascii="Cambria" w:hAnsi="Cambria"/>
          <w:sz w:val="22"/>
          <w:szCs w:val="22"/>
        </w:rPr>
        <w:t xml:space="preserve"> </w:t>
      </w:r>
      <w:r w:rsidR="000E26E8">
        <w:rPr>
          <w:rFonts w:ascii="Cambria" w:hAnsi="Cambria"/>
          <w:sz w:val="22"/>
          <w:szCs w:val="22"/>
        </w:rPr>
        <w:t xml:space="preserve">и </w:t>
      </w:r>
      <w:r w:rsidR="003C65E1" w:rsidRPr="00FC7E9C">
        <w:rPr>
          <w:rFonts w:ascii="Cambria" w:hAnsi="Cambria"/>
          <w:sz w:val="22"/>
          <w:szCs w:val="22"/>
        </w:rPr>
        <w:t>201</w:t>
      </w:r>
      <w:r w:rsidR="000E26E8">
        <w:rPr>
          <w:rFonts w:ascii="Cambria" w:hAnsi="Cambria"/>
          <w:sz w:val="22"/>
          <w:szCs w:val="22"/>
          <w:lang w:val="en-US"/>
        </w:rPr>
        <w:t>2</w:t>
      </w:r>
      <w:r w:rsidR="003C65E1" w:rsidRPr="00FC7E9C">
        <w:rPr>
          <w:rFonts w:ascii="Cambria" w:hAnsi="Cambria"/>
          <w:sz w:val="22"/>
          <w:szCs w:val="22"/>
        </w:rPr>
        <w:t xml:space="preserve"> години</w:t>
      </w:r>
      <w:r w:rsidRPr="00FC7E9C">
        <w:rPr>
          <w:rFonts w:ascii="Cambria" w:hAnsi="Cambria"/>
          <w:sz w:val="22"/>
          <w:szCs w:val="22"/>
        </w:rPr>
        <w:t xml:space="preserve"> са дадени в следващата таблица:</w:t>
      </w:r>
    </w:p>
    <w:p w:rsidR="00472B05" w:rsidRPr="00FC7E9C" w:rsidRDefault="00472B05" w:rsidP="00F60F1C">
      <w:pPr>
        <w:spacing w:line="360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944878" w:rsidRPr="00EC0168" w:rsidRDefault="00C466EF" w:rsidP="00F60F1C">
      <w:pPr>
        <w:spacing w:line="360" w:lineRule="auto"/>
        <w:ind w:left="708"/>
        <w:jc w:val="right"/>
        <w:rPr>
          <w:rFonts w:ascii="Cambria" w:hAnsi="Cambria" w:cs="Arial"/>
          <w:i/>
          <w:sz w:val="18"/>
          <w:szCs w:val="18"/>
        </w:rPr>
      </w:pPr>
      <w:r w:rsidRPr="00FC7E9C">
        <w:rPr>
          <w:rFonts w:ascii="Cambria" w:hAnsi="Cambria" w:cs="Arial"/>
          <w:i/>
          <w:sz w:val="22"/>
          <w:szCs w:val="22"/>
        </w:rPr>
        <w:t xml:space="preserve"> </w:t>
      </w:r>
      <w:r w:rsidR="006D3E62" w:rsidRPr="00FC7E9C">
        <w:rPr>
          <w:rFonts w:ascii="Cambria" w:hAnsi="Cambria" w:cs="Arial"/>
          <w:i/>
          <w:sz w:val="22"/>
          <w:szCs w:val="22"/>
        </w:rPr>
        <w:tab/>
      </w:r>
      <w:r w:rsidR="006D3E62" w:rsidRPr="00FC7E9C">
        <w:rPr>
          <w:rFonts w:ascii="Cambria" w:hAnsi="Cambria" w:cs="Arial"/>
          <w:i/>
          <w:sz w:val="22"/>
          <w:szCs w:val="22"/>
        </w:rPr>
        <w:tab/>
      </w:r>
      <w:r w:rsidR="006D3E62" w:rsidRPr="00FC7E9C">
        <w:rPr>
          <w:rFonts w:ascii="Cambria" w:hAnsi="Cambria" w:cs="Arial"/>
          <w:i/>
          <w:sz w:val="22"/>
          <w:szCs w:val="22"/>
        </w:rPr>
        <w:tab/>
      </w:r>
      <w:r w:rsidR="006D3E62" w:rsidRPr="00FC7E9C">
        <w:rPr>
          <w:rFonts w:ascii="Cambria" w:hAnsi="Cambria" w:cs="Arial"/>
          <w:i/>
          <w:sz w:val="22"/>
          <w:szCs w:val="22"/>
        </w:rPr>
        <w:tab/>
      </w:r>
      <w:r w:rsidR="006D3E62" w:rsidRPr="00FC7E9C">
        <w:rPr>
          <w:rFonts w:ascii="Cambria" w:hAnsi="Cambria" w:cs="Arial"/>
          <w:i/>
          <w:sz w:val="22"/>
          <w:szCs w:val="22"/>
        </w:rPr>
        <w:tab/>
      </w:r>
      <w:r w:rsidR="006D3E62" w:rsidRPr="00EC0168">
        <w:rPr>
          <w:rFonts w:ascii="Cambria" w:hAnsi="Cambria" w:cs="Arial"/>
          <w:i/>
          <w:sz w:val="18"/>
          <w:szCs w:val="18"/>
        </w:rPr>
        <w:t xml:space="preserve">        </w:t>
      </w:r>
      <w:r w:rsidR="007F0E27" w:rsidRPr="00EC0168">
        <w:rPr>
          <w:rFonts w:ascii="Cambria" w:hAnsi="Cambria" w:cs="Arial"/>
          <w:i/>
          <w:sz w:val="18"/>
          <w:szCs w:val="18"/>
        </w:rPr>
        <w:t xml:space="preserve"> Всички сум</w:t>
      </w:r>
      <w:r w:rsidR="006700B4" w:rsidRPr="00EC0168">
        <w:rPr>
          <w:rFonts w:ascii="Cambria" w:hAnsi="Cambria" w:cs="Arial"/>
          <w:i/>
          <w:sz w:val="18"/>
          <w:szCs w:val="18"/>
        </w:rPr>
        <w:t>и</w:t>
      </w:r>
      <w:r w:rsidR="007F0E27" w:rsidRPr="00EC0168">
        <w:rPr>
          <w:rFonts w:ascii="Cambria" w:hAnsi="Cambria" w:cs="Arial"/>
          <w:i/>
          <w:sz w:val="18"/>
          <w:szCs w:val="18"/>
        </w:rPr>
        <w:t xml:space="preserve"> са в хиляди лева</w:t>
      </w:r>
    </w:p>
    <w:tbl>
      <w:tblPr>
        <w:tblW w:w="34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8"/>
        <w:gridCol w:w="1700"/>
        <w:gridCol w:w="1105"/>
      </w:tblGrid>
      <w:tr w:rsidR="001E211A" w:rsidRPr="005E0F39" w:rsidTr="000E26E8">
        <w:trPr>
          <w:jc w:val="center"/>
        </w:trPr>
        <w:tc>
          <w:tcPr>
            <w:tcW w:w="2962" w:type="pct"/>
          </w:tcPr>
          <w:p w:rsidR="00DE0418" w:rsidRPr="005E0F39" w:rsidRDefault="00DE0418" w:rsidP="00F60F1C">
            <w:pPr>
              <w:spacing w:line="360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Година/ разход</w:t>
            </w:r>
          </w:p>
        </w:tc>
        <w:tc>
          <w:tcPr>
            <w:tcW w:w="1235" w:type="pct"/>
          </w:tcPr>
          <w:p w:rsidR="00DE0418" w:rsidRPr="005E0F39" w:rsidRDefault="000E26E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30.06.2013 г.</w:t>
            </w:r>
          </w:p>
        </w:tc>
        <w:tc>
          <w:tcPr>
            <w:tcW w:w="803" w:type="pct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2012 г.</w:t>
            </w:r>
          </w:p>
        </w:tc>
      </w:tr>
      <w:tr w:rsidR="001E211A" w:rsidRPr="005E0F39" w:rsidTr="000E26E8">
        <w:trPr>
          <w:jc w:val="center"/>
        </w:trPr>
        <w:tc>
          <w:tcPr>
            <w:tcW w:w="2962" w:type="pct"/>
          </w:tcPr>
          <w:p w:rsidR="00DE0418" w:rsidRPr="005E0F39" w:rsidRDefault="00DE0418" w:rsidP="00F60F1C">
            <w:pPr>
              <w:spacing w:line="360" w:lineRule="auto"/>
              <w:jc w:val="both"/>
              <w:rPr>
                <w:rFonts w:ascii="Cambria" w:hAnsi="Cambria"/>
                <w:i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i/>
                <w:color w:val="000000"/>
                <w:sz w:val="22"/>
                <w:szCs w:val="22"/>
              </w:rPr>
              <w:t>Разходи за материали</w:t>
            </w:r>
          </w:p>
        </w:tc>
        <w:tc>
          <w:tcPr>
            <w:tcW w:w="1235" w:type="pct"/>
          </w:tcPr>
          <w:p w:rsidR="00DE0418" w:rsidRPr="005E0F39" w:rsidRDefault="00C4599F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803" w:type="pct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1,437</w:t>
            </w:r>
          </w:p>
        </w:tc>
      </w:tr>
      <w:tr w:rsidR="001E211A" w:rsidRPr="005E0F39" w:rsidTr="000E26E8">
        <w:trPr>
          <w:jc w:val="center"/>
        </w:trPr>
        <w:tc>
          <w:tcPr>
            <w:tcW w:w="2962" w:type="pct"/>
          </w:tcPr>
          <w:p w:rsidR="00DE0418" w:rsidRPr="005E0F39" w:rsidRDefault="00DE0418" w:rsidP="00F60F1C">
            <w:pPr>
              <w:spacing w:line="360" w:lineRule="auto"/>
              <w:jc w:val="both"/>
              <w:rPr>
                <w:rFonts w:ascii="Cambria" w:hAnsi="Cambria"/>
                <w:i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i/>
                <w:color w:val="000000"/>
                <w:sz w:val="22"/>
                <w:szCs w:val="22"/>
              </w:rPr>
              <w:t>Разходи за външни услуги</w:t>
            </w:r>
          </w:p>
        </w:tc>
        <w:tc>
          <w:tcPr>
            <w:tcW w:w="1235" w:type="pct"/>
          </w:tcPr>
          <w:p w:rsidR="00DE0418" w:rsidRPr="005E0F39" w:rsidRDefault="00C4599F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803" w:type="pct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1,209</w:t>
            </w:r>
          </w:p>
        </w:tc>
      </w:tr>
      <w:tr w:rsidR="001E211A" w:rsidRPr="005E0F39" w:rsidTr="00C95514">
        <w:trPr>
          <w:jc w:val="center"/>
        </w:trPr>
        <w:tc>
          <w:tcPr>
            <w:tcW w:w="2962" w:type="pct"/>
          </w:tcPr>
          <w:p w:rsidR="00DE0418" w:rsidRPr="005E0F39" w:rsidRDefault="00DE0418" w:rsidP="00F60F1C">
            <w:pPr>
              <w:spacing w:line="360" w:lineRule="auto"/>
              <w:jc w:val="both"/>
              <w:rPr>
                <w:rFonts w:ascii="Cambria" w:hAnsi="Cambria"/>
                <w:i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i/>
                <w:color w:val="000000"/>
                <w:sz w:val="22"/>
                <w:szCs w:val="22"/>
              </w:rPr>
              <w:t xml:space="preserve">Разходи за възнаграждения и осигуровки </w:t>
            </w:r>
          </w:p>
        </w:tc>
        <w:tc>
          <w:tcPr>
            <w:tcW w:w="1235" w:type="pct"/>
            <w:vAlign w:val="center"/>
          </w:tcPr>
          <w:p w:rsidR="00DE0418" w:rsidRPr="005E0F39" w:rsidRDefault="00C4599F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803" w:type="pct"/>
            <w:vAlign w:val="center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1</w:t>
            </w: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  <w:r w:rsidRPr="005E0F39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879</w:t>
            </w:r>
          </w:p>
        </w:tc>
      </w:tr>
      <w:tr w:rsidR="001E211A" w:rsidRPr="005E0F39" w:rsidTr="000E26E8">
        <w:trPr>
          <w:jc w:val="center"/>
        </w:trPr>
        <w:tc>
          <w:tcPr>
            <w:tcW w:w="2962" w:type="pct"/>
          </w:tcPr>
          <w:p w:rsidR="00DE0418" w:rsidRPr="005E0F39" w:rsidRDefault="00DE0418" w:rsidP="00F60F1C">
            <w:pPr>
              <w:spacing w:line="360" w:lineRule="auto"/>
              <w:jc w:val="both"/>
              <w:rPr>
                <w:rFonts w:ascii="Cambria" w:hAnsi="Cambria"/>
                <w:i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i/>
                <w:color w:val="000000"/>
                <w:sz w:val="22"/>
                <w:szCs w:val="22"/>
              </w:rPr>
              <w:t>Разходи за амортизация</w:t>
            </w:r>
          </w:p>
        </w:tc>
        <w:tc>
          <w:tcPr>
            <w:tcW w:w="1235" w:type="pct"/>
          </w:tcPr>
          <w:p w:rsidR="00DE0418" w:rsidRPr="005E0F39" w:rsidRDefault="00C4599F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803" w:type="pct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1,542</w:t>
            </w:r>
          </w:p>
        </w:tc>
      </w:tr>
    </w:tbl>
    <w:p w:rsidR="00FE6CE2" w:rsidRPr="00FC7E9C" w:rsidRDefault="00FE6CE2" w:rsidP="00F60F1C">
      <w:pPr>
        <w:spacing w:line="360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944878" w:rsidRPr="005E0F39" w:rsidRDefault="00944878" w:rsidP="00F60F1C">
      <w:pPr>
        <w:spacing w:line="360" w:lineRule="auto"/>
        <w:ind w:firstLine="709"/>
        <w:jc w:val="both"/>
        <w:rPr>
          <w:rFonts w:ascii="Cambria" w:hAnsi="Cambria" w:cs="Arial"/>
          <w:color w:val="000000"/>
          <w:sz w:val="22"/>
          <w:szCs w:val="22"/>
        </w:rPr>
      </w:pPr>
      <w:r w:rsidRPr="005E0F39">
        <w:rPr>
          <w:rFonts w:ascii="Cambria" w:hAnsi="Cambria" w:cs="Arial"/>
          <w:color w:val="000000"/>
          <w:sz w:val="22"/>
          <w:szCs w:val="22"/>
        </w:rPr>
        <w:t xml:space="preserve">Наблюдава се </w:t>
      </w:r>
      <w:r w:rsidR="00C76221">
        <w:rPr>
          <w:rFonts w:ascii="Cambria" w:hAnsi="Cambria" w:cs="Arial"/>
          <w:color w:val="000000"/>
          <w:sz w:val="22"/>
          <w:szCs w:val="22"/>
        </w:rPr>
        <w:t xml:space="preserve">запазване </w:t>
      </w:r>
      <w:r w:rsidR="00B23197">
        <w:rPr>
          <w:rFonts w:ascii="Cambria" w:hAnsi="Cambria" w:cs="Arial"/>
          <w:color w:val="000000"/>
          <w:sz w:val="22"/>
          <w:szCs w:val="22"/>
        </w:rPr>
        <w:t>нивото на разходите през първото полугодие на 2013 в с</w:t>
      </w:r>
      <w:r w:rsidR="004648F2">
        <w:rPr>
          <w:rFonts w:ascii="Cambria" w:hAnsi="Cambria" w:cs="Arial"/>
          <w:color w:val="000000"/>
          <w:sz w:val="22"/>
          <w:szCs w:val="22"/>
        </w:rPr>
        <w:t>равнение</w:t>
      </w:r>
      <w:r w:rsidR="00D12DD4">
        <w:rPr>
          <w:rFonts w:ascii="Cambria" w:hAnsi="Cambria" w:cs="Arial"/>
          <w:color w:val="000000"/>
          <w:sz w:val="22"/>
          <w:szCs w:val="22"/>
        </w:rPr>
        <w:t xml:space="preserve"> с </w:t>
      </w:r>
      <w:r w:rsidR="00B23197">
        <w:rPr>
          <w:rFonts w:ascii="Cambria" w:hAnsi="Cambria" w:cs="Arial"/>
          <w:color w:val="000000"/>
          <w:sz w:val="22"/>
          <w:szCs w:val="22"/>
        </w:rPr>
        <w:t>предходната година</w:t>
      </w:r>
      <w:r w:rsidR="00377A0A">
        <w:rPr>
          <w:rFonts w:ascii="Cambria" w:hAnsi="Cambria" w:cs="Arial"/>
          <w:color w:val="000000"/>
          <w:sz w:val="22"/>
          <w:szCs w:val="22"/>
        </w:rPr>
        <w:t xml:space="preserve"> /за  </w:t>
      </w:r>
      <w:r w:rsidR="00EA58BE">
        <w:rPr>
          <w:rFonts w:ascii="Cambria" w:hAnsi="Cambria" w:cs="Arial"/>
          <w:color w:val="000000"/>
          <w:sz w:val="22"/>
          <w:szCs w:val="22"/>
        </w:rPr>
        <w:t xml:space="preserve">2012 г. </w:t>
      </w:r>
      <w:r w:rsidR="00377A0A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EA58BE">
        <w:rPr>
          <w:rFonts w:ascii="Cambria" w:hAnsi="Cambria" w:cs="Arial"/>
          <w:color w:val="000000"/>
          <w:sz w:val="22"/>
          <w:szCs w:val="22"/>
        </w:rPr>
        <w:t>разходите са за цялата  година</w:t>
      </w:r>
      <w:r w:rsidR="00377A0A">
        <w:rPr>
          <w:rFonts w:ascii="Cambria" w:hAnsi="Cambria" w:cs="Arial"/>
          <w:color w:val="000000"/>
          <w:sz w:val="22"/>
          <w:szCs w:val="22"/>
        </w:rPr>
        <w:t>/.</w:t>
      </w:r>
    </w:p>
    <w:p w:rsidR="00944878" w:rsidRPr="000E26E8" w:rsidRDefault="00944878" w:rsidP="00F60F1C">
      <w:pPr>
        <w:spacing w:line="360" w:lineRule="auto"/>
        <w:ind w:firstLine="709"/>
        <w:jc w:val="both"/>
        <w:rPr>
          <w:rFonts w:ascii="Cambria" w:hAnsi="Cambria" w:cs="Arial"/>
          <w:color w:val="FF0000"/>
          <w:sz w:val="22"/>
          <w:szCs w:val="22"/>
        </w:rPr>
      </w:pPr>
    </w:p>
    <w:p w:rsidR="00944878" w:rsidRPr="00FC7E9C" w:rsidRDefault="00944878" w:rsidP="00F60F1C">
      <w:pPr>
        <w:spacing w:line="360" w:lineRule="auto"/>
        <w:ind w:firstLine="709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>Финансов резултат</w:t>
      </w:r>
    </w:p>
    <w:p w:rsidR="00CD00DE" w:rsidRPr="00FC7E9C" w:rsidRDefault="00944878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Финансови</w:t>
      </w:r>
      <w:r w:rsidR="00514BA2" w:rsidRPr="00FC7E9C">
        <w:rPr>
          <w:rFonts w:ascii="Cambria" w:hAnsi="Cambria"/>
          <w:sz w:val="22"/>
          <w:szCs w:val="22"/>
        </w:rPr>
        <w:t>т</w:t>
      </w:r>
      <w:r w:rsidR="00CD00DE">
        <w:rPr>
          <w:rFonts w:ascii="Cambria" w:hAnsi="Cambria"/>
          <w:sz w:val="22"/>
          <w:szCs w:val="22"/>
          <w:lang w:val="en-US"/>
        </w:rPr>
        <w:t>e</w:t>
      </w:r>
      <w:r w:rsidRPr="00FC7E9C">
        <w:rPr>
          <w:rFonts w:ascii="Cambria" w:hAnsi="Cambria"/>
          <w:sz w:val="22"/>
          <w:szCs w:val="22"/>
        </w:rPr>
        <w:t xml:space="preserve"> резултат</w:t>
      </w:r>
      <w:r w:rsidR="00CD00DE">
        <w:rPr>
          <w:rFonts w:ascii="Cambria" w:hAnsi="Cambria"/>
          <w:sz w:val="22"/>
          <w:szCs w:val="22"/>
        </w:rPr>
        <w:t>и</w:t>
      </w:r>
      <w:r w:rsidRPr="00FC7E9C">
        <w:rPr>
          <w:rFonts w:ascii="Cambria" w:hAnsi="Cambria"/>
          <w:sz w:val="22"/>
          <w:szCs w:val="22"/>
        </w:rPr>
        <w:t xml:space="preserve"> на </w:t>
      </w:r>
      <w:r w:rsidR="00EF1A52" w:rsidRPr="00FC7E9C">
        <w:rPr>
          <w:rFonts w:ascii="Cambria" w:hAnsi="Cambria"/>
          <w:sz w:val="22"/>
          <w:szCs w:val="22"/>
        </w:rPr>
        <w:t>Дружество</w:t>
      </w:r>
      <w:r w:rsidRPr="00FC7E9C">
        <w:rPr>
          <w:rFonts w:ascii="Cambria" w:hAnsi="Cambria"/>
          <w:sz w:val="22"/>
          <w:szCs w:val="22"/>
        </w:rPr>
        <w:t xml:space="preserve">то </w:t>
      </w:r>
      <w:r w:rsidR="00713227">
        <w:rPr>
          <w:rFonts w:ascii="Cambria" w:hAnsi="Cambria"/>
          <w:sz w:val="22"/>
          <w:szCs w:val="22"/>
        </w:rPr>
        <w:t>за 2013 и 2012</w:t>
      </w:r>
      <w:r w:rsidR="00CD00DE" w:rsidRPr="00FC7E9C">
        <w:rPr>
          <w:rFonts w:ascii="Cambria" w:hAnsi="Cambria"/>
          <w:sz w:val="22"/>
          <w:szCs w:val="22"/>
        </w:rPr>
        <w:t xml:space="preserve"> години са дадени в следващата таблица:</w:t>
      </w:r>
    </w:p>
    <w:p w:rsidR="00EC0168" w:rsidRPr="00EC0168" w:rsidRDefault="00EC0168" w:rsidP="00F60F1C">
      <w:pPr>
        <w:spacing w:line="360" w:lineRule="auto"/>
        <w:ind w:left="708"/>
        <w:jc w:val="right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/>
          <w:sz w:val="22"/>
          <w:szCs w:val="22"/>
          <w:lang w:val="en-US"/>
        </w:rPr>
        <w:tab/>
      </w:r>
      <w:r>
        <w:rPr>
          <w:rFonts w:ascii="Cambria" w:hAnsi="Cambria"/>
          <w:sz w:val="22"/>
          <w:szCs w:val="22"/>
          <w:lang w:val="en-US"/>
        </w:rPr>
        <w:tab/>
      </w:r>
      <w:r>
        <w:rPr>
          <w:rFonts w:ascii="Cambria" w:hAnsi="Cambria"/>
          <w:sz w:val="22"/>
          <w:szCs w:val="22"/>
          <w:lang w:val="en-US"/>
        </w:rPr>
        <w:tab/>
      </w:r>
      <w:r>
        <w:rPr>
          <w:rFonts w:ascii="Cambria" w:hAnsi="Cambria"/>
          <w:sz w:val="22"/>
          <w:szCs w:val="22"/>
          <w:lang w:val="en-US"/>
        </w:rPr>
        <w:tab/>
      </w:r>
      <w:r>
        <w:rPr>
          <w:rFonts w:ascii="Cambria" w:hAnsi="Cambria"/>
          <w:sz w:val="22"/>
          <w:szCs w:val="22"/>
          <w:lang w:val="en-US"/>
        </w:rPr>
        <w:tab/>
      </w:r>
      <w:r>
        <w:rPr>
          <w:rFonts w:ascii="Cambria" w:hAnsi="Cambria"/>
          <w:sz w:val="22"/>
          <w:szCs w:val="22"/>
          <w:lang w:val="en-US"/>
        </w:rPr>
        <w:tab/>
      </w:r>
      <w:r>
        <w:rPr>
          <w:rFonts w:ascii="Cambria" w:hAnsi="Cambria"/>
          <w:sz w:val="22"/>
          <w:szCs w:val="22"/>
          <w:lang w:val="en-US"/>
        </w:rPr>
        <w:tab/>
      </w:r>
      <w:r w:rsidRPr="00EC0168">
        <w:rPr>
          <w:rFonts w:ascii="Cambria" w:hAnsi="Cambria" w:cs="Arial"/>
          <w:i/>
          <w:sz w:val="18"/>
          <w:szCs w:val="18"/>
        </w:rPr>
        <w:t>Всички суми са в хиляди лева</w:t>
      </w:r>
    </w:p>
    <w:tbl>
      <w:tblPr>
        <w:tblW w:w="33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1"/>
        <w:gridCol w:w="1565"/>
        <w:gridCol w:w="1134"/>
      </w:tblGrid>
      <w:tr w:rsidR="00DE0418" w:rsidRPr="00FC7E9C" w:rsidTr="000E26E8">
        <w:trPr>
          <w:jc w:val="center"/>
        </w:trPr>
        <w:tc>
          <w:tcPr>
            <w:tcW w:w="2970" w:type="pct"/>
          </w:tcPr>
          <w:p w:rsidR="00DE0418" w:rsidRPr="00FC7E9C" w:rsidRDefault="00DE0418" w:rsidP="00F60F1C">
            <w:pPr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Година</w:t>
            </w:r>
            <w:r w:rsidR="00F96453">
              <w:rPr>
                <w:rFonts w:ascii="Cambria" w:hAnsi="Cambria"/>
                <w:sz w:val="22"/>
                <w:szCs w:val="22"/>
              </w:rPr>
              <w:t>/период</w:t>
            </w:r>
          </w:p>
        </w:tc>
        <w:tc>
          <w:tcPr>
            <w:tcW w:w="1177" w:type="pct"/>
          </w:tcPr>
          <w:p w:rsidR="00DE0418" w:rsidRDefault="000E26E8" w:rsidP="00F60F1C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30.06.2013 г</w:t>
            </w:r>
            <w:r w:rsidR="00967508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853" w:type="pct"/>
          </w:tcPr>
          <w:p w:rsidR="00DE0418" w:rsidRPr="00FC7E9C" w:rsidRDefault="00DE0418" w:rsidP="00F60F1C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2012 г.</w:t>
            </w:r>
          </w:p>
        </w:tc>
      </w:tr>
      <w:tr w:rsidR="00DE0418" w:rsidRPr="00FC7E9C" w:rsidTr="000E26E8">
        <w:trPr>
          <w:jc w:val="center"/>
        </w:trPr>
        <w:tc>
          <w:tcPr>
            <w:tcW w:w="2970" w:type="pct"/>
          </w:tcPr>
          <w:p w:rsidR="00DE0418" w:rsidRPr="00FC7E9C" w:rsidRDefault="00DE0418" w:rsidP="00F60F1C">
            <w:pPr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>Печалба след данъци</w:t>
            </w:r>
          </w:p>
        </w:tc>
        <w:tc>
          <w:tcPr>
            <w:tcW w:w="1177" w:type="pct"/>
          </w:tcPr>
          <w:p w:rsidR="00DE0418" w:rsidRPr="005E0F39" w:rsidRDefault="00A172DD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1,461</w:t>
            </w:r>
          </w:p>
        </w:tc>
        <w:tc>
          <w:tcPr>
            <w:tcW w:w="853" w:type="pct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3,582</w:t>
            </w:r>
          </w:p>
        </w:tc>
      </w:tr>
    </w:tbl>
    <w:p w:rsidR="00EC0168" w:rsidRPr="00EC0168" w:rsidRDefault="00EC0168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  <w:lang w:val="en-US"/>
        </w:rPr>
      </w:pPr>
    </w:p>
    <w:p w:rsidR="00D44DA0" w:rsidRPr="00FC7E9C" w:rsidRDefault="00D44DA0" w:rsidP="00F60F1C">
      <w:pPr>
        <w:spacing w:line="360" w:lineRule="auto"/>
        <w:ind w:right="-37" w:firstLine="709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>Пасиви</w:t>
      </w:r>
    </w:p>
    <w:p w:rsidR="00D44DA0" w:rsidRPr="00FC7E9C" w:rsidRDefault="00D44DA0" w:rsidP="00F60F1C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Балансовите стойно</w:t>
      </w:r>
      <w:r w:rsidR="005851AC" w:rsidRPr="00FC7E9C">
        <w:rPr>
          <w:rFonts w:ascii="Cambria" w:hAnsi="Cambria"/>
          <w:sz w:val="22"/>
          <w:szCs w:val="22"/>
        </w:rPr>
        <w:t xml:space="preserve">сти на пасивите за </w:t>
      </w:r>
      <w:r w:rsidR="000E26E8">
        <w:rPr>
          <w:rFonts w:ascii="Cambria" w:hAnsi="Cambria"/>
          <w:sz w:val="22"/>
          <w:szCs w:val="22"/>
        </w:rPr>
        <w:t xml:space="preserve"> 2013 и </w:t>
      </w:r>
      <w:r w:rsidR="005851AC" w:rsidRPr="00FC7E9C">
        <w:rPr>
          <w:rFonts w:ascii="Cambria" w:hAnsi="Cambria"/>
          <w:sz w:val="22"/>
          <w:szCs w:val="22"/>
        </w:rPr>
        <w:t>201</w:t>
      </w:r>
      <w:r w:rsidR="000E26E8">
        <w:rPr>
          <w:rFonts w:ascii="Cambria" w:hAnsi="Cambria"/>
          <w:sz w:val="22"/>
          <w:szCs w:val="22"/>
        </w:rPr>
        <w:t>2</w:t>
      </w:r>
      <w:r w:rsidR="005851AC" w:rsidRPr="00FC7E9C">
        <w:rPr>
          <w:rFonts w:ascii="Cambria" w:hAnsi="Cambria"/>
          <w:sz w:val="22"/>
          <w:szCs w:val="22"/>
        </w:rPr>
        <w:t xml:space="preserve"> </w:t>
      </w:r>
      <w:r w:rsidRPr="00FC7E9C">
        <w:rPr>
          <w:rFonts w:ascii="Cambria" w:hAnsi="Cambria"/>
          <w:sz w:val="22"/>
          <w:szCs w:val="22"/>
        </w:rPr>
        <w:t>години са дадени в следващата таблица:</w:t>
      </w:r>
    </w:p>
    <w:p w:rsidR="00D44DA0" w:rsidRPr="00EC0168" w:rsidRDefault="00D44DA0" w:rsidP="00F60F1C">
      <w:pPr>
        <w:spacing w:line="360" w:lineRule="auto"/>
        <w:jc w:val="right"/>
        <w:rPr>
          <w:rFonts w:ascii="Cambria" w:hAnsi="Cambria"/>
          <w:i/>
          <w:sz w:val="18"/>
          <w:szCs w:val="18"/>
        </w:rPr>
      </w:pPr>
      <w:r w:rsidRPr="00FC7E9C">
        <w:rPr>
          <w:rFonts w:ascii="Cambria" w:hAnsi="Cambria" w:cs="Arial"/>
          <w:b/>
          <w:i/>
          <w:sz w:val="22"/>
          <w:szCs w:val="22"/>
        </w:rPr>
        <w:t xml:space="preserve">   </w:t>
      </w:r>
      <w:r w:rsidRPr="00FC7E9C">
        <w:rPr>
          <w:rFonts w:ascii="Cambria" w:hAnsi="Cambria" w:cs="Arial"/>
          <w:b/>
          <w:i/>
          <w:sz w:val="22"/>
          <w:szCs w:val="22"/>
        </w:rPr>
        <w:tab/>
      </w:r>
      <w:r w:rsidRPr="00FC7E9C">
        <w:rPr>
          <w:rFonts w:ascii="Cambria" w:hAnsi="Cambria" w:cs="Arial"/>
          <w:b/>
          <w:i/>
          <w:sz w:val="22"/>
          <w:szCs w:val="22"/>
        </w:rPr>
        <w:tab/>
      </w:r>
      <w:r w:rsidRPr="00FC7E9C">
        <w:rPr>
          <w:rFonts w:ascii="Cambria" w:hAnsi="Cambria" w:cs="Arial"/>
          <w:b/>
          <w:i/>
          <w:sz w:val="22"/>
          <w:szCs w:val="22"/>
        </w:rPr>
        <w:tab/>
      </w:r>
      <w:r w:rsidRPr="00FC7E9C">
        <w:rPr>
          <w:rFonts w:ascii="Cambria" w:hAnsi="Cambria" w:cs="Arial"/>
          <w:b/>
          <w:i/>
          <w:sz w:val="22"/>
          <w:szCs w:val="22"/>
        </w:rPr>
        <w:tab/>
      </w:r>
      <w:r w:rsidRPr="00FC7E9C">
        <w:rPr>
          <w:rFonts w:ascii="Cambria" w:hAnsi="Cambria" w:cs="Arial"/>
          <w:b/>
          <w:i/>
          <w:sz w:val="22"/>
          <w:szCs w:val="22"/>
        </w:rPr>
        <w:tab/>
      </w:r>
      <w:r w:rsidRPr="00FC7E9C">
        <w:rPr>
          <w:rFonts w:ascii="Cambria" w:hAnsi="Cambria" w:cs="Arial"/>
          <w:b/>
          <w:i/>
          <w:sz w:val="22"/>
          <w:szCs w:val="22"/>
        </w:rPr>
        <w:tab/>
      </w:r>
      <w:r w:rsidR="00182AD7" w:rsidRPr="00FC7E9C">
        <w:rPr>
          <w:rFonts w:ascii="Cambria" w:hAnsi="Cambria" w:cs="Arial"/>
          <w:b/>
          <w:i/>
          <w:sz w:val="22"/>
          <w:szCs w:val="22"/>
        </w:rPr>
        <w:t xml:space="preserve">  </w:t>
      </w:r>
      <w:r w:rsidR="00182AD7" w:rsidRPr="00FC7E9C">
        <w:rPr>
          <w:rFonts w:ascii="Cambria" w:hAnsi="Cambria" w:cs="Arial"/>
          <w:b/>
          <w:i/>
          <w:sz w:val="22"/>
          <w:szCs w:val="22"/>
        </w:rPr>
        <w:tab/>
      </w:r>
      <w:r w:rsidRPr="00EC0168">
        <w:rPr>
          <w:rFonts w:ascii="Cambria" w:hAnsi="Cambria" w:cs="Arial"/>
          <w:i/>
          <w:sz w:val="18"/>
          <w:szCs w:val="18"/>
        </w:rPr>
        <w:t>Всички суми са в хиляди лева</w:t>
      </w:r>
    </w:p>
    <w:tbl>
      <w:tblPr>
        <w:tblW w:w="3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0"/>
        <w:gridCol w:w="1566"/>
        <w:gridCol w:w="1136"/>
      </w:tblGrid>
      <w:tr w:rsidR="00DE0418" w:rsidRPr="00FC7E9C" w:rsidTr="00BE29DC">
        <w:trPr>
          <w:jc w:val="center"/>
        </w:trPr>
        <w:tc>
          <w:tcPr>
            <w:tcW w:w="2969" w:type="pct"/>
          </w:tcPr>
          <w:p w:rsidR="00DE0418" w:rsidRPr="005E0F39" w:rsidRDefault="00DE0418" w:rsidP="00F60F1C">
            <w:pPr>
              <w:spacing w:line="360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Година</w:t>
            </w:r>
            <w:r w:rsidR="00F96453">
              <w:rPr>
                <w:rFonts w:ascii="Cambria" w:hAnsi="Cambria"/>
                <w:sz w:val="22"/>
                <w:szCs w:val="22"/>
              </w:rPr>
              <w:t>/период</w:t>
            </w:r>
          </w:p>
        </w:tc>
        <w:tc>
          <w:tcPr>
            <w:tcW w:w="1177" w:type="pct"/>
          </w:tcPr>
          <w:p w:rsidR="00DE0418" w:rsidRPr="005E0F39" w:rsidRDefault="0096750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30.06.2013 г.</w:t>
            </w:r>
          </w:p>
        </w:tc>
        <w:tc>
          <w:tcPr>
            <w:tcW w:w="854" w:type="pct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2012 г.</w:t>
            </w:r>
          </w:p>
        </w:tc>
      </w:tr>
      <w:tr w:rsidR="00DE0418" w:rsidRPr="00FC7E9C" w:rsidTr="00BE29DC">
        <w:trPr>
          <w:jc w:val="center"/>
        </w:trPr>
        <w:tc>
          <w:tcPr>
            <w:tcW w:w="2969" w:type="pct"/>
          </w:tcPr>
          <w:p w:rsidR="00DE0418" w:rsidRPr="005E0F39" w:rsidRDefault="00DE0418" w:rsidP="00F60F1C">
            <w:pPr>
              <w:spacing w:line="360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 xml:space="preserve">Нетекущи пасиви </w:t>
            </w:r>
          </w:p>
        </w:tc>
        <w:tc>
          <w:tcPr>
            <w:tcW w:w="1177" w:type="pct"/>
          </w:tcPr>
          <w:p w:rsidR="00DE0418" w:rsidRPr="002A3D9C" w:rsidRDefault="002A6CC5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2A3D9C">
              <w:rPr>
                <w:rFonts w:ascii="Cambria" w:hAnsi="Cambria"/>
                <w:color w:val="000000"/>
                <w:sz w:val="22"/>
                <w:szCs w:val="22"/>
              </w:rPr>
              <w:t>1674</w:t>
            </w:r>
          </w:p>
        </w:tc>
        <w:tc>
          <w:tcPr>
            <w:tcW w:w="854" w:type="pct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1,837</w:t>
            </w:r>
          </w:p>
        </w:tc>
      </w:tr>
      <w:tr w:rsidR="00DE0418" w:rsidRPr="00FC7E9C" w:rsidTr="00BE29DC">
        <w:trPr>
          <w:jc w:val="center"/>
        </w:trPr>
        <w:tc>
          <w:tcPr>
            <w:tcW w:w="2969" w:type="pct"/>
          </w:tcPr>
          <w:p w:rsidR="00DE0418" w:rsidRPr="005E0F39" w:rsidRDefault="00DE0418" w:rsidP="00F60F1C">
            <w:pPr>
              <w:spacing w:line="360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Текущи пасиви</w:t>
            </w:r>
          </w:p>
        </w:tc>
        <w:tc>
          <w:tcPr>
            <w:tcW w:w="1177" w:type="pct"/>
          </w:tcPr>
          <w:p w:rsidR="00DE0418" w:rsidRPr="002A3D9C" w:rsidRDefault="00C763FB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2A3D9C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374</w:t>
            </w:r>
          </w:p>
        </w:tc>
        <w:tc>
          <w:tcPr>
            <w:tcW w:w="854" w:type="pct"/>
          </w:tcPr>
          <w:p w:rsidR="00DE0418" w:rsidRPr="005E0F39" w:rsidRDefault="00DE041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466</w:t>
            </w:r>
          </w:p>
        </w:tc>
      </w:tr>
    </w:tbl>
    <w:p w:rsidR="00183ADC" w:rsidRPr="002A3D9C" w:rsidRDefault="00DB2107" w:rsidP="00F60F1C">
      <w:pPr>
        <w:spacing w:line="360" w:lineRule="auto"/>
        <w:ind w:firstLine="709"/>
        <w:jc w:val="both"/>
        <w:rPr>
          <w:rFonts w:ascii="Cambria" w:hAnsi="Cambria" w:cs="Arial"/>
          <w:color w:val="000000"/>
          <w:sz w:val="22"/>
          <w:szCs w:val="22"/>
        </w:rPr>
      </w:pPr>
      <w:r w:rsidRPr="002A3D9C">
        <w:rPr>
          <w:rFonts w:ascii="Cambria" w:hAnsi="Cambria" w:cs="Arial"/>
          <w:color w:val="000000"/>
          <w:sz w:val="22"/>
          <w:szCs w:val="22"/>
        </w:rPr>
        <w:t>Има намале</w:t>
      </w:r>
      <w:r w:rsidR="00BF07A9" w:rsidRPr="002A3D9C">
        <w:rPr>
          <w:rFonts w:ascii="Cambria" w:hAnsi="Cambria" w:cs="Arial"/>
          <w:color w:val="000000"/>
          <w:sz w:val="22"/>
          <w:szCs w:val="22"/>
        </w:rPr>
        <w:t>ние на дългосрочните и</w:t>
      </w:r>
      <w:r w:rsidR="00A312FC" w:rsidRPr="002A3D9C">
        <w:rPr>
          <w:rFonts w:ascii="Cambria" w:hAnsi="Cambria" w:cs="Arial"/>
          <w:color w:val="000000"/>
          <w:sz w:val="22"/>
          <w:szCs w:val="22"/>
        </w:rPr>
        <w:t xml:space="preserve"> краткосрочните пасиви към 30.06.2013 година спрямо предходната година</w:t>
      </w:r>
      <w:r w:rsidR="00BF07A9" w:rsidRPr="002A3D9C">
        <w:rPr>
          <w:rFonts w:ascii="Cambria" w:hAnsi="Cambria" w:cs="Arial"/>
          <w:color w:val="000000"/>
          <w:sz w:val="22"/>
          <w:szCs w:val="22"/>
        </w:rPr>
        <w:t>. Промяната на дългосрочнит</w:t>
      </w:r>
      <w:r w:rsidR="0094469F" w:rsidRPr="002A3D9C">
        <w:rPr>
          <w:rFonts w:ascii="Cambria" w:hAnsi="Cambria" w:cs="Arial"/>
          <w:color w:val="000000"/>
          <w:sz w:val="22"/>
          <w:szCs w:val="22"/>
        </w:rPr>
        <w:t>е пасиви се дължи на намаление</w:t>
      </w:r>
      <w:r w:rsidR="00BF07A9" w:rsidRPr="002A3D9C">
        <w:rPr>
          <w:rFonts w:ascii="Cambria" w:hAnsi="Cambria" w:cs="Arial"/>
          <w:color w:val="000000"/>
          <w:sz w:val="22"/>
          <w:szCs w:val="22"/>
        </w:rPr>
        <w:t xml:space="preserve"> на приходите за бъд</w:t>
      </w:r>
      <w:r w:rsidR="00507327" w:rsidRPr="002A3D9C">
        <w:rPr>
          <w:rFonts w:ascii="Cambria" w:hAnsi="Cambria" w:cs="Arial"/>
          <w:color w:val="000000"/>
          <w:sz w:val="22"/>
          <w:szCs w:val="22"/>
        </w:rPr>
        <w:t>ещи пери</w:t>
      </w:r>
      <w:r w:rsidR="0094469F" w:rsidRPr="002A3D9C">
        <w:rPr>
          <w:rFonts w:ascii="Cambria" w:hAnsi="Cambria" w:cs="Arial"/>
          <w:color w:val="000000"/>
          <w:sz w:val="22"/>
          <w:szCs w:val="22"/>
        </w:rPr>
        <w:t>оди</w:t>
      </w:r>
      <w:r w:rsidR="00507327" w:rsidRPr="002A3D9C">
        <w:rPr>
          <w:rFonts w:ascii="Cambria" w:hAnsi="Cambria" w:cs="Arial"/>
          <w:color w:val="000000"/>
          <w:sz w:val="22"/>
          <w:szCs w:val="22"/>
        </w:rPr>
        <w:t>.</w:t>
      </w:r>
      <w:r w:rsidR="00507327" w:rsidRPr="00847D14">
        <w:rPr>
          <w:rFonts w:ascii="Cambria" w:hAnsi="Cambria" w:cs="Arial"/>
          <w:color w:val="FF0000"/>
          <w:sz w:val="22"/>
          <w:szCs w:val="22"/>
        </w:rPr>
        <w:t xml:space="preserve"> </w:t>
      </w:r>
      <w:r w:rsidR="00507327" w:rsidRPr="002A3D9C">
        <w:rPr>
          <w:rFonts w:ascii="Cambria" w:hAnsi="Cambria" w:cs="Arial"/>
          <w:color w:val="000000"/>
          <w:sz w:val="22"/>
          <w:szCs w:val="22"/>
        </w:rPr>
        <w:t>Промяната на краткосрочнит</w:t>
      </w:r>
      <w:r w:rsidR="0094469F" w:rsidRPr="002A3D9C">
        <w:rPr>
          <w:rFonts w:ascii="Cambria" w:hAnsi="Cambria" w:cs="Arial"/>
          <w:color w:val="000000"/>
          <w:sz w:val="22"/>
          <w:szCs w:val="22"/>
        </w:rPr>
        <w:t>е пасиви е в резултат на намаля</w:t>
      </w:r>
      <w:r w:rsidR="00507327" w:rsidRPr="002A3D9C">
        <w:rPr>
          <w:rFonts w:ascii="Cambria" w:hAnsi="Cambria" w:cs="Arial"/>
          <w:color w:val="000000"/>
          <w:sz w:val="22"/>
          <w:szCs w:val="22"/>
        </w:rPr>
        <w:t>ване на задълж</w:t>
      </w:r>
      <w:r w:rsidR="00100AA9" w:rsidRPr="002A3D9C">
        <w:rPr>
          <w:rFonts w:ascii="Cambria" w:hAnsi="Cambria" w:cs="Arial"/>
          <w:color w:val="000000"/>
          <w:sz w:val="22"/>
          <w:szCs w:val="22"/>
        </w:rPr>
        <w:t>ението към доставчици</w:t>
      </w:r>
      <w:r w:rsidR="006F3838" w:rsidRPr="002A3D9C">
        <w:rPr>
          <w:rFonts w:ascii="Cambria" w:hAnsi="Cambria" w:cs="Arial"/>
          <w:color w:val="000000"/>
          <w:sz w:val="22"/>
          <w:szCs w:val="22"/>
        </w:rPr>
        <w:t>,</w:t>
      </w:r>
      <w:r w:rsidR="00100AA9" w:rsidRPr="002A3D9C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92721C" w:rsidRPr="002A3D9C">
        <w:rPr>
          <w:rFonts w:ascii="Cambria" w:hAnsi="Cambria" w:cs="Arial"/>
          <w:color w:val="000000"/>
          <w:sz w:val="22"/>
          <w:szCs w:val="22"/>
        </w:rPr>
        <w:t xml:space="preserve">увеличаване на задължението за </w:t>
      </w:r>
      <w:r w:rsidR="006F3838" w:rsidRPr="002A3D9C">
        <w:rPr>
          <w:rFonts w:ascii="Cambria" w:hAnsi="Cambria" w:cs="Arial"/>
          <w:color w:val="000000"/>
          <w:sz w:val="22"/>
          <w:szCs w:val="22"/>
        </w:rPr>
        <w:t>социални осигуровки</w:t>
      </w:r>
      <w:r w:rsidR="0092721C" w:rsidRPr="002A3D9C">
        <w:rPr>
          <w:rFonts w:ascii="Cambria" w:hAnsi="Cambria" w:cs="Arial"/>
          <w:color w:val="000000"/>
          <w:sz w:val="22"/>
          <w:szCs w:val="22"/>
        </w:rPr>
        <w:t xml:space="preserve"> и персонал</w:t>
      </w:r>
      <w:r w:rsidR="00507327" w:rsidRPr="002A3D9C">
        <w:rPr>
          <w:rFonts w:ascii="Cambria" w:hAnsi="Cambria" w:cs="Arial"/>
          <w:color w:val="000000"/>
          <w:sz w:val="22"/>
          <w:szCs w:val="22"/>
        </w:rPr>
        <w:t>.</w:t>
      </w:r>
    </w:p>
    <w:p w:rsidR="00F60F1C" w:rsidRDefault="00F60F1C" w:rsidP="00F60F1C">
      <w:pPr>
        <w:spacing w:line="360" w:lineRule="auto"/>
        <w:ind w:firstLine="709"/>
        <w:jc w:val="both"/>
        <w:rPr>
          <w:rFonts w:ascii="Cambria" w:hAnsi="Cambria"/>
          <w:b/>
          <w:sz w:val="22"/>
          <w:szCs w:val="22"/>
        </w:rPr>
      </w:pPr>
    </w:p>
    <w:p w:rsidR="00F074A3" w:rsidRPr="00FC7E9C" w:rsidRDefault="007A67FD" w:rsidP="00F60F1C">
      <w:pPr>
        <w:spacing w:line="360" w:lineRule="auto"/>
        <w:ind w:firstLine="709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>Активи</w:t>
      </w:r>
    </w:p>
    <w:p w:rsidR="007A67FD" w:rsidRPr="00FC7E9C" w:rsidRDefault="007A67FD" w:rsidP="00F60F1C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Балансовите стойности на активите</w:t>
      </w:r>
      <w:r w:rsidR="00EC7922" w:rsidRPr="00FC7E9C">
        <w:rPr>
          <w:rFonts w:ascii="Cambria" w:hAnsi="Cambria"/>
          <w:sz w:val="22"/>
          <w:szCs w:val="22"/>
        </w:rPr>
        <w:t xml:space="preserve"> </w:t>
      </w:r>
      <w:r w:rsidRPr="00FC7E9C">
        <w:rPr>
          <w:rFonts w:ascii="Cambria" w:hAnsi="Cambria"/>
          <w:sz w:val="22"/>
          <w:szCs w:val="22"/>
        </w:rPr>
        <w:t xml:space="preserve">за </w:t>
      </w:r>
      <w:r w:rsidR="000E26E8">
        <w:rPr>
          <w:rFonts w:ascii="Cambria" w:hAnsi="Cambria"/>
          <w:sz w:val="22"/>
          <w:szCs w:val="22"/>
        </w:rPr>
        <w:t xml:space="preserve">2013 и </w:t>
      </w:r>
      <w:r w:rsidR="00994FB6">
        <w:rPr>
          <w:rFonts w:ascii="Cambria" w:hAnsi="Cambria"/>
          <w:sz w:val="22"/>
          <w:szCs w:val="22"/>
        </w:rPr>
        <w:t>2012</w:t>
      </w:r>
      <w:r w:rsidR="000E26E8">
        <w:rPr>
          <w:rFonts w:ascii="Cambria" w:hAnsi="Cambria"/>
          <w:sz w:val="22"/>
          <w:szCs w:val="22"/>
        </w:rPr>
        <w:t xml:space="preserve"> </w:t>
      </w:r>
      <w:r w:rsidR="00842210" w:rsidRPr="00FC7E9C">
        <w:rPr>
          <w:rFonts w:ascii="Cambria" w:hAnsi="Cambria"/>
          <w:sz w:val="22"/>
          <w:szCs w:val="22"/>
        </w:rPr>
        <w:t>години</w:t>
      </w:r>
      <w:r w:rsidRPr="00FC7E9C">
        <w:rPr>
          <w:rFonts w:ascii="Cambria" w:hAnsi="Cambria"/>
          <w:sz w:val="22"/>
          <w:szCs w:val="22"/>
        </w:rPr>
        <w:t xml:space="preserve"> са дадени в следващата таблица:</w:t>
      </w:r>
    </w:p>
    <w:p w:rsidR="008339D9" w:rsidRPr="00EC0168" w:rsidRDefault="00C466EF" w:rsidP="00F60F1C">
      <w:pPr>
        <w:spacing w:line="360" w:lineRule="auto"/>
        <w:jc w:val="right"/>
        <w:rPr>
          <w:rFonts w:ascii="Cambria" w:hAnsi="Cambria" w:cs="Arial"/>
          <w:i/>
          <w:sz w:val="18"/>
          <w:szCs w:val="18"/>
        </w:rPr>
      </w:pPr>
      <w:r w:rsidRPr="00FC7E9C">
        <w:rPr>
          <w:rFonts w:ascii="Cambria" w:hAnsi="Cambria" w:cs="Arial"/>
          <w:i/>
          <w:sz w:val="22"/>
          <w:szCs w:val="22"/>
        </w:rPr>
        <w:t xml:space="preserve"> </w:t>
      </w:r>
      <w:r w:rsidR="008339D9" w:rsidRPr="00FC7E9C">
        <w:rPr>
          <w:rFonts w:ascii="Cambria" w:hAnsi="Cambria" w:cs="Arial"/>
          <w:i/>
          <w:sz w:val="22"/>
          <w:szCs w:val="22"/>
        </w:rPr>
        <w:t xml:space="preserve"> </w:t>
      </w:r>
      <w:r w:rsidR="008339D9" w:rsidRPr="00FC7E9C">
        <w:rPr>
          <w:rFonts w:ascii="Cambria" w:hAnsi="Cambria" w:cs="Arial"/>
          <w:i/>
          <w:sz w:val="22"/>
          <w:szCs w:val="22"/>
        </w:rPr>
        <w:tab/>
      </w:r>
      <w:r w:rsidR="00F074A3" w:rsidRPr="00FC7E9C">
        <w:rPr>
          <w:rFonts w:ascii="Cambria" w:hAnsi="Cambria" w:cs="Arial"/>
          <w:i/>
          <w:sz w:val="22"/>
          <w:szCs w:val="22"/>
        </w:rPr>
        <w:tab/>
      </w:r>
      <w:r w:rsidR="00F074A3" w:rsidRPr="00FC7E9C">
        <w:rPr>
          <w:rFonts w:ascii="Cambria" w:hAnsi="Cambria" w:cs="Arial"/>
          <w:i/>
          <w:sz w:val="22"/>
          <w:szCs w:val="22"/>
        </w:rPr>
        <w:tab/>
      </w:r>
      <w:r w:rsidR="00F074A3" w:rsidRPr="00FC7E9C">
        <w:rPr>
          <w:rFonts w:ascii="Cambria" w:hAnsi="Cambria" w:cs="Arial"/>
          <w:i/>
          <w:sz w:val="22"/>
          <w:szCs w:val="22"/>
        </w:rPr>
        <w:tab/>
      </w:r>
      <w:r w:rsidR="00F074A3" w:rsidRPr="00FC7E9C">
        <w:rPr>
          <w:rFonts w:ascii="Cambria" w:hAnsi="Cambria" w:cs="Arial"/>
          <w:i/>
          <w:sz w:val="22"/>
          <w:szCs w:val="22"/>
        </w:rPr>
        <w:tab/>
      </w:r>
      <w:r w:rsidR="00F074A3" w:rsidRPr="00FC7E9C">
        <w:rPr>
          <w:rFonts w:ascii="Cambria" w:hAnsi="Cambria" w:cs="Arial"/>
          <w:i/>
          <w:sz w:val="22"/>
          <w:szCs w:val="22"/>
        </w:rPr>
        <w:tab/>
      </w:r>
      <w:r w:rsidR="00F074A3" w:rsidRPr="00FC7E9C">
        <w:rPr>
          <w:rFonts w:ascii="Cambria" w:hAnsi="Cambria" w:cs="Arial"/>
          <w:i/>
          <w:sz w:val="22"/>
          <w:szCs w:val="22"/>
        </w:rPr>
        <w:tab/>
      </w:r>
      <w:r w:rsidR="006700B4" w:rsidRPr="00EC0168">
        <w:rPr>
          <w:rFonts w:ascii="Cambria" w:hAnsi="Cambria" w:cs="Arial"/>
          <w:i/>
          <w:sz w:val="18"/>
          <w:szCs w:val="18"/>
        </w:rPr>
        <w:t>Всички суми</w:t>
      </w:r>
      <w:r w:rsidR="008339D9" w:rsidRPr="00EC0168">
        <w:rPr>
          <w:rFonts w:ascii="Cambria" w:hAnsi="Cambria" w:cs="Arial"/>
          <w:i/>
          <w:sz w:val="18"/>
          <w:szCs w:val="18"/>
        </w:rPr>
        <w:t xml:space="preserve"> са в хиляди лева</w:t>
      </w:r>
    </w:p>
    <w:tbl>
      <w:tblPr>
        <w:tblW w:w="33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8"/>
        <w:gridCol w:w="1557"/>
        <w:gridCol w:w="1083"/>
      </w:tblGrid>
      <w:tr w:rsidR="001E211A" w:rsidRPr="005E0F39" w:rsidTr="00E41AB9">
        <w:trPr>
          <w:jc w:val="center"/>
        </w:trPr>
        <w:tc>
          <w:tcPr>
            <w:tcW w:w="2984" w:type="pct"/>
          </w:tcPr>
          <w:p w:rsidR="000E26E8" w:rsidRPr="005E0F39" w:rsidRDefault="000E26E8" w:rsidP="00F60F1C">
            <w:pPr>
              <w:spacing w:line="360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Година</w:t>
            </w:r>
            <w:r w:rsidR="00F96453">
              <w:rPr>
                <w:rFonts w:ascii="Cambria" w:hAnsi="Cambria"/>
                <w:sz w:val="22"/>
                <w:szCs w:val="22"/>
              </w:rPr>
              <w:t>/период</w:t>
            </w:r>
          </w:p>
        </w:tc>
        <w:tc>
          <w:tcPr>
            <w:tcW w:w="1189" w:type="pct"/>
          </w:tcPr>
          <w:p w:rsidR="000E26E8" w:rsidRPr="005E0F39" w:rsidRDefault="0096750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30.06.2013 г.</w:t>
            </w:r>
          </w:p>
        </w:tc>
        <w:tc>
          <w:tcPr>
            <w:tcW w:w="827" w:type="pct"/>
          </w:tcPr>
          <w:p w:rsidR="000E26E8" w:rsidRPr="005E0F39" w:rsidRDefault="000E26E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2012 г.</w:t>
            </w:r>
          </w:p>
        </w:tc>
      </w:tr>
      <w:tr w:rsidR="001E211A" w:rsidRPr="005E0F39" w:rsidTr="00E41AB9">
        <w:trPr>
          <w:jc w:val="center"/>
        </w:trPr>
        <w:tc>
          <w:tcPr>
            <w:tcW w:w="2984" w:type="pct"/>
          </w:tcPr>
          <w:p w:rsidR="000E26E8" w:rsidRPr="002A3D9C" w:rsidRDefault="000E26E8" w:rsidP="00F60F1C">
            <w:pPr>
              <w:spacing w:line="360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A3D9C">
              <w:rPr>
                <w:rFonts w:ascii="Cambria" w:hAnsi="Cambria"/>
                <w:color w:val="000000"/>
                <w:sz w:val="22"/>
                <w:szCs w:val="22"/>
              </w:rPr>
              <w:t xml:space="preserve">Нетекущи активи </w:t>
            </w:r>
          </w:p>
        </w:tc>
        <w:tc>
          <w:tcPr>
            <w:tcW w:w="1189" w:type="pct"/>
          </w:tcPr>
          <w:p w:rsidR="000E26E8" w:rsidRPr="002A3D9C" w:rsidRDefault="00BE29DC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2A3D9C">
              <w:rPr>
                <w:rFonts w:ascii="Cambria" w:hAnsi="Cambria"/>
                <w:color w:val="000000"/>
                <w:sz w:val="22"/>
                <w:szCs w:val="22"/>
              </w:rPr>
              <w:t>62,466</w:t>
            </w:r>
          </w:p>
        </w:tc>
        <w:tc>
          <w:tcPr>
            <w:tcW w:w="827" w:type="pct"/>
          </w:tcPr>
          <w:p w:rsidR="000E26E8" w:rsidRPr="005E0F39" w:rsidRDefault="000E26E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63,192</w:t>
            </w:r>
          </w:p>
        </w:tc>
      </w:tr>
      <w:tr w:rsidR="001E211A" w:rsidRPr="005E0F39" w:rsidTr="00E41AB9">
        <w:trPr>
          <w:jc w:val="center"/>
        </w:trPr>
        <w:tc>
          <w:tcPr>
            <w:tcW w:w="2984" w:type="pct"/>
          </w:tcPr>
          <w:p w:rsidR="000E26E8" w:rsidRPr="002A3D9C" w:rsidRDefault="000E26E8" w:rsidP="00F60F1C">
            <w:pPr>
              <w:spacing w:line="360" w:lineRule="auto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2A3D9C">
              <w:rPr>
                <w:rFonts w:ascii="Cambria" w:hAnsi="Cambria"/>
                <w:color w:val="000000"/>
                <w:sz w:val="22"/>
                <w:szCs w:val="22"/>
              </w:rPr>
              <w:t>Текущи активи</w:t>
            </w:r>
          </w:p>
        </w:tc>
        <w:tc>
          <w:tcPr>
            <w:tcW w:w="1189" w:type="pct"/>
          </w:tcPr>
          <w:p w:rsidR="000E26E8" w:rsidRPr="002A3D9C" w:rsidRDefault="00BE29DC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2A3D9C">
              <w:rPr>
                <w:rFonts w:ascii="Cambria" w:hAnsi="Cambria"/>
                <w:color w:val="000000"/>
                <w:sz w:val="22"/>
                <w:szCs w:val="22"/>
              </w:rPr>
              <w:t>23,</w:t>
            </w:r>
            <w:r w:rsidR="006D6AB3" w:rsidRPr="002A3D9C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747</w:t>
            </w:r>
          </w:p>
        </w:tc>
        <w:tc>
          <w:tcPr>
            <w:tcW w:w="827" w:type="pct"/>
          </w:tcPr>
          <w:p w:rsidR="000E26E8" w:rsidRPr="005E0F39" w:rsidRDefault="000E26E8" w:rsidP="00F60F1C">
            <w:pPr>
              <w:spacing w:line="360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24,680</w:t>
            </w:r>
          </w:p>
        </w:tc>
      </w:tr>
    </w:tbl>
    <w:p w:rsidR="00816618" w:rsidRPr="005E0F39" w:rsidRDefault="00555478" w:rsidP="00F60F1C">
      <w:pPr>
        <w:spacing w:line="360" w:lineRule="auto"/>
        <w:ind w:firstLine="708"/>
        <w:jc w:val="both"/>
        <w:rPr>
          <w:rFonts w:ascii="Cambria" w:hAnsi="Cambria"/>
          <w:color w:val="000000"/>
          <w:sz w:val="22"/>
          <w:szCs w:val="22"/>
        </w:rPr>
      </w:pPr>
      <w:r w:rsidRPr="005E0F39">
        <w:rPr>
          <w:rFonts w:ascii="Cambria" w:hAnsi="Cambria"/>
          <w:color w:val="000000"/>
          <w:sz w:val="22"/>
          <w:szCs w:val="22"/>
        </w:rPr>
        <w:t xml:space="preserve"> </w:t>
      </w:r>
      <w:r w:rsidR="00B952F9" w:rsidRPr="005E0F39">
        <w:rPr>
          <w:rFonts w:ascii="Cambria" w:hAnsi="Cambria"/>
          <w:color w:val="000000"/>
          <w:sz w:val="22"/>
          <w:szCs w:val="22"/>
        </w:rPr>
        <w:t xml:space="preserve"> </w:t>
      </w:r>
    </w:p>
    <w:p w:rsidR="007A67FD" w:rsidRPr="00FC7E9C" w:rsidRDefault="00842210" w:rsidP="00F60F1C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Намалението</w:t>
      </w:r>
      <w:r w:rsidR="00B952F9" w:rsidRPr="00FC7E9C">
        <w:rPr>
          <w:rFonts w:ascii="Cambria" w:hAnsi="Cambria"/>
          <w:sz w:val="22"/>
          <w:szCs w:val="22"/>
        </w:rPr>
        <w:t xml:space="preserve"> на </w:t>
      </w:r>
      <w:r w:rsidR="00994FB6">
        <w:rPr>
          <w:rFonts w:ascii="Cambria" w:hAnsi="Cambria"/>
          <w:sz w:val="22"/>
          <w:szCs w:val="22"/>
        </w:rPr>
        <w:t>нетекущите</w:t>
      </w:r>
      <w:r w:rsidR="00B952F9" w:rsidRPr="00FC7E9C">
        <w:rPr>
          <w:rFonts w:ascii="Cambria" w:hAnsi="Cambria"/>
          <w:sz w:val="22"/>
          <w:szCs w:val="22"/>
        </w:rPr>
        <w:t xml:space="preserve"> активи</w:t>
      </w:r>
      <w:r w:rsidR="006D3E62" w:rsidRPr="00FC7E9C">
        <w:rPr>
          <w:rFonts w:ascii="Cambria" w:hAnsi="Cambria"/>
          <w:sz w:val="22"/>
          <w:szCs w:val="22"/>
        </w:rPr>
        <w:t xml:space="preserve"> през 201</w:t>
      </w:r>
      <w:r w:rsidR="00043385">
        <w:rPr>
          <w:rFonts w:ascii="Cambria" w:hAnsi="Cambria"/>
          <w:sz w:val="22"/>
          <w:szCs w:val="22"/>
        </w:rPr>
        <w:t>3</w:t>
      </w:r>
      <w:r w:rsidR="006D3E62" w:rsidRPr="00FC7E9C">
        <w:rPr>
          <w:rFonts w:ascii="Cambria" w:hAnsi="Cambria"/>
          <w:sz w:val="22"/>
          <w:szCs w:val="22"/>
        </w:rPr>
        <w:t xml:space="preserve"> година</w:t>
      </w:r>
      <w:r w:rsidR="00AE2FA7">
        <w:rPr>
          <w:rFonts w:ascii="Cambria" w:hAnsi="Cambria"/>
          <w:sz w:val="22"/>
          <w:szCs w:val="22"/>
        </w:rPr>
        <w:t xml:space="preserve"> е </w:t>
      </w:r>
      <w:r w:rsidR="0062024E">
        <w:rPr>
          <w:rFonts w:ascii="Cambria" w:hAnsi="Cambria"/>
          <w:sz w:val="22"/>
          <w:szCs w:val="22"/>
        </w:rPr>
        <w:t>в резултат начислени</w:t>
      </w:r>
      <w:r w:rsidR="00AE2FA7">
        <w:rPr>
          <w:rFonts w:ascii="Cambria" w:hAnsi="Cambria"/>
          <w:sz w:val="22"/>
          <w:szCs w:val="22"/>
        </w:rPr>
        <w:t>те амортизации</w:t>
      </w:r>
      <w:r w:rsidR="00FE2D62" w:rsidRPr="00816618">
        <w:rPr>
          <w:rFonts w:ascii="Cambria" w:hAnsi="Cambria"/>
          <w:sz w:val="22"/>
          <w:szCs w:val="22"/>
        </w:rPr>
        <w:t>.</w:t>
      </w:r>
      <w:r w:rsidR="00816618">
        <w:rPr>
          <w:rFonts w:ascii="Cambria" w:hAnsi="Cambria"/>
          <w:sz w:val="22"/>
          <w:szCs w:val="22"/>
        </w:rPr>
        <w:t xml:space="preserve"> Промяната в те</w:t>
      </w:r>
      <w:r w:rsidR="00043385">
        <w:rPr>
          <w:rFonts w:ascii="Cambria" w:hAnsi="Cambria"/>
          <w:sz w:val="22"/>
          <w:szCs w:val="22"/>
        </w:rPr>
        <w:t>кущите активи се дължи в намале</w:t>
      </w:r>
      <w:r w:rsidR="00816618">
        <w:rPr>
          <w:rFonts w:ascii="Cambria" w:hAnsi="Cambria"/>
          <w:sz w:val="22"/>
          <w:szCs w:val="22"/>
        </w:rPr>
        <w:t xml:space="preserve">ние на паричните средства и </w:t>
      </w:r>
      <w:r w:rsidR="00043385">
        <w:rPr>
          <w:rFonts w:ascii="Cambria" w:hAnsi="Cambria"/>
          <w:sz w:val="22"/>
          <w:szCs w:val="22"/>
        </w:rPr>
        <w:t xml:space="preserve">увеличение на </w:t>
      </w:r>
      <w:r w:rsidR="00816618">
        <w:rPr>
          <w:rFonts w:ascii="Cambria" w:hAnsi="Cambria"/>
          <w:sz w:val="22"/>
          <w:szCs w:val="22"/>
        </w:rPr>
        <w:t>вземанията</w:t>
      </w:r>
      <w:r w:rsidR="00043385">
        <w:rPr>
          <w:rFonts w:ascii="Cambria" w:hAnsi="Cambria"/>
          <w:sz w:val="22"/>
          <w:szCs w:val="22"/>
        </w:rPr>
        <w:t xml:space="preserve"> и предоставените аванси</w:t>
      </w:r>
      <w:r w:rsidR="00816618">
        <w:rPr>
          <w:rFonts w:ascii="Cambria" w:hAnsi="Cambria"/>
          <w:sz w:val="22"/>
          <w:szCs w:val="22"/>
        </w:rPr>
        <w:t>.</w:t>
      </w:r>
    </w:p>
    <w:p w:rsidR="00EF1E9F" w:rsidRPr="00FC7E9C" w:rsidRDefault="00EF1E9F" w:rsidP="00F60F1C">
      <w:pPr>
        <w:spacing w:line="360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A614D7" w:rsidRPr="00FC7E9C" w:rsidRDefault="00A614D7" w:rsidP="00F60F1C">
      <w:pPr>
        <w:spacing w:line="360" w:lineRule="auto"/>
        <w:ind w:right="-37" w:firstLine="709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>Капитал</w:t>
      </w:r>
    </w:p>
    <w:p w:rsidR="00F074A3" w:rsidRPr="00FC7E9C" w:rsidRDefault="00F074A3" w:rsidP="00F60F1C">
      <w:pPr>
        <w:spacing w:line="360" w:lineRule="auto"/>
        <w:ind w:right="-37" w:firstLine="709"/>
        <w:jc w:val="both"/>
        <w:rPr>
          <w:rFonts w:ascii="Cambria" w:hAnsi="Cambria"/>
          <w:b/>
          <w:sz w:val="22"/>
          <w:szCs w:val="22"/>
        </w:rPr>
      </w:pPr>
    </w:p>
    <w:p w:rsidR="00A614D7" w:rsidRPr="00FC7E9C" w:rsidRDefault="00EF1E9F" w:rsidP="00F60F1C">
      <w:pPr>
        <w:spacing w:line="360" w:lineRule="auto"/>
        <w:ind w:right="-37"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Основният к</w:t>
      </w:r>
      <w:r w:rsidR="008339D9" w:rsidRPr="00FC7E9C">
        <w:rPr>
          <w:rFonts w:ascii="Cambria" w:hAnsi="Cambria"/>
          <w:sz w:val="22"/>
          <w:szCs w:val="22"/>
        </w:rPr>
        <w:t xml:space="preserve">апитал на </w:t>
      </w:r>
      <w:r w:rsidR="00EF1A52" w:rsidRPr="00FC7E9C">
        <w:rPr>
          <w:rFonts w:ascii="Cambria" w:hAnsi="Cambria"/>
          <w:sz w:val="22"/>
          <w:szCs w:val="22"/>
        </w:rPr>
        <w:t>дружество</w:t>
      </w:r>
      <w:r w:rsidR="00C12011">
        <w:rPr>
          <w:rFonts w:ascii="Cambria" w:hAnsi="Cambria"/>
          <w:sz w:val="22"/>
          <w:szCs w:val="22"/>
        </w:rPr>
        <w:t>то към 30.06</w:t>
      </w:r>
      <w:r w:rsidR="00A614D7" w:rsidRPr="00FC7E9C">
        <w:rPr>
          <w:rFonts w:ascii="Cambria" w:hAnsi="Cambria"/>
          <w:sz w:val="22"/>
          <w:szCs w:val="22"/>
        </w:rPr>
        <w:t>.20</w:t>
      </w:r>
      <w:r w:rsidRPr="00FC7E9C">
        <w:rPr>
          <w:rFonts w:ascii="Cambria" w:hAnsi="Cambria"/>
          <w:sz w:val="22"/>
          <w:szCs w:val="22"/>
        </w:rPr>
        <w:t>1</w:t>
      </w:r>
      <w:r w:rsidR="00C12011">
        <w:rPr>
          <w:rFonts w:ascii="Cambria" w:hAnsi="Cambria"/>
          <w:sz w:val="22"/>
          <w:szCs w:val="22"/>
        </w:rPr>
        <w:t>3</w:t>
      </w:r>
      <w:r w:rsidR="00A614D7" w:rsidRPr="00FC7E9C">
        <w:rPr>
          <w:rFonts w:ascii="Cambria" w:hAnsi="Cambria"/>
          <w:sz w:val="22"/>
          <w:szCs w:val="22"/>
        </w:rPr>
        <w:t xml:space="preserve"> год</w:t>
      </w:r>
      <w:r w:rsidR="008339D9" w:rsidRPr="00FC7E9C">
        <w:rPr>
          <w:rFonts w:ascii="Cambria" w:hAnsi="Cambria"/>
          <w:sz w:val="22"/>
          <w:szCs w:val="22"/>
        </w:rPr>
        <w:t>ина</w:t>
      </w:r>
      <w:r w:rsidR="00EC7922" w:rsidRPr="00FC7E9C">
        <w:rPr>
          <w:rFonts w:ascii="Cambria" w:hAnsi="Cambria"/>
          <w:sz w:val="22"/>
          <w:szCs w:val="22"/>
        </w:rPr>
        <w:t xml:space="preserve"> </w:t>
      </w:r>
      <w:r w:rsidR="00A614D7" w:rsidRPr="00FC7E9C">
        <w:rPr>
          <w:rFonts w:ascii="Cambria" w:hAnsi="Cambria"/>
          <w:sz w:val="22"/>
          <w:szCs w:val="22"/>
        </w:rPr>
        <w:t>е в размер на 7</w:t>
      </w:r>
      <w:r w:rsidR="00816618">
        <w:rPr>
          <w:rFonts w:ascii="Cambria" w:hAnsi="Cambria"/>
          <w:sz w:val="22"/>
          <w:szCs w:val="22"/>
        </w:rPr>
        <w:t>1</w:t>
      </w:r>
      <w:r w:rsidR="00A614D7" w:rsidRPr="00FC7E9C">
        <w:rPr>
          <w:rFonts w:ascii="Cambria" w:hAnsi="Cambria"/>
          <w:sz w:val="22"/>
          <w:szCs w:val="22"/>
        </w:rPr>
        <w:t>,</w:t>
      </w:r>
      <w:r w:rsidR="00816618">
        <w:rPr>
          <w:rFonts w:ascii="Cambria" w:hAnsi="Cambria"/>
          <w:sz w:val="22"/>
          <w:szCs w:val="22"/>
        </w:rPr>
        <w:t>948</w:t>
      </w:r>
      <w:r w:rsidR="00A614D7" w:rsidRPr="00FC7E9C">
        <w:rPr>
          <w:rFonts w:ascii="Cambria" w:hAnsi="Cambria"/>
          <w:sz w:val="22"/>
          <w:szCs w:val="22"/>
        </w:rPr>
        <w:t xml:space="preserve"> хил. лева и се състои от </w:t>
      </w:r>
      <w:r w:rsidRPr="00FC7E9C">
        <w:rPr>
          <w:rFonts w:ascii="Cambria" w:hAnsi="Cambria"/>
          <w:sz w:val="22"/>
          <w:szCs w:val="22"/>
        </w:rPr>
        <w:t>7,</w:t>
      </w:r>
      <w:r w:rsidR="00816618">
        <w:rPr>
          <w:rFonts w:ascii="Cambria" w:hAnsi="Cambria"/>
          <w:sz w:val="22"/>
          <w:szCs w:val="22"/>
        </w:rPr>
        <w:t>194</w:t>
      </w:r>
      <w:r w:rsidRPr="00FC7E9C">
        <w:rPr>
          <w:rFonts w:ascii="Cambria" w:hAnsi="Cambria"/>
          <w:sz w:val="22"/>
          <w:szCs w:val="22"/>
        </w:rPr>
        <w:t>,</w:t>
      </w:r>
      <w:r w:rsidR="00816618">
        <w:rPr>
          <w:rFonts w:ascii="Cambria" w:hAnsi="Cambria"/>
          <w:sz w:val="22"/>
          <w:szCs w:val="22"/>
        </w:rPr>
        <w:t>812</w:t>
      </w:r>
      <w:r w:rsidRPr="00FC7E9C">
        <w:rPr>
          <w:rFonts w:ascii="Cambria" w:hAnsi="Cambria"/>
          <w:sz w:val="22"/>
          <w:szCs w:val="22"/>
        </w:rPr>
        <w:t xml:space="preserve"> </w:t>
      </w:r>
      <w:r w:rsidR="008339D9" w:rsidRPr="00FC7E9C">
        <w:rPr>
          <w:rFonts w:ascii="Cambria" w:hAnsi="Cambria"/>
          <w:sz w:val="22"/>
          <w:szCs w:val="22"/>
        </w:rPr>
        <w:t xml:space="preserve">дяла, 10 лева за 1 </w:t>
      </w:r>
      <w:r w:rsidRPr="00FC7E9C">
        <w:rPr>
          <w:rFonts w:ascii="Cambria" w:hAnsi="Cambria"/>
          <w:sz w:val="22"/>
          <w:szCs w:val="22"/>
        </w:rPr>
        <w:t>дял</w:t>
      </w:r>
      <w:r w:rsidR="008339D9" w:rsidRPr="00FC7E9C">
        <w:rPr>
          <w:rFonts w:ascii="Cambria" w:hAnsi="Cambria"/>
          <w:sz w:val="22"/>
          <w:szCs w:val="22"/>
        </w:rPr>
        <w:t>.</w:t>
      </w:r>
    </w:p>
    <w:p w:rsidR="00A614D7" w:rsidRPr="00FC7E9C" w:rsidRDefault="00A614D7" w:rsidP="00F60F1C">
      <w:pPr>
        <w:spacing w:line="360" w:lineRule="auto"/>
        <w:ind w:right="-37" w:firstLine="709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 xml:space="preserve">Собственик на </w:t>
      </w:r>
      <w:r w:rsidR="00EF1A52" w:rsidRPr="00FC7E9C">
        <w:rPr>
          <w:rFonts w:ascii="Cambria" w:hAnsi="Cambria"/>
          <w:sz w:val="22"/>
          <w:szCs w:val="22"/>
        </w:rPr>
        <w:t>Дружество</w:t>
      </w:r>
      <w:r w:rsidRPr="00FC7E9C">
        <w:rPr>
          <w:rFonts w:ascii="Cambria" w:hAnsi="Cambria"/>
          <w:sz w:val="22"/>
          <w:szCs w:val="22"/>
        </w:rPr>
        <w:t>то</w:t>
      </w:r>
      <w:r w:rsidR="00EC7922" w:rsidRPr="00FC7E9C">
        <w:rPr>
          <w:rFonts w:ascii="Cambria" w:hAnsi="Cambria"/>
          <w:sz w:val="22"/>
          <w:szCs w:val="22"/>
        </w:rPr>
        <w:t xml:space="preserve"> </w:t>
      </w:r>
      <w:r w:rsidRPr="00FC7E9C">
        <w:rPr>
          <w:rFonts w:ascii="Cambria" w:hAnsi="Cambria"/>
          <w:sz w:val="22"/>
          <w:szCs w:val="22"/>
        </w:rPr>
        <w:t>е Министерство на Външните Работи, притежаващо 100 % от капитала.</w:t>
      </w:r>
    </w:p>
    <w:p w:rsidR="006B1C0E" w:rsidRPr="00FC7E9C" w:rsidRDefault="006B1C0E" w:rsidP="00F60F1C">
      <w:pPr>
        <w:spacing w:line="360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FC7E9C">
        <w:rPr>
          <w:rFonts w:ascii="Cambria" w:hAnsi="Cambria" w:cs="Arial"/>
          <w:sz w:val="22"/>
          <w:szCs w:val="22"/>
        </w:rPr>
        <w:t xml:space="preserve">През изминалите години </w:t>
      </w:r>
      <w:r w:rsidR="00EF1A52" w:rsidRPr="00FC7E9C">
        <w:rPr>
          <w:rFonts w:ascii="Cambria" w:hAnsi="Cambria" w:cs="Arial"/>
          <w:sz w:val="22"/>
          <w:szCs w:val="22"/>
        </w:rPr>
        <w:t>дружество</w:t>
      </w:r>
      <w:r w:rsidRPr="00FC7E9C">
        <w:rPr>
          <w:rFonts w:ascii="Cambria" w:hAnsi="Cambria" w:cs="Arial"/>
          <w:sz w:val="22"/>
          <w:szCs w:val="22"/>
        </w:rPr>
        <w:t xml:space="preserve">то </w:t>
      </w:r>
      <w:r w:rsidR="00B952F9" w:rsidRPr="00FC7E9C">
        <w:rPr>
          <w:rFonts w:ascii="Cambria" w:hAnsi="Cambria" w:cs="Arial"/>
          <w:sz w:val="22"/>
          <w:szCs w:val="22"/>
        </w:rPr>
        <w:t>е</w:t>
      </w:r>
      <w:r w:rsidRPr="00FC7E9C">
        <w:rPr>
          <w:rFonts w:ascii="Cambria" w:hAnsi="Cambria" w:cs="Arial"/>
          <w:sz w:val="22"/>
          <w:szCs w:val="22"/>
        </w:rPr>
        <w:t xml:space="preserve"> платежоспособно и е</w:t>
      </w:r>
      <w:r w:rsidR="00EC7922" w:rsidRPr="00FC7E9C">
        <w:rPr>
          <w:rFonts w:ascii="Cambria" w:hAnsi="Cambria" w:cs="Arial"/>
          <w:sz w:val="22"/>
          <w:szCs w:val="22"/>
        </w:rPr>
        <w:t xml:space="preserve"> </w:t>
      </w:r>
      <w:r w:rsidRPr="00FC7E9C">
        <w:rPr>
          <w:rFonts w:ascii="Cambria" w:hAnsi="Cambria" w:cs="Arial"/>
          <w:sz w:val="22"/>
          <w:szCs w:val="22"/>
        </w:rPr>
        <w:t xml:space="preserve">в състояние да погаси падежите </w:t>
      </w:r>
      <w:r w:rsidR="00B952F9" w:rsidRPr="00FC7E9C">
        <w:rPr>
          <w:rFonts w:ascii="Cambria" w:hAnsi="Cambria" w:cs="Arial"/>
          <w:sz w:val="22"/>
          <w:szCs w:val="22"/>
        </w:rPr>
        <w:t>по</w:t>
      </w:r>
      <w:r w:rsidRPr="00FC7E9C">
        <w:rPr>
          <w:rFonts w:ascii="Cambria" w:hAnsi="Cambria" w:cs="Arial"/>
          <w:sz w:val="22"/>
          <w:szCs w:val="22"/>
        </w:rPr>
        <w:t xml:space="preserve"> текущите</w:t>
      </w:r>
      <w:r w:rsidR="00B952F9" w:rsidRPr="00FC7E9C">
        <w:rPr>
          <w:rFonts w:ascii="Cambria" w:hAnsi="Cambria" w:cs="Arial"/>
          <w:sz w:val="22"/>
          <w:szCs w:val="22"/>
        </w:rPr>
        <w:t xml:space="preserve"> си</w:t>
      </w:r>
      <w:r w:rsidRPr="00FC7E9C">
        <w:rPr>
          <w:rFonts w:ascii="Cambria" w:hAnsi="Cambria" w:cs="Arial"/>
          <w:sz w:val="22"/>
          <w:szCs w:val="22"/>
        </w:rPr>
        <w:t xml:space="preserve"> задължения.</w:t>
      </w:r>
    </w:p>
    <w:p w:rsidR="006B1C0E" w:rsidRPr="00FC7E9C" w:rsidRDefault="006B1C0E" w:rsidP="00F60F1C">
      <w:pPr>
        <w:spacing w:line="360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FC7E9C">
        <w:rPr>
          <w:rFonts w:ascii="Cambria" w:hAnsi="Cambria" w:cs="Arial"/>
          <w:sz w:val="22"/>
          <w:szCs w:val="22"/>
        </w:rPr>
        <w:t>Коефициентите</w:t>
      </w:r>
      <w:r w:rsidR="00EC7922" w:rsidRPr="00FC7E9C">
        <w:rPr>
          <w:rFonts w:ascii="Cambria" w:hAnsi="Cambria" w:cs="Arial"/>
          <w:sz w:val="22"/>
          <w:szCs w:val="22"/>
        </w:rPr>
        <w:t xml:space="preserve"> </w:t>
      </w:r>
      <w:r w:rsidRPr="00FC7E9C">
        <w:rPr>
          <w:rFonts w:ascii="Cambria" w:hAnsi="Cambria" w:cs="Arial"/>
          <w:sz w:val="22"/>
          <w:szCs w:val="22"/>
        </w:rPr>
        <w:t xml:space="preserve">на бърза ликвидност </w:t>
      </w:r>
      <w:r w:rsidR="00DE67E0" w:rsidRPr="00FC7E9C">
        <w:rPr>
          <w:rFonts w:ascii="Cambria" w:hAnsi="Cambria" w:cs="Arial"/>
          <w:sz w:val="22"/>
          <w:szCs w:val="22"/>
        </w:rPr>
        <w:t>и на абсолютна ликвид</w:t>
      </w:r>
      <w:r w:rsidR="009C28C0" w:rsidRPr="00FC7E9C">
        <w:rPr>
          <w:rFonts w:ascii="Cambria" w:hAnsi="Cambria" w:cs="Arial"/>
          <w:sz w:val="22"/>
          <w:szCs w:val="22"/>
        </w:rPr>
        <w:t>нос</w:t>
      </w:r>
      <w:r w:rsidR="00E120F6" w:rsidRPr="00FC7E9C">
        <w:rPr>
          <w:rFonts w:ascii="Cambria" w:hAnsi="Cambria" w:cs="Arial"/>
          <w:sz w:val="22"/>
          <w:szCs w:val="22"/>
        </w:rPr>
        <w:t>т</w:t>
      </w:r>
      <w:r w:rsidR="00F43493" w:rsidRPr="00FC7E9C">
        <w:rPr>
          <w:rFonts w:ascii="Cambria" w:hAnsi="Cambria" w:cs="Arial"/>
          <w:sz w:val="22"/>
          <w:szCs w:val="22"/>
        </w:rPr>
        <w:t>,</w:t>
      </w:r>
      <w:r w:rsidRPr="00FC7E9C">
        <w:rPr>
          <w:rFonts w:ascii="Cambria" w:hAnsi="Cambria" w:cs="Arial"/>
          <w:sz w:val="22"/>
          <w:szCs w:val="22"/>
        </w:rPr>
        <w:t xml:space="preserve"> са посочени в следващата таблица:</w:t>
      </w:r>
    </w:p>
    <w:p w:rsidR="006B1C0E" w:rsidRPr="00FC7E9C" w:rsidRDefault="006B1C0E" w:rsidP="00F60F1C">
      <w:pPr>
        <w:spacing w:line="360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tbl>
      <w:tblPr>
        <w:tblW w:w="3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2"/>
        <w:gridCol w:w="2611"/>
        <w:gridCol w:w="1570"/>
        <w:gridCol w:w="1020"/>
      </w:tblGrid>
      <w:tr w:rsidR="000E26E8" w:rsidRPr="00816618" w:rsidTr="00E41AB9">
        <w:trPr>
          <w:jc w:val="center"/>
        </w:trPr>
        <w:tc>
          <w:tcPr>
            <w:tcW w:w="1671" w:type="pct"/>
            <w:vAlign w:val="center"/>
          </w:tcPr>
          <w:p w:rsidR="000E26E8" w:rsidRPr="00100F07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00F07">
              <w:rPr>
                <w:rFonts w:ascii="Cambria" w:hAnsi="Cambria"/>
                <w:sz w:val="22"/>
                <w:szCs w:val="22"/>
              </w:rPr>
              <w:t>Година/ коефициент</w:t>
            </w:r>
          </w:p>
        </w:tc>
        <w:tc>
          <w:tcPr>
            <w:tcW w:w="1671" w:type="pct"/>
            <w:vAlign w:val="center"/>
          </w:tcPr>
          <w:p w:rsidR="000E26E8" w:rsidRPr="00100F07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00F07">
              <w:rPr>
                <w:rFonts w:ascii="Cambria" w:hAnsi="Cambria"/>
                <w:sz w:val="22"/>
                <w:szCs w:val="22"/>
              </w:rPr>
              <w:t>формула</w:t>
            </w:r>
          </w:p>
        </w:tc>
        <w:tc>
          <w:tcPr>
            <w:tcW w:w="1005" w:type="pct"/>
          </w:tcPr>
          <w:p w:rsidR="000E26E8" w:rsidRPr="00100F07" w:rsidRDefault="00A14B57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00F07">
              <w:rPr>
                <w:rFonts w:ascii="Cambria" w:hAnsi="Cambria"/>
                <w:sz w:val="22"/>
                <w:szCs w:val="22"/>
              </w:rPr>
              <w:t>30.06.2013 г.</w:t>
            </w:r>
          </w:p>
        </w:tc>
        <w:tc>
          <w:tcPr>
            <w:tcW w:w="653" w:type="pct"/>
            <w:vAlign w:val="center"/>
          </w:tcPr>
          <w:p w:rsidR="000E26E8" w:rsidRPr="00100F07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00F07">
              <w:rPr>
                <w:rFonts w:ascii="Cambria" w:hAnsi="Cambria"/>
                <w:sz w:val="22"/>
                <w:szCs w:val="22"/>
              </w:rPr>
              <w:t>2012 г.</w:t>
            </w:r>
          </w:p>
        </w:tc>
      </w:tr>
      <w:tr w:rsidR="000E26E8" w:rsidRPr="00FC7E9C" w:rsidTr="00351863">
        <w:trPr>
          <w:jc w:val="center"/>
        </w:trPr>
        <w:tc>
          <w:tcPr>
            <w:tcW w:w="1671" w:type="pct"/>
            <w:vAlign w:val="center"/>
          </w:tcPr>
          <w:p w:rsidR="000E26E8" w:rsidRPr="00816618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816618">
              <w:rPr>
                <w:rFonts w:ascii="Cambria" w:hAnsi="Cambria" w:cs="Arial"/>
                <w:sz w:val="22"/>
                <w:szCs w:val="22"/>
              </w:rPr>
              <w:t>Коефициент на бърза ликвидност</w:t>
            </w:r>
          </w:p>
        </w:tc>
        <w:tc>
          <w:tcPr>
            <w:tcW w:w="1671" w:type="pct"/>
            <w:vAlign w:val="center"/>
          </w:tcPr>
          <w:p w:rsidR="000E26E8" w:rsidRPr="00816618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816618">
              <w:rPr>
                <w:rFonts w:ascii="Cambria" w:hAnsi="Cambria"/>
                <w:sz w:val="22"/>
                <w:szCs w:val="22"/>
              </w:rPr>
              <w:t>(текущи вземания + текущи инвестиции + парични средст-ва) / (текущи задължения)</w:t>
            </w:r>
          </w:p>
        </w:tc>
        <w:tc>
          <w:tcPr>
            <w:tcW w:w="1005" w:type="pct"/>
            <w:vAlign w:val="center"/>
          </w:tcPr>
          <w:p w:rsidR="000E26E8" w:rsidRPr="002A3D9C" w:rsidRDefault="00852BD4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2A3D9C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62.91</w:t>
            </w:r>
          </w:p>
        </w:tc>
        <w:tc>
          <w:tcPr>
            <w:tcW w:w="653" w:type="pct"/>
            <w:vAlign w:val="center"/>
          </w:tcPr>
          <w:p w:rsidR="000E26E8" w:rsidRPr="005E0F39" w:rsidRDefault="000E26E8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52,</w:t>
            </w:r>
            <w:r w:rsidRPr="005E0F39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84</w:t>
            </w:r>
          </w:p>
        </w:tc>
      </w:tr>
      <w:tr w:rsidR="000E26E8" w:rsidRPr="00FC7E9C" w:rsidTr="00597921">
        <w:trPr>
          <w:jc w:val="center"/>
        </w:trPr>
        <w:tc>
          <w:tcPr>
            <w:tcW w:w="1671" w:type="pct"/>
            <w:vAlign w:val="center"/>
          </w:tcPr>
          <w:p w:rsidR="000E26E8" w:rsidRPr="00816618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816618">
              <w:rPr>
                <w:rFonts w:ascii="Cambria" w:hAnsi="Cambria" w:cs="Arial"/>
                <w:sz w:val="22"/>
                <w:szCs w:val="22"/>
              </w:rPr>
              <w:t>Коефициент на абсо-лютна ликвидност</w:t>
            </w:r>
          </w:p>
        </w:tc>
        <w:tc>
          <w:tcPr>
            <w:tcW w:w="1671" w:type="pct"/>
            <w:vAlign w:val="center"/>
          </w:tcPr>
          <w:p w:rsidR="000E26E8" w:rsidRPr="00816618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816618">
              <w:rPr>
                <w:rFonts w:ascii="Cambria" w:hAnsi="Cambria"/>
                <w:sz w:val="22"/>
                <w:szCs w:val="22"/>
              </w:rPr>
              <w:t>парични средства /</w:t>
            </w:r>
          </w:p>
          <w:p w:rsidR="000E26E8" w:rsidRPr="00816618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816618">
              <w:rPr>
                <w:rFonts w:ascii="Cambria" w:hAnsi="Cambria"/>
                <w:sz w:val="22"/>
                <w:szCs w:val="22"/>
              </w:rPr>
              <w:t>текущи задължения</w:t>
            </w:r>
          </w:p>
        </w:tc>
        <w:tc>
          <w:tcPr>
            <w:tcW w:w="1005" w:type="pct"/>
            <w:vAlign w:val="center"/>
          </w:tcPr>
          <w:p w:rsidR="000E26E8" w:rsidRPr="002A3D9C" w:rsidRDefault="00852BD4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2A3D9C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42.60</w:t>
            </w:r>
          </w:p>
        </w:tc>
        <w:tc>
          <w:tcPr>
            <w:tcW w:w="653" w:type="pct"/>
            <w:vAlign w:val="center"/>
          </w:tcPr>
          <w:p w:rsidR="000E26E8" w:rsidRPr="005E0F39" w:rsidRDefault="000E26E8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43,95</w:t>
            </w:r>
          </w:p>
        </w:tc>
      </w:tr>
    </w:tbl>
    <w:p w:rsidR="006B1C0E" w:rsidRPr="00FC7E9C" w:rsidRDefault="006B1C0E" w:rsidP="00F60F1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F43493" w:rsidRDefault="00B952F9" w:rsidP="00F60F1C">
      <w:pPr>
        <w:spacing w:line="360" w:lineRule="auto"/>
        <w:ind w:firstLine="708"/>
        <w:jc w:val="both"/>
        <w:rPr>
          <w:rFonts w:ascii="Cambria" w:hAnsi="Cambria" w:cs="Arial"/>
          <w:sz w:val="22"/>
          <w:szCs w:val="22"/>
        </w:rPr>
      </w:pPr>
      <w:r w:rsidRPr="00FC7E9C">
        <w:rPr>
          <w:rFonts w:ascii="Cambria" w:hAnsi="Cambria" w:cs="Arial"/>
          <w:sz w:val="22"/>
          <w:szCs w:val="22"/>
        </w:rPr>
        <w:t>Коефициентите на рентабилност на приходите от продажби</w:t>
      </w:r>
      <w:r w:rsidR="009C28C0" w:rsidRPr="00FC7E9C">
        <w:rPr>
          <w:rFonts w:ascii="Cambria" w:hAnsi="Cambria" w:cs="Arial"/>
          <w:sz w:val="22"/>
          <w:szCs w:val="22"/>
        </w:rPr>
        <w:t xml:space="preserve"> </w:t>
      </w:r>
      <w:r w:rsidRPr="00FC7E9C">
        <w:rPr>
          <w:rFonts w:ascii="Cambria" w:hAnsi="Cambria" w:cs="Arial"/>
          <w:sz w:val="22"/>
          <w:szCs w:val="22"/>
        </w:rPr>
        <w:t>и на рентабилност на собствения капитал</w:t>
      </w:r>
      <w:r w:rsidR="009C28C0" w:rsidRPr="00FC7E9C">
        <w:rPr>
          <w:rFonts w:ascii="Cambria" w:hAnsi="Cambria" w:cs="Arial"/>
          <w:sz w:val="22"/>
          <w:szCs w:val="22"/>
        </w:rPr>
        <w:t>,</w:t>
      </w:r>
      <w:r w:rsidR="00F43493" w:rsidRPr="00FC7E9C">
        <w:rPr>
          <w:rFonts w:ascii="Cambria" w:hAnsi="Cambria" w:cs="Arial"/>
          <w:sz w:val="22"/>
          <w:szCs w:val="22"/>
        </w:rPr>
        <w:t xml:space="preserve"> са посочени в следващата таблица:</w:t>
      </w:r>
    </w:p>
    <w:p w:rsidR="00256DE2" w:rsidRPr="00FC7E9C" w:rsidRDefault="00256DE2" w:rsidP="00F60F1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41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8"/>
        <w:gridCol w:w="2528"/>
        <w:gridCol w:w="1520"/>
        <w:gridCol w:w="1026"/>
      </w:tblGrid>
      <w:tr w:rsidR="000E26E8" w:rsidRPr="00FC7E9C" w:rsidTr="00E41AB9">
        <w:trPr>
          <w:jc w:val="center"/>
        </w:trPr>
        <w:tc>
          <w:tcPr>
            <w:tcW w:w="1933" w:type="pct"/>
            <w:vAlign w:val="center"/>
          </w:tcPr>
          <w:p w:rsidR="000E26E8" w:rsidRPr="00FC7E9C" w:rsidRDefault="00100F07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Период</w:t>
            </w:r>
            <w:r w:rsidR="000E26E8" w:rsidRPr="00FC7E9C">
              <w:rPr>
                <w:rFonts w:ascii="Cambria" w:hAnsi="Cambria"/>
                <w:sz w:val="22"/>
                <w:szCs w:val="22"/>
              </w:rPr>
              <w:t>/ коефициент</w:t>
            </w:r>
          </w:p>
        </w:tc>
        <w:tc>
          <w:tcPr>
            <w:tcW w:w="1528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Формула</w:t>
            </w:r>
          </w:p>
        </w:tc>
        <w:tc>
          <w:tcPr>
            <w:tcW w:w="919" w:type="pct"/>
          </w:tcPr>
          <w:p w:rsidR="000E26E8" w:rsidRDefault="00A14B57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30.06.2013 г.</w:t>
            </w:r>
          </w:p>
        </w:tc>
        <w:tc>
          <w:tcPr>
            <w:tcW w:w="620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2012 г.</w:t>
            </w:r>
          </w:p>
        </w:tc>
      </w:tr>
      <w:tr w:rsidR="001E211A" w:rsidRPr="005E0F39" w:rsidTr="00597921">
        <w:trPr>
          <w:jc w:val="center"/>
        </w:trPr>
        <w:tc>
          <w:tcPr>
            <w:tcW w:w="1933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 w:cs="Arial"/>
                <w:sz w:val="22"/>
                <w:szCs w:val="22"/>
              </w:rPr>
              <w:t>Коефициент на рентабилност на приходите от продажби (%)</w:t>
            </w:r>
          </w:p>
        </w:tc>
        <w:tc>
          <w:tcPr>
            <w:tcW w:w="1528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Финансов резултат / нетен размер на при</w:t>
            </w:r>
            <w:r>
              <w:rPr>
                <w:rFonts w:ascii="Cambria" w:hAnsi="Cambria"/>
                <w:sz w:val="22"/>
                <w:szCs w:val="22"/>
              </w:rPr>
              <w:t>-</w:t>
            </w:r>
            <w:r w:rsidRPr="00FC7E9C">
              <w:rPr>
                <w:rFonts w:ascii="Cambria" w:hAnsi="Cambria"/>
                <w:sz w:val="22"/>
                <w:szCs w:val="22"/>
              </w:rPr>
              <w:t>ходите от продажби</w:t>
            </w:r>
          </w:p>
        </w:tc>
        <w:tc>
          <w:tcPr>
            <w:tcW w:w="919" w:type="pct"/>
            <w:vAlign w:val="center"/>
          </w:tcPr>
          <w:p w:rsidR="000E26E8" w:rsidRPr="005E0F39" w:rsidRDefault="00597921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32,83</w:t>
            </w:r>
          </w:p>
        </w:tc>
        <w:tc>
          <w:tcPr>
            <w:tcW w:w="620" w:type="pct"/>
            <w:vAlign w:val="center"/>
          </w:tcPr>
          <w:p w:rsidR="000E26E8" w:rsidRPr="005E0F39" w:rsidRDefault="000E26E8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37,74</w:t>
            </w:r>
          </w:p>
        </w:tc>
      </w:tr>
      <w:tr w:rsidR="001E211A" w:rsidRPr="005E0F39" w:rsidTr="000D0BFF">
        <w:trPr>
          <w:jc w:val="center"/>
        </w:trPr>
        <w:tc>
          <w:tcPr>
            <w:tcW w:w="1933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 w:cs="Arial"/>
                <w:sz w:val="22"/>
                <w:szCs w:val="22"/>
              </w:rPr>
              <w:t>Коефициент на рентабилност на собствения капитал (%)</w:t>
            </w:r>
          </w:p>
        </w:tc>
        <w:tc>
          <w:tcPr>
            <w:tcW w:w="1528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Счетоводна печалба/</w:t>
            </w:r>
          </w:p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Собствен капитал</w:t>
            </w:r>
          </w:p>
        </w:tc>
        <w:tc>
          <w:tcPr>
            <w:tcW w:w="919" w:type="pct"/>
            <w:vAlign w:val="center"/>
          </w:tcPr>
          <w:p w:rsidR="000E26E8" w:rsidRPr="005E0F39" w:rsidRDefault="000D0BFF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1,73</w:t>
            </w:r>
          </w:p>
        </w:tc>
        <w:tc>
          <w:tcPr>
            <w:tcW w:w="620" w:type="pct"/>
            <w:vAlign w:val="center"/>
          </w:tcPr>
          <w:p w:rsidR="000E26E8" w:rsidRPr="005E0F39" w:rsidRDefault="000E26E8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  <w:lang w:val="en-US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4,1</w:t>
            </w:r>
            <w:r w:rsidRPr="005E0F39">
              <w:rPr>
                <w:rFonts w:ascii="Cambria" w:hAnsi="Cambria"/>
                <w:color w:val="000000"/>
                <w:sz w:val="22"/>
                <w:szCs w:val="22"/>
                <w:lang w:val="en-US"/>
              </w:rPr>
              <w:t>8</w:t>
            </w:r>
          </w:p>
        </w:tc>
      </w:tr>
    </w:tbl>
    <w:p w:rsidR="006B1C0E" w:rsidRPr="00FC7E9C" w:rsidRDefault="006B1C0E" w:rsidP="00F60F1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9C28C0" w:rsidRPr="00FC7E9C" w:rsidRDefault="00FC62A5" w:rsidP="00F60F1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C7E9C">
        <w:rPr>
          <w:rFonts w:ascii="Cambria" w:hAnsi="Cambria" w:cs="Arial"/>
          <w:sz w:val="22"/>
          <w:szCs w:val="22"/>
        </w:rPr>
        <w:lastRenderedPageBreak/>
        <w:tab/>
      </w:r>
      <w:r w:rsidR="00866FDB">
        <w:rPr>
          <w:rFonts w:ascii="Cambria" w:hAnsi="Cambria"/>
          <w:sz w:val="22"/>
          <w:szCs w:val="22"/>
        </w:rPr>
        <w:t>С</w:t>
      </w:r>
      <w:r w:rsidR="00EA5826" w:rsidRPr="000D52EE">
        <w:rPr>
          <w:rFonts w:ascii="Cambria" w:hAnsi="Cambria"/>
          <w:sz w:val="22"/>
          <w:szCs w:val="22"/>
        </w:rPr>
        <w:t>тойности</w:t>
      </w:r>
      <w:r w:rsidR="00866FDB">
        <w:rPr>
          <w:rFonts w:ascii="Cambria" w:hAnsi="Cambria"/>
          <w:sz w:val="22"/>
          <w:szCs w:val="22"/>
        </w:rPr>
        <w:t>те</w:t>
      </w:r>
      <w:r w:rsidR="00EA5826" w:rsidRPr="000D52EE">
        <w:rPr>
          <w:rFonts w:ascii="Cambria" w:hAnsi="Cambria"/>
          <w:sz w:val="22"/>
          <w:szCs w:val="22"/>
        </w:rPr>
        <w:t xml:space="preserve"> на коефициента на ефективност на разходите и на маржа на оперативната печ</w:t>
      </w:r>
      <w:r w:rsidR="00866FDB">
        <w:rPr>
          <w:rFonts w:ascii="Cambria" w:hAnsi="Cambria"/>
          <w:sz w:val="22"/>
          <w:szCs w:val="22"/>
        </w:rPr>
        <w:t>алба</w:t>
      </w:r>
      <w:r w:rsidR="00D569CA" w:rsidRPr="000D52EE">
        <w:rPr>
          <w:rFonts w:ascii="Cambria" w:hAnsi="Cambria" w:cs="Arial"/>
          <w:sz w:val="22"/>
          <w:szCs w:val="22"/>
        </w:rPr>
        <w:t xml:space="preserve"> </w:t>
      </w:r>
      <w:r w:rsidR="009C28C0" w:rsidRPr="000D52EE">
        <w:rPr>
          <w:rFonts w:ascii="Cambria" w:hAnsi="Cambria" w:cs="Arial"/>
          <w:sz w:val="22"/>
          <w:szCs w:val="22"/>
        </w:rPr>
        <w:t>са посочени в следващата таблица:</w:t>
      </w:r>
    </w:p>
    <w:p w:rsidR="00EA5826" w:rsidRPr="00FC7E9C" w:rsidRDefault="00EA5826" w:rsidP="00F60F1C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</w:p>
    <w:tbl>
      <w:tblPr>
        <w:tblW w:w="41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1"/>
        <w:gridCol w:w="2931"/>
        <w:gridCol w:w="1596"/>
        <w:gridCol w:w="1025"/>
      </w:tblGrid>
      <w:tr w:rsidR="000E26E8" w:rsidRPr="00FC7E9C" w:rsidTr="00E41AB9">
        <w:trPr>
          <w:jc w:val="center"/>
        </w:trPr>
        <w:tc>
          <w:tcPr>
            <w:tcW w:w="1566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Период/ коефициент</w:t>
            </w:r>
          </w:p>
        </w:tc>
        <w:tc>
          <w:tcPr>
            <w:tcW w:w="1813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формула</w:t>
            </w:r>
          </w:p>
        </w:tc>
        <w:tc>
          <w:tcPr>
            <w:tcW w:w="987" w:type="pct"/>
          </w:tcPr>
          <w:p w:rsidR="000E26E8" w:rsidRDefault="00A14B57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30.06.2013 г.</w:t>
            </w:r>
          </w:p>
        </w:tc>
        <w:tc>
          <w:tcPr>
            <w:tcW w:w="634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2012 г.</w:t>
            </w:r>
          </w:p>
        </w:tc>
      </w:tr>
      <w:tr w:rsidR="000E26E8" w:rsidRPr="00FC7E9C" w:rsidTr="00F848BC">
        <w:trPr>
          <w:jc w:val="center"/>
        </w:trPr>
        <w:tc>
          <w:tcPr>
            <w:tcW w:w="1566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 w:cs="Arial"/>
                <w:sz w:val="22"/>
                <w:szCs w:val="22"/>
              </w:rPr>
              <w:t>Коефициент на разходите</w:t>
            </w:r>
          </w:p>
        </w:tc>
        <w:tc>
          <w:tcPr>
            <w:tcW w:w="1813" w:type="pct"/>
            <w:vAlign w:val="center"/>
          </w:tcPr>
          <w:p w:rsidR="000E26E8" w:rsidRPr="00FC7E9C" w:rsidRDefault="000E26E8" w:rsidP="00F60F1C">
            <w:pPr>
              <w:spacing w:line="276" w:lineRule="auto"/>
              <w:ind w:firstLine="34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Приходи / Разходи</w:t>
            </w:r>
          </w:p>
        </w:tc>
        <w:tc>
          <w:tcPr>
            <w:tcW w:w="987" w:type="pct"/>
            <w:vAlign w:val="center"/>
          </w:tcPr>
          <w:p w:rsidR="000E26E8" w:rsidRPr="005E0F39" w:rsidRDefault="00F848BC" w:rsidP="00F60F1C">
            <w:pPr>
              <w:spacing w:line="276" w:lineRule="auto"/>
              <w:ind w:firstLine="34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1,48</w:t>
            </w:r>
          </w:p>
        </w:tc>
        <w:tc>
          <w:tcPr>
            <w:tcW w:w="634" w:type="pct"/>
            <w:vAlign w:val="center"/>
          </w:tcPr>
          <w:p w:rsidR="000E26E8" w:rsidRPr="005E0F39" w:rsidRDefault="000E26E8" w:rsidP="00F60F1C">
            <w:pPr>
              <w:spacing w:line="276" w:lineRule="auto"/>
              <w:ind w:firstLine="34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1,57</w:t>
            </w:r>
          </w:p>
        </w:tc>
      </w:tr>
      <w:tr w:rsidR="000E26E8" w:rsidRPr="00FC7E9C" w:rsidTr="00E21F0C">
        <w:trPr>
          <w:jc w:val="center"/>
        </w:trPr>
        <w:tc>
          <w:tcPr>
            <w:tcW w:w="1566" w:type="pct"/>
            <w:vAlign w:val="center"/>
          </w:tcPr>
          <w:p w:rsidR="000E26E8" w:rsidRPr="00FC7E9C" w:rsidRDefault="000E26E8" w:rsidP="00F60F1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 w:cs="Arial"/>
                <w:sz w:val="22"/>
                <w:szCs w:val="22"/>
              </w:rPr>
              <w:t>Марж на оперативната печалба (%)</w:t>
            </w:r>
          </w:p>
        </w:tc>
        <w:tc>
          <w:tcPr>
            <w:tcW w:w="1813" w:type="pct"/>
            <w:vAlign w:val="center"/>
          </w:tcPr>
          <w:p w:rsidR="000E26E8" w:rsidRPr="00FC7E9C" w:rsidRDefault="000E26E8" w:rsidP="00F60F1C">
            <w:pPr>
              <w:spacing w:line="276" w:lineRule="auto"/>
              <w:ind w:firstLine="34"/>
              <w:jc w:val="center"/>
              <w:rPr>
                <w:rFonts w:ascii="Cambria" w:hAnsi="Cambria"/>
                <w:sz w:val="22"/>
                <w:szCs w:val="22"/>
              </w:rPr>
            </w:pPr>
            <w:r w:rsidRPr="00FC7E9C">
              <w:rPr>
                <w:rFonts w:ascii="Cambria" w:hAnsi="Cambria"/>
                <w:sz w:val="22"/>
                <w:szCs w:val="22"/>
              </w:rPr>
              <w:t>Печалба от оперативната дейност / Приходи от оперативната дейност</w:t>
            </w:r>
          </w:p>
        </w:tc>
        <w:tc>
          <w:tcPr>
            <w:tcW w:w="987" w:type="pct"/>
            <w:vAlign w:val="center"/>
          </w:tcPr>
          <w:p w:rsidR="000E26E8" w:rsidRPr="005E0F39" w:rsidRDefault="00E21F0C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35,09</w:t>
            </w:r>
          </w:p>
        </w:tc>
        <w:tc>
          <w:tcPr>
            <w:tcW w:w="634" w:type="pct"/>
            <w:vAlign w:val="center"/>
          </w:tcPr>
          <w:p w:rsidR="000E26E8" w:rsidRPr="005E0F39" w:rsidRDefault="000E26E8" w:rsidP="00F60F1C">
            <w:pPr>
              <w:spacing w:line="276" w:lineRule="auto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5E0F39">
              <w:rPr>
                <w:rFonts w:ascii="Cambria" w:hAnsi="Cambria"/>
                <w:color w:val="000000"/>
                <w:sz w:val="22"/>
                <w:szCs w:val="22"/>
              </w:rPr>
              <w:t>39,21</w:t>
            </w:r>
          </w:p>
        </w:tc>
      </w:tr>
    </w:tbl>
    <w:p w:rsidR="006B1C0E" w:rsidRPr="00FC7E9C" w:rsidRDefault="006B1C0E" w:rsidP="00F60F1C">
      <w:pPr>
        <w:spacing w:line="360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p w:rsidR="001B1ED3" w:rsidRPr="00FC7E9C" w:rsidRDefault="00DD4F71" w:rsidP="00F60F1C">
      <w:pPr>
        <w:pStyle w:val="BodyText"/>
        <w:tabs>
          <w:tab w:val="left" w:pos="357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ab/>
      </w:r>
      <w:r w:rsidR="001B1ED3" w:rsidRPr="00FC7E9C">
        <w:rPr>
          <w:rFonts w:ascii="Cambria" w:hAnsi="Cambria"/>
          <w:sz w:val="22"/>
          <w:szCs w:val="22"/>
        </w:rPr>
        <w:t>В хода на обичайната си дейност дружеството може да бъде изложено на различни финансови рискове, най-важните, от които са: пазарен (включващ валутен риск, риск от промяна на справедливата стойност и ценови риск), кредитен риск, ликвиден риск и риск на лихвено-обвързани парични потоци. Финансовите рискове текущо се идентифицират, измерват и наблюдават с помощта на различни контролни механизми, за да се определят адекватни цени на услугите, предоставяни от дружеството, цената на привлечените заеми и да се оценят адекватно формите на поддържане на свободните ликвидни средства, без да се допуска неоправдана концентрация на даден риск.</w:t>
      </w:r>
    </w:p>
    <w:p w:rsidR="001B1ED3" w:rsidRPr="00FC7E9C" w:rsidRDefault="001B1ED3" w:rsidP="00F60F1C">
      <w:pPr>
        <w:pStyle w:val="BodyText"/>
        <w:tabs>
          <w:tab w:val="left" w:pos="426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ab/>
        <w:t xml:space="preserve">По-долу са описани различните видове рискове, на които е изложено дружеството при осъществяване на търговските </w:t>
      </w:r>
      <w:r w:rsidR="00B305DB" w:rsidRPr="00FC7E9C">
        <w:rPr>
          <w:rFonts w:ascii="Cambria" w:hAnsi="Cambria"/>
          <w:sz w:val="22"/>
          <w:szCs w:val="22"/>
        </w:rPr>
        <w:t>си</w:t>
      </w:r>
      <w:r w:rsidRPr="00FC7E9C">
        <w:rPr>
          <w:rFonts w:ascii="Cambria" w:hAnsi="Cambria"/>
          <w:sz w:val="22"/>
          <w:szCs w:val="22"/>
        </w:rPr>
        <w:t xml:space="preserve"> операции, както и възприетият подход при управлението на тези рискове.</w:t>
      </w:r>
    </w:p>
    <w:p w:rsidR="001B1ED3" w:rsidRPr="00FC7E9C" w:rsidRDefault="001B1ED3" w:rsidP="00F60F1C">
      <w:pPr>
        <w:pStyle w:val="BodyText"/>
        <w:tabs>
          <w:tab w:val="left" w:pos="426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ab/>
        <w:t>Валутен риск</w:t>
      </w:r>
    </w:p>
    <w:p w:rsidR="001B1ED3" w:rsidRDefault="001B1ED3" w:rsidP="00F60F1C">
      <w:pPr>
        <w:pStyle w:val="BodyText"/>
        <w:tabs>
          <w:tab w:val="left" w:pos="426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ab/>
        <w:t>Дружеството не е изложено на значителен валутен риск, тъй като преобладаващата част от сделките на дружеството се договарят, извършват и отчитат в евро.</w:t>
      </w:r>
    </w:p>
    <w:p w:rsidR="001B1ED3" w:rsidRPr="00FC7E9C" w:rsidRDefault="00DD4F71" w:rsidP="00F60F1C">
      <w:pPr>
        <w:pStyle w:val="BodyText"/>
        <w:tabs>
          <w:tab w:val="left" w:pos="426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ab/>
      </w:r>
      <w:r w:rsidR="001B1ED3" w:rsidRPr="00FC7E9C">
        <w:rPr>
          <w:rFonts w:ascii="Cambria" w:hAnsi="Cambria"/>
          <w:b/>
          <w:sz w:val="22"/>
          <w:szCs w:val="22"/>
        </w:rPr>
        <w:t>Ценови риск</w:t>
      </w:r>
    </w:p>
    <w:p w:rsidR="001B1ED3" w:rsidRPr="00FC7E9C" w:rsidRDefault="001B1ED3" w:rsidP="00F60F1C">
      <w:pPr>
        <w:pStyle w:val="BodyText"/>
        <w:tabs>
          <w:tab w:val="left" w:pos="426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ab/>
        <w:t>Дружеството не е изложено на пряк ценови риск, защото неговите приходи се ценообразуват на основата на пазарни цени за извършваните услуги, които се актуализират регулярно.</w:t>
      </w:r>
    </w:p>
    <w:p w:rsidR="001B1ED3" w:rsidRPr="00FC7E9C" w:rsidRDefault="00DD4F71" w:rsidP="00F60F1C">
      <w:pPr>
        <w:pStyle w:val="BodyText"/>
        <w:tabs>
          <w:tab w:val="left" w:pos="426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ab/>
      </w:r>
      <w:r w:rsidR="001B1ED3" w:rsidRPr="00FC7E9C">
        <w:rPr>
          <w:rFonts w:ascii="Cambria" w:hAnsi="Cambria"/>
          <w:b/>
          <w:sz w:val="22"/>
          <w:szCs w:val="22"/>
        </w:rPr>
        <w:t>Кредитен риск</w:t>
      </w:r>
    </w:p>
    <w:p w:rsidR="001B1ED3" w:rsidRPr="00FC7E9C" w:rsidRDefault="001B1ED3" w:rsidP="00F60F1C">
      <w:pPr>
        <w:pStyle w:val="BodyText"/>
        <w:tabs>
          <w:tab w:val="left" w:pos="426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ab/>
        <w:t xml:space="preserve">При осъществяване на своята дейност дружеството е изложено на кредитен риск, който е свързан с възможността някой от контрагентите му да не бъде в състояние да изпълни изцяло и в обичайно предвидените срокове задълженията си към него. Финансовите активи на дружеството са концентрирани в две групи: парични средства и вземания. Паричните средства в дружеството и разплащателните операции са съсредоточени в търговски банки със стабилна ликвидност, което ограничава риска относно паричните средства и паричните еквиваленти. </w:t>
      </w:r>
      <w:r w:rsidRPr="00FC7E9C">
        <w:rPr>
          <w:rFonts w:ascii="Cambria" w:hAnsi="Cambria"/>
          <w:sz w:val="22"/>
          <w:szCs w:val="22"/>
        </w:rPr>
        <w:lastRenderedPageBreak/>
        <w:t>Събираемостта и концентрацията на вземанията се контролира текущо и стриктно, съгласно установената политика на дружеството.</w:t>
      </w:r>
    </w:p>
    <w:p w:rsidR="001B1ED3" w:rsidRPr="00FC7E9C" w:rsidRDefault="00DD4F71" w:rsidP="00F60F1C">
      <w:pPr>
        <w:pStyle w:val="BodyText"/>
        <w:tabs>
          <w:tab w:val="left" w:pos="426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FC7E9C">
        <w:rPr>
          <w:rFonts w:ascii="Cambria" w:hAnsi="Cambria"/>
          <w:b/>
          <w:sz w:val="22"/>
          <w:szCs w:val="22"/>
        </w:rPr>
        <w:tab/>
      </w:r>
      <w:r w:rsidR="001B1ED3" w:rsidRPr="00FC7E9C">
        <w:rPr>
          <w:rFonts w:ascii="Cambria" w:hAnsi="Cambria"/>
          <w:b/>
          <w:sz w:val="22"/>
          <w:szCs w:val="22"/>
        </w:rPr>
        <w:t>Ликвиден риск</w:t>
      </w:r>
    </w:p>
    <w:p w:rsidR="001B1ED3" w:rsidRPr="00FC7E9C" w:rsidRDefault="001B1ED3" w:rsidP="00F60F1C">
      <w:pPr>
        <w:tabs>
          <w:tab w:val="left" w:pos="426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ab/>
        <w:t>Ликвидният риск се изразява в негативната ситуация дружеството да не бъде в състояние да посрещне безусловно всички свои задължения съгласно техния падеж. То провежда консервативна политика по управление на ликвидността, чрез която постоянно поддържа оптимален ликвиден запас парични средства и добра способност за финансиране на стопанската си дейност.</w:t>
      </w:r>
    </w:p>
    <w:p w:rsidR="006B1C0E" w:rsidRPr="00FC7E9C" w:rsidRDefault="00EC17DE" w:rsidP="00F60F1C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 xml:space="preserve">Предвид </w:t>
      </w:r>
      <w:r w:rsidR="00A22C31" w:rsidRPr="00FC7E9C">
        <w:rPr>
          <w:rFonts w:ascii="Cambria" w:hAnsi="Cambria"/>
          <w:sz w:val="22"/>
          <w:szCs w:val="22"/>
        </w:rPr>
        <w:t>обстоятелството, че финансовата криза засегна най-силно пазара на недвижими имоти в страна</w:t>
      </w:r>
      <w:r w:rsidR="006879D7" w:rsidRPr="00FC7E9C">
        <w:rPr>
          <w:rFonts w:ascii="Cambria" w:hAnsi="Cambria"/>
          <w:sz w:val="22"/>
          <w:szCs w:val="22"/>
        </w:rPr>
        <w:t>та</w:t>
      </w:r>
      <w:r w:rsidR="00A22C31" w:rsidRPr="00FC7E9C">
        <w:rPr>
          <w:rFonts w:ascii="Cambria" w:hAnsi="Cambria"/>
          <w:sz w:val="22"/>
          <w:szCs w:val="22"/>
        </w:rPr>
        <w:t xml:space="preserve">, „АДИС” ЕООД разработи стратегия за подобряване на своите пазарни позиции. </w:t>
      </w:r>
    </w:p>
    <w:p w:rsidR="007F0E27" w:rsidRPr="00FC7E9C" w:rsidRDefault="007F0E27" w:rsidP="00F60F1C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Основен проблем при реализиране</w:t>
      </w:r>
      <w:r w:rsidR="001B1ED3" w:rsidRPr="00FC7E9C">
        <w:rPr>
          <w:rFonts w:ascii="Cambria" w:hAnsi="Cambria"/>
          <w:sz w:val="22"/>
          <w:szCs w:val="22"/>
        </w:rPr>
        <w:t>то на сделките</w:t>
      </w:r>
      <w:r w:rsidRPr="00FC7E9C">
        <w:rPr>
          <w:rFonts w:ascii="Cambria" w:hAnsi="Cambria"/>
          <w:sz w:val="22"/>
          <w:szCs w:val="22"/>
        </w:rPr>
        <w:t xml:space="preserve"> е усложнената процедура за отдаване под наем на активи, собственост на </w:t>
      </w:r>
      <w:r w:rsidR="00EF1A52" w:rsidRPr="00FC7E9C">
        <w:rPr>
          <w:rFonts w:ascii="Cambria" w:hAnsi="Cambria"/>
          <w:sz w:val="22"/>
          <w:szCs w:val="22"/>
        </w:rPr>
        <w:t>дружество</w:t>
      </w:r>
      <w:r w:rsidRPr="00FC7E9C">
        <w:rPr>
          <w:rFonts w:ascii="Cambria" w:hAnsi="Cambria"/>
          <w:sz w:val="22"/>
          <w:szCs w:val="22"/>
        </w:rPr>
        <w:t>то. Същата е регламентирана в</w:t>
      </w:r>
      <w:r w:rsidR="00C466EF" w:rsidRPr="00FC7E9C">
        <w:rPr>
          <w:rFonts w:ascii="Cambria" w:hAnsi="Cambria"/>
          <w:sz w:val="22"/>
          <w:szCs w:val="22"/>
        </w:rPr>
        <w:t xml:space="preserve"> </w:t>
      </w:r>
      <w:r w:rsidRPr="00FC7E9C">
        <w:rPr>
          <w:rFonts w:ascii="Cambria" w:hAnsi="Cambria"/>
          <w:sz w:val="22"/>
          <w:szCs w:val="22"/>
        </w:rPr>
        <w:t xml:space="preserve">чл. </w:t>
      </w:r>
      <w:r w:rsidR="00182AD7" w:rsidRPr="00FC7E9C">
        <w:rPr>
          <w:rFonts w:ascii="Cambria" w:hAnsi="Cambria"/>
          <w:sz w:val="22"/>
          <w:szCs w:val="22"/>
        </w:rPr>
        <w:t xml:space="preserve">14 </w:t>
      </w:r>
      <w:r w:rsidRPr="00FC7E9C">
        <w:rPr>
          <w:rFonts w:ascii="Cambria" w:hAnsi="Cambria"/>
          <w:sz w:val="22"/>
          <w:szCs w:val="22"/>
        </w:rPr>
        <w:t xml:space="preserve">от </w:t>
      </w:r>
      <w:r w:rsidR="00182AD7" w:rsidRPr="00FC7E9C">
        <w:rPr>
          <w:rFonts w:ascii="Cambria" w:hAnsi="Cambria"/>
          <w:sz w:val="22"/>
          <w:szCs w:val="22"/>
        </w:rPr>
        <w:t>ПРУПДТДДУК.</w:t>
      </w:r>
      <w:r w:rsidRPr="00FC7E9C">
        <w:rPr>
          <w:rFonts w:ascii="Cambria" w:hAnsi="Cambria"/>
          <w:sz w:val="22"/>
          <w:szCs w:val="22"/>
        </w:rPr>
        <w:t xml:space="preserve"> Времетраенето на процедурата е над </w:t>
      </w:r>
      <w:r w:rsidR="00182AD7" w:rsidRPr="00FC7E9C">
        <w:rPr>
          <w:rFonts w:ascii="Cambria" w:hAnsi="Cambria"/>
          <w:sz w:val="22"/>
          <w:szCs w:val="22"/>
        </w:rPr>
        <w:t>30</w:t>
      </w:r>
      <w:r w:rsidRPr="00FC7E9C">
        <w:rPr>
          <w:rFonts w:ascii="Cambria" w:hAnsi="Cambria"/>
          <w:sz w:val="22"/>
          <w:szCs w:val="22"/>
        </w:rPr>
        <w:t xml:space="preserve"> дни.</w:t>
      </w:r>
    </w:p>
    <w:p w:rsidR="00C108C0" w:rsidRPr="00EA7AC7" w:rsidRDefault="007F0E27" w:rsidP="00F60F1C">
      <w:pPr>
        <w:spacing w:line="360" w:lineRule="auto"/>
        <w:jc w:val="both"/>
        <w:rPr>
          <w:rFonts w:ascii="Cambria" w:hAnsi="Cambria"/>
          <w:sz w:val="22"/>
          <w:szCs w:val="22"/>
          <w:lang w:val="en-US"/>
        </w:rPr>
      </w:pPr>
      <w:r w:rsidRPr="00FC7E9C">
        <w:rPr>
          <w:rFonts w:ascii="Cambria" w:hAnsi="Cambria"/>
          <w:sz w:val="22"/>
          <w:szCs w:val="22"/>
        </w:rPr>
        <w:tab/>
      </w:r>
      <w:r w:rsidR="00182AD7" w:rsidRPr="00FC7E9C">
        <w:rPr>
          <w:rFonts w:ascii="Cambria" w:hAnsi="Cambria"/>
          <w:sz w:val="22"/>
          <w:szCs w:val="22"/>
        </w:rPr>
        <w:t>Законът ни ограничава да бъдем гъвкави и приспособими към пазарните условия, тъй като процедурата е строго</w:t>
      </w:r>
      <w:r w:rsidR="00C108C0" w:rsidRPr="00FC7E9C">
        <w:rPr>
          <w:rFonts w:ascii="Cambria" w:hAnsi="Cambria"/>
          <w:sz w:val="22"/>
          <w:szCs w:val="22"/>
        </w:rPr>
        <w:t xml:space="preserve"> формална, минималната цена е фиксирана и вероятността от съдебно обжалване на процедурите ни </w:t>
      </w:r>
      <w:r w:rsidR="00EA7AC7">
        <w:rPr>
          <w:rFonts w:ascii="Cambria" w:hAnsi="Cambria"/>
          <w:sz w:val="22"/>
          <w:szCs w:val="22"/>
        </w:rPr>
        <w:t>правят неконкурентни на пазара</w:t>
      </w:r>
      <w:r w:rsidR="00EA7AC7">
        <w:rPr>
          <w:rFonts w:ascii="Cambria" w:hAnsi="Cambria"/>
          <w:sz w:val="22"/>
          <w:szCs w:val="22"/>
          <w:lang w:val="en-US"/>
        </w:rPr>
        <w:t xml:space="preserve">, </w:t>
      </w:r>
      <w:r w:rsidR="00EA7AC7" w:rsidRPr="00EA7AC7">
        <w:rPr>
          <w:rFonts w:ascii="Cambria" w:hAnsi="Cambria"/>
          <w:sz w:val="22"/>
          <w:szCs w:val="22"/>
        </w:rPr>
        <w:t>д</w:t>
      </w:r>
      <w:r w:rsidR="00C108C0" w:rsidRPr="00EA7AC7">
        <w:rPr>
          <w:rFonts w:ascii="Cambria" w:hAnsi="Cambria"/>
          <w:sz w:val="22"/>
          <w:szCs w:val="22"/>
        </w:rPr>
        <w:t>окато конкуренцията на свободния пазар може да договаря цените в момента на сключване на сделката и частните собственици са склонни на големи отстъпки.</w:t>
      </w:r>
      <w:r w:rsidR="00C108C0" w:rsidRPr="00FC7E9C">
        <w:rPr>
          <w:rFonts w:ascii="Cambria" w:hAnsi="Cambria"/>
          <w:sz w:val="22"/>
          <w:szCs w:val="22"/>
        </w:rPr>
        <w:t xml:space="preserve"> Много от потенциалните ни клиенти (най-вече чуждестранни лица) желаят в най-кратки срокове да наемат имот, но поради дългата процедура, АДИС ЕООД не би могло да покрие техните очаквания.</w:t>
      </w:r>
    </w:p>
    <w:p w:rsidR="007F0E27" w:rsidRPr="00FC7E9C" w:rsidRDefault="00D44DA0" w:rsidP="00F60F1C">
      <w:pPr>
        <w:spacing w:line="360" w:lineRule="auto"/>
        <w:ind w:firstLine="708"/>
        <w:jc w:val="both"/>
        <w:rPr>
          <w:rFonts w:ascii="Cambria" w:hAnsi="Cambria" w:cs="HENNIM+Arial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С</w:t>
      </w:r>
      <w:r w:rsidR="007F0E27" w:rsidRPr="00FC7E9C">
        <w:rPr>
          <w:rFonts w:ascii="Cambria" w:hAnsi="Cambria"/>
          <w:sz w:val="22"/>
          <w:szCs w:val="22"/>
        </w:rPr>
        <w:t xml:space="preserve"> цел</w:t>
      </w:r>
      <w:r w:rsidR="00C466EF" w:rsidRPr="00FC7E9C">
        <w:rPr>
          <w:rFonts w:ascii="Cambria" w:hAnsi="Cambria"/>
          <w:sz w:val="22"/>
          <w:szCs w:val="22"/>
        </w:rPr>
        <w:t xml:space="preserve"> </w:t>
      </w:r>
      <w:r w:rsidR="007F0E27" w:rsidRPr="00FC7E9C">
        <w:rPr>
          <w:rFonts w:ascii="Cambria" w:hAnsi="Cambria"/>
          <w:sz w:val="22"/>
          <w:szCs w:val="22"/>
        </w:rPr>
        <w:t>запазване на пазарния сегмент и завоюване на нови клиенти,</w:t>
      </w:r>
      <w:r w:rsidR="00C466EF" w:rsidRPr="00FC7E9C">
        <w:rPr>
          <w:rFonts w:ascii="Cambria" w:hAnsi="Cambria"/>
          <w:sz w:val="22"/>
          <w:szCs w:val="22"/>
        </w:rPr>
        <w:t xml:space="preserve"> </w:t>
      </w:r>
      <w:r w:rsidR="007F0E27" w:rsidRPr="00FC7E9C">
        <w:rPr>
          <w:rFonts w:ascii="Cambria" w:hAnsi="Cambria"/>
          <w:sz w:val="22"/>
          <w:szCs w:val="22"/>
        </w:rPr>
        <w:t xml:space="preserve">„АДИС” ЕООД разработи стратегия за подобряване на своите пазарни позиции. На базата на анализ на състоянието на пазара на луксозни недвижими имоти и оценка на силните и слаби страни на бизнеса на </w:t>
      </w:r>
      <w:r w:rsidR="00EF1A52" w:rsidRPr="00FC7E9C">
        <w:rPr>
          <w:rFonts w:ascii="Cambria" w:hAnsi="Cambria"/>
          <w:sz w:val="22"/>
          <w:szCs w:val="22"/>
        </w:rPr>
        <w:t>дружество</w:t>
      </w:r>
      <w:r w:rsidR="007F0E27" w:rsidRPr="00FC7E9C">
        <w:rPr>
          <w:rFonts w:ascii="Cambria" w:hAnsi="Cambria"/>
          <w:sz w:val="22"/>
          <w:szCs w:val="22"/>
        </w:rPr>
        <w:t>то са направени конкретни предложения и предприети действия за запазване на пазарните позиции чрез различни маркетингови инструменти</w:t>
      </w:r>
      <w:r w:rsidR="007F0E27" w:rsidRPr="00FC7E9C">
        <w:rPr>
          <w:rFonts w:ascii="Cambria" w:hAnsi="Cambria" w:cs="HENNIM+Arial"/>
          <w:sz w:val="22"/>
          <w:szCs w:val="22"/>
        </w:rPr>
        <w:t>.</w:t>
      </w:r>
    </w:p>
    <w:p w:rsidR="00202A18" w:rsidRPr="00FC7E9C" w:rsidRDefault="00202A18" w:rsidP="00F60F1C">
      <w:pPr>
        <w:spacing w:line="360" w:lineRule="auto"/>
        <w:ind w:firstLine="708"/>
        <w:jc w:val="both"/>
        <w:rPr>
          <w:rFonts w:ascii="Cambria" w:hAnsi="Cambria" w:cs="Gautami"/>
          <w:sz w:val="22"/>
          <w:szCs w:val="22"/>
        </w:rPr>
      </w:pPr>
      <w:r w:rsidRPr="00FC7E9C">
        <w:rPr>
          <w:rFonts w:ascii="Cambria" w:hAnsi="Cambria"/>
          <w:sz w:val="22"/>
          <w:szCs w:val="22"/>
        </w:rPr>
        <w:t>Ръководството</w:t>
      </w:r>
      <w:r w:rsidRPr="00FC7E9C">
        <w:rPr>
          <w:rFonts w:ascii="Cambria" w:hAnsi="Cambria" w:cs="Gautami"/>
          <w:sz w:val="22"/>
          <w:szCs w:val="22"/>
        </w:rPr>
        <w:t xml:space="preserve"> на “АДИС” ЕООД счита, че ще продължи и за в бъдеще успешно да осигурява необходимите за продължаване на дейността му финансови средства, както от съществуващите към датата на баланса източници така и от нови такива, включително от неговия едноличен собственик. Считаме</w:t>
      </w:r>
      <w:r w:rsidR="00D44DA0" w:rsidRPr="00FC7E9C">
        <w:rPr>
          <w:rFonts w:ascii="Cambria" w:hAnsi="Cambria" w:cs="Gautami"/>
          <w:sz w:val="22"/>
          <w:szCs w:val="22"/>
        </w:rPr>
        <w:t>,</w:t>
      </w:r>
      <w:r w:rsidRPr="00FC7E9C">
        <w:rPr>
          <w:rFonts w:ascii="Cambria" w:hAnsi="Cambria" w:cs="Gautami"/>
          <w:sz w:val="22"/>
          <w:szCs w:val="22"/>
        </w:rPr>
        <w:t xml:space="preserve"> че не съществува намерение или обективна</w:t>
      </w:r>
      <w:r w:rsidR="00F96453">
        <w:rPr>
          <w:rFonts w:ascii="Cambria" w:hAnsi="Cambria" w:cs="Gautami"/>
          <w:sz w:val="22"/>
          <w:szCs w:val="22"/>
        </w:rPr>
        <w:t xml:space="preserve"> </w:t>
      </w:r>
      <w:r w:rsidRPr="00FC7E9C">
        <w:rPr>
          <w:rFonts w:ascii="Cambria" w:hAnsi="Cambria" w:cs="Gautami"/>
          <w:sz w:val="22"/>
          <w:szCs w:val="22"/>
        </w:rPr>
        <w:t xml:space="preserve">необходимост Дружеството да съкрати съществено обема на дейността си или да преустанови дейността си в близко бъдеще. </w:t>
      </w:r>
    </w:p>
    <w:p w:rsidR="00202A18" w:rsidRPr="00FC7E9C" w:rsidRDefault="00202A18" w:rsidP="00F60F1C">
      <w:pPr>
        <w:spacing w:line="360" w:lineRule="auto"/>
        <w:ind w:firstLine="708"/>
        <w:jc w:val="both"/>
        <w:rPr>
          <w:rFonts w:ascii="Cambria" w:hAnsi="Cambria" w:cs="HENNIM+Arial"/>
          <w:sz w:val="22"/>
          <w:szCs w:val="22"/>
        </w:rPr>
      </w:pPr>
    </w:p>
    <w:sectPr w:rsidR="00202A18" w:rsidRPr="00FC7E9C" w:rsidSect="006376C7">
      <w:headerReference w:type="default" r:id="rId8"/>
      <w:footerReference w:type="default" r:id="rId9"/>
      <w:pgSz w:w="11906" w:h="16838" w:code="9"/>
      <w:pgMar w:top="1135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6DD" w:rsidRDefault="004C06DD" w:rsidP="009C41EF">
      <w:r>
        <w:separator/>
      </w:r>
    </w:p>
  </w:endnote>
  <w:endnote w:type="continuationSeparator" w:id="0">
    <w:p w:rsidR="004C06DD" w:rsidRDefault="004C06DD" w:rsidP="009C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0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NNIM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9C1" w:rsidRDefault="005079C1">
    <w:pPr>
      <w:pStyle w:val="Footer"/>
      <w:jc w:val="right"/>
      <w:rPr>
        <w:lang w:val="bg-BG"/>
      </w:rPr>
    </w:pPr>
  </w:p>
  <w:p w:rsidR="005079C1" w:rsidRDefault="005079C1">
    <w:pPr>
      <w:pStyle w:val="Footer"/>
      <w:jc w:val="right"/>
      <w:rPr>
        <w:lang w:val="bg-BG"/>
      </w:rPr>
    </w:pPr>
  </w:p>
  <w:p w:rsidR="00D950BD" w:rsidRDefault="00D950B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409A">
      <w:rPr>
        <w:noProof/>
      </w:rPr>
      <w:t>1</w:t>
    </w:r>
    <w:r>
      <w:rPr>
        <w:noProof/>
      </w:rPr>
      <w:fldChar w:fldCharType="end"/>
    </w:r>
  </w:p>
  <w:p w:rsidR="00D950BD" w:rsidRPr="00D950BD" w:rsidRDefault="00D950BD" w:rsidP="00D950BD">
    <w:pPr>
      <w:pStyle w:val="Footer"/>
      <w:jc w:val="right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6DD" w:rsidRDefault="004C06DD" w:rsidP="009C41EF">
      <w:r>
        <w:separator/>
      </w:r>
    </w:p>
  </w:footnote>
  <w:footnote w:type="continuationSeparator" w:id="0">
    <w:p w:rsidR="004C06DD" w:rsidRDefault="004C06DD" w:rsidP="009C4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9E" w:rsidRPr="009C41EF" w:rsidRDefault="0041529E" w:rsidP="009C41EF">
    <w:pPr>
      <w:pStyle w:val="Header"/>
      <w:pBdr>
        <w:bottom w:val="single" w:sz="4" w:space="1" w:color="auto"/>
      </w:pBdr>
      <w:jc w:val="center"/>
      <w:rPr>
        <w:rFonts w:ascii="Bookman Old Style" w:hAnsi="Bookman Old Style"/>
        <w:b/>
      </w:rPr>
    </w:pPr>
    <w:r w:rsidRPr="009C41EF">
      <w:rPr>
        <w:rFonts w:ascii="Bookman Old Style" w:hAnsi="Bookman Old Style"/>
        <w:b/>
      </w:rPr>
      <w:t>АГЕНЦИЯ ДИПЛОМАТИЧЕСКИ ИМОТИ В СТРАНАТА ЕООД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85pt;height:8.85pt" o:bullet="t">
        <v:imagedata r:id="rId1" o:title="BD10299_"/>
      </v:shape>
    </w:pict>
  </w:numPicBullet>
  <w:abstractNum w:abstractNumId="0">
    <w:nsid w:val="0D890134"/>
    <w:multiLevelType w:val="multilevel"/>
    <w:tmpl w:val="92E85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25F1D"/>
    <w:multiLevelType w:val="multilevel"/>
    <w:tmpl w:val="4D702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B733B1"/>
    <w:multiLevelType w:val="hybridMultilevel"/>
    <w:tmpl w:val="2444A9A8"/>
    <w:lvl w:ilvl="0" w:tplc="4E50D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4F879E8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EF5955"/>
    <w:multiLevelType w:val="multilevel"/>
    <w:tmpl w:val="AD50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457DD0"/>
    <w:multiLevelType w:val="hybridMultilevel"/>
    <w:tmpl w:val="F01E55F8"/>
    <w:lvl w:ilvl="0" w:tplc="BEC4E6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46D76DAA"/>
    <w:multiLevelType w:val="hybridMultilevel"/>
    <w:tmpl w:val="1A04858A"/>
    <w:lvl w:ilvl="0" w:tplc="94F879E8">
      <w:start w:val="2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  <w:color w:val="auto"/>
      </w:rPr>
    </w:lvl>
    <w:lvl w:ilvl="1" w:tplc="6C5A2A0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99261D"/>
    <w:multiLevelType w:val="multilevel"/>
    <w:tmpl w:val="AFDA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493ECB"/>
    <w:multiLevelType w:val="multilevel"/>
    <w:tmpl w:val="9FC2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5F1240"/>
    <w:multiLevelType w:val="multilevel"/>
    <w:tmpl w:val="A6FC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8317E1"/>
    <w:multiLevelType w:val="multilevel"/>
    <w:tmpl w:val="96F0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43774"/>
    <w:multiLevelType w:val="hybridMultilevel"/>
    <w:tmpl w:val="2156508C"/>
    <w:lvl w:ilvl="0" w:tplc="4E50D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256B74"/>
    <w:multiLevelType w:val="hybridMultilevel"/>
    <w:tmpl w:val="2FEA9934"/>
    <w:lvl w:ilvl="0" w:tplc="4E50D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C5A2A0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7"/>
    <w:lvlOverride w:ilvl="0">
      <w:startOverride w:val="2"/>
    </w:lvlOverride>
  </w:num>
  <w:num w:numId="4">
    <w:abstractNumId w:val="7"/>
    <w:lvlOverride w:ilvl="0">
      <w:startOverride w:val="3"/>
    </w:lvlOverride>
  </w:num>
  <w:num w:numId="5">
    <w:abstractNumId w:val="7"/>
    <w:lvlOverride w:ilvl="0">
      <w:startOverride w:val="4"/>
    </w:lvlOverride>
  </w:num>
  <w:num w:numId="6">
    <w:abstractNumId w:val="7"/>
    <w:lvlOverride w:ilvl="0">
      <w:startOverride w:val="5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2"/>
    </w:lvlOverride>
  </w:num>
  <w:num w:numId="9">
    <w:abstractNumId w:val="3"/>
    <w:lvlOverride w:ilvl="0">
      <w:startOverride w:val="6"/>
    </w:lvlOverride>
  </w:num>
  <w:num w:numId="10">
    <w:abstractNumId w:val="3"/>
    <w:lvlOverride w:ilvl="0">
      <w:startOverride w:val="7"/>
    </w:lvlOverride>
  </w:num>
  <w:num w:numId="11">
    <w:abstractNumId w:val="3"/>
    <w:lvlOverride w:ilvl="0">
      <w:startOverride w:val="8"/>
    </w:lvlOverride>
  </w:num>
  <w:num w:numId="12">
    <w:abstractNumId w:val="3"/>
    <w:lvlOverride w:ilvl="0">
      <w:startOverride w:val="9"/>
    </w:lvlOverride>
  </w:num>
  <w:num w:numId="13">
    <w:abstractNumId w:val="8"/>
    <w:lvlOverride w:ilvl="0">
      <w:startOverride w:val="10"/>
    </w:lvlOverride>
  </w:num>
  <w:num w:numId="14">
    <w:abstractNumId w:val="8"/>
    <w:lvlOverride w:ilvl="0">
      <w:startOverride w:val="11"/>
    </w:lvlOverride>
  </w:num>
  <w:num w:numId="15">
    <w:abstractNumId w:val="8"/>
    <w:lvlOverride w:ilvl="0">
      <w:startOverride w:val="12"/>
    </w:lvlOverride>
  </w:num>
  <w:num w:numId="16">
    <w:abstractNumId w:val="8"/>
    <w:lvlOverride w:ilvl="0">
      <w:startOverride w:val="13"/>
    </w:lvlOverride>
  </w:num>
  <w:num w:numId="17">
    <w:abstractNumId w:val="8"/>
    <w:lvlOverride w:ilvl="0">
      <w:startOverride w:val="14"/>
    </w:lvlOverride>
  </w:num>
  <w:num w:numId="18">
    <w:abstractNumId w:val="8"/>
    <w:lvlOverride w:ilvl="0">
      <w:startOverride w:val="15"/>
    </w:lvlOverride>
  </w:num>
  <w:num w:numId="19">
    <w:abstractNumId w:val="9"/>
    <w:lvlOverride w:ilvl="0">
      <w:startOverride w:val="16"/>
    </w:lvlOverride>
  </w:num>
  <w:num w:numId="20">
    <w:abstractNumId w:val="9"/>
    <w:lvlOverride w:ilvl="0">
      <w:startOverride w:val="17"/>
    </w:lvlOverride>
  </w:num>
  <w:num w:numId="21">
    <w:abstractNumId w:val="9"/>
    <w:lvlOverride w:ilvl="0">
      <w:startOverride w:val="18"/>
    </w:lvlOverride>
  </w:num>
  <w:num w:numId="22">
    <w:abstractNumId w:val="6"/>
    <w:lvlOverride w:ilvl="0">
      <w:startOverride w:val="19"/>
    </w:lvlOverride>
  </w:num>
  <w:num w:numId="23">
    <w:abstractNumId w:val="6"/>
    <w:lvlOverride w:ilvl="0">
      <w:startOverride w:val="20"/>
    </w:lvlOverride>
  </w:num>
  <w:num w:numId="24">
    <w:abstractNumId w:val="6"/>
    <w:lvlOverride w:ilvl="0">
      <w:startOverride w:val="21"/>
    </w:lvlOverride>
  </w:num>
  <w:num w:numId="25">
    <w:abstractNumId w:val="0"/>
    <w:lvlOverride w:ilvl="0">
      <w:startOverride w:val="22"/>
    </w:lvlOverride>
  </w:num>
  <w:num w:numId="26">
    <w:abstractNumId w:val="0"/>
    <w:lvlOverride w:ilvl="0">
      <w:startOverride w:val="23"/>
    </w:lvlOverride>
  </w:num>
  <w:num w:numId="27">
    <w:abstractNumId w:val="0"/>
    <w:lvlOverride w:ilvl="0">
      <w:startOverride w:val="24"/>
    </w:lvlOverride>
  </w:num>
  <w:num w:numId="28">
    <w:abstractNumId w:val="0"/>
    <w:lvlOverride w:ilvl="0">
      <w:startOverride w:val="25"/>
    </w:lvlOverride>
  </w:num>
  <w:num w:numId="29">
    <w:abstractNumId w:val="2"/>
  </w:num>
  <w:num w:numId="30">
    <w:abstractNumId w:val="10"/>
  </w:num>
  <w:num w:numId="31">
    <w:abstractNumId w:val="5"/>
  </w:num>
  <w:num w:numId="32">
    <w:abstractNumId w:val="11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5B3"/>
    <w:rsid w:val="00001898"/>
    <w:rsid w:val="00024041"/>
    <w:rsid w:val="00043385"/>
    <w:rsid w:val="00062BD6"/>
    <w:rsid w:val="000639CE"/>
    <w:rsid w:val="000869D0"/>
    <w:rsid w:val="00095619"/>
    <w:rsid w:val="000A4BA5"/>
    <w:rsid w:val="000B4CD0"/>
    <w:rsid w:val="000B6C9B"/>
    <w:rsid w:val="000C029F"/>
    <w:rsid w:val="000C409A"/>
    <w:rsid w:val="000C4DC7"/>
    <w:rsid w:val="000D0BFF"/>
    <w:rsid w:val="000D138F"/>
    <w:rsid w:val="000D1481"/>
    <w:rsid w:val="000D52EE"/>
    <w:rsid w:val="000E26E8"/>
    <w:rsid w:val="000F1084"/>
    <w:rsid w:val="000F247E"/>
    <w:rsid w:val="00100AA9"/>
    <w:rsid w:val="00100F07"/>
    <w:rsid w:val="00112F4C"/>
    <w:rsid w:val="0011475C"/>
    <w:rsid w:val="00117D2F"/>
    <w:rsid w:val="00120F16"/>
    <w:rsid w:val="0012209B"/>
    <w:rsid w:val="00131A9C"/>
    <w:rsid w:val="001447C4"/>
    <w:rsid w:val="0014594C"/>
    <w:rsid w:val="00182AD7"/>
    <w:rsid w:val="001838CE"/>
    <w:rsid w:val="00183ADC"/>
    <w:rsid w:val="0019096F"/>
    <w:rsid w:val="001972A6"/>
    <w:rsid w:val="001A03D8"/>
    <w:rsid w:val="001A6A4A"/>
    <w:rsid w:val="001B118B"/>
    <w:rsid w:val="001B1ED3"/>
    <w:rsid w:val="001B25B3"/>
    <w:rsid w:val="001D2B20"/>
    <w:rsid w:val="001D79E2"/>
    <w:rsid w:val="001E211A"/>
    <w:rsid w:val="001E624E"/>
    <w:rsid w:val="001E74E8"/>
    <w:rsid w:val="001F283B"/>
    <w:rsid w:val="001F55E1"/>
    <w:rsid w:val="00202A18"/>
    <w:rsid w:val="002068E4"/>
    <w:rsid w:val="00206D71"/>
    <w:rsid w:val="00227128"/>
    <w:rsid w:val="002450DC"/>
    <w:rsid w:val="0025328D"/>
    <w:rsid w:val="00256DE2"/>
    <w:rsid w:val="00257610"/>
    <w:rsid w:val="002619C4"/>
    <w:rsid w:val="00262C93"/>
    <w:rsid w:val="0028454D"/>
    <w:rsid w:val="002858A6"/>
    <w:rsid w:val="002874BD"/>
    <w:rsid w:val="00292CB5"/>
    <w:rsid w:val="0029727A"/>
    <w:rsid w:val="002A3D9C"/>
    <w:rsid w:val="002A6CC5"/>
    <w:rsid w:val="002B3765"/>
    <w:rsid w:val="002C4285"/>
    <w:rsid w:val="002D7B92"/>
    <w:rsid w:val="002E61ED"/>
    <w:rsid w:val="002F4871"/>
    <w:rsid w:val="00306A43"/>
    <w:rsid w:val="0031391C"/>
    <w:rsid w:val="00351863"/>
    <w:rsid w:val="00377A0A"/>
    <w:rsid w:val="003A4855"/>
    <w:rsid w:val="003B475A"/>
    <w:rsid w:val="003B76F1"/>
    <w:rsid w:val="003C24D1"/>
    <w:rsid w:val="003C2D01"/>
    <w:rsid w:val="003C65E1"/>
    <w:rsid w:val="003D2A8E"/>
    <w:rsid w:val="003D74E5"/>
    <w:rsid w:val="003E465D"/>
    <w:rsid w:val="003F7101"/>
    <w:rsid w:val="00414513"/>
    <w:rsid w:val="0041529E"/>
    <w:rsid w:val="00417DFE"/>
    <w:rsid w:val="0042010F"/>
    <w:rsid w:val="00434672"/>
    <w:rsid w:val="00442F8D"/>
    <w:rsid w:val="00456BE2"/>
    <w:rsid w:val="0046006F"/>
    <w:rsid w:val="004648F2"/>
    <w:rsid w:val="00465D1F"/>
    <w:rsid w:val="004701F9"/>
    <w:rsid w:val="00470E1F"/>
    <w:rsid w:val="00472B05"/>
    <w:rsid w:val="004B48BB"/>
    <w:rsid w:val="004B5FD5"/>
    <w:rsid w:val="004C06DD"/>
    <w:rsid w:val="004E391A"/>
    <w:rsid w:val="00503435"/>
    <w:rsid w:val="00507327"/>
    <w:rsid w:val="005079C1"/>
    <w:rsid w:val="00514BA2"/>
    <w:rsid w:val="00555478"/>
    <w:rsid w:val="00572763"/>
    <w:rsid w:val="00580905"/>
    <w:rsid w:val="0058144C"/>
    <w:rsid w:val="005851AC"/>
    <w:rsid w:val="00597921"/>
    <w:rsid w:val="00597F8D"/>
    <w:rsid w:val="005A0A8B"/>
    <w:rsid w:val="005A4522"/>
    <w:rsid w:val="005B02FD"/>
    <w:rsid w:val="005B62BA"/>
    <w:rsid w:val="005B6431"/>
    <w:rsid w:val="005C1692"/>
    <w:rsid w:val="005D590D"/>
    <w:rsid w:val="005E0F39"/>
    <w:rsid w:val="005E2768"/>
    <w:rsid w:val="005F6258"/>
    <w:rsid w:val="00600BC5"/>
    <w:rsid w:val="00602540"/>
    <w:rsid w:val="0060662B"/>
    <w:rsid w:val="006170FB"/>
    <w:rsid w:val="00620079"/>
    <w:rsid w:val="0062024E"/>
    <w:rsid w:val="00623857"/>
    <w:rsid w:val="0063320B"/>
    <w:rsid w:val="00633749"/>
    <w:rsid w:val="00637562"/>
    <w:rsid w:val="006376C7"/>
    <w:rsid w:val="00651981"/>
    <w:rsid w:val="006620DA"/>
    <w:rsid w:val="006700B4"/>
    <w:rsid w:val="00685D7A"/>
    <w:rsid w:val="00686637"/>
    <w:rsid w:val="006879D7"/>
    <w:rsid w:val="00691942"/>
    <w:rsid w:val="006A1F79"/>
    <w:rsid w:val="006A2613"/>
    <w:rsid w:val="006B1C0E"/>
    <w:rsid w:val="006B670B"/>
    <w:rsid w:val="006D3E62"/>
    <w:rsid w:val="006D6AB3"/>
    <w:rsid w:val="006F3838"/>
    <w:rsid w:val="00713227"/>
    <w:rsid w:val="00720A5A"/>
    <w:rsid w:val="00720DC5"/>
    <w:rsid w:val="00732D62"/>
    <w:rsid w:val="007436F8"/>
    <w:rsid w:val="00747B6D"/>
    <w:rsid w:val="007534EA"/>
    <w:rsid w:val="0079187A"/>
    <w:rsid w:val="007A349A"/>
    <w:rsid w:val="007A67FD"/>
    <w:rsid w:val="007B2BFE"/>
    <w:rsid w:val="007B6388"/>
    <w:rsid w:val="007C4DA5"/>
    <w:rsid w:val="007E077E"/>
    <w:rsid w:val="007E4B06"/>
    <w:rsid w:val="007E7472"/>
    <w:rsid w:val="007F0E27"/>
    <w:rsid w:val="0080254E"/>
    <w:rsid w:val="00816618"/>
    <w:rsid w:val="00817EE7"/>
    <w:rsid w:val="00825F42"/>
    <w:rsid w:val="00827FBB"/>
    <w:rsid w:val="00831835"/>
    <w:rsid w:val="008339D9"/>
    <w:rsid w:val="00842210"/>
    <w:rsid w:val="00847D14"/>
    <w:rsid w:val="00850083"/>
    <w:rsid w:val="00852BD4"/>
    <w:rsid w:val="00866FDB"/>
    <w:rsid w:val="00870718"/>
    <w:rsid w:val="00871B6B"/>
    <w:rsid w:val="0088168A"/>
    <w:rsid w:val="00890217"/>
    <w:rsid w:val="00895552"/>
    <w:rsid w:val="008A1418"/>
    <w:rsid w:val="008A19F2"/>
    <w:rsid w:val="008A4001"/>
    <w:rsid w:val="008C20D1"/>
    <w:rsid w:val="008E1B41"/>
    <w:rsid w:val="008F5CC5"/>
    <w:rsid w:val="009159AE"/>
    <w:rsid w:val="0092721C"/>
    <w:rsid w:val="0094469F"/>
    <w:rsid w:val="00944878"/>
    <w:rsid w:val="00967508"/>
    <w:rsid w:val="009714A9"/>
    <w:rsid w:val="00994FB6"/>
    <w:rsid w:val="0099669F"/>
    <w:rsid w:val="009B230E"/>
    <w:rsid w:val="009C28C0"/>
    <w:rsid w:val="009C41EF"/>
    <w:rsid w:val="009C4EF8"/>
    <w:rsid w:val="009E692C"/>
    <w:rsid w:val="00A14B57"/>
    <w:rsid w:val="00A172DD"/>
    <w:rsid w:val="00A22C31"/>
    <w:rsid w:val="00A312FC"/>
    <w:rsid w:val="00A32FD2"/>
    <w:rsid w:val="00A614D7"/>
    <w:rsid w:val="00A66E01"/>
    <w:rsid w:val="00A73CD0"/>
    <w:rsid w:val="00A80E80"/>
    <w:rsid w:val="00A8244D"/>
    <w:rsid w:val="00A862F0"/>
    <w:rsid w:val="00A87E2A"/>
    <w:rsid w:val="00A97871"/>
    <w:rsid w:val="00AA3701"/>
    <w:rsid w:val="00AA4611"/>
    <w:rsid w:val="00AC36B5"/>
    <w:rsid w:val="00AD5A16"/>
    <w:rsid w:val="00AE07AE"/>
    <w:rsid w:val="00AE2FA7"/>
    <w:rsid w:val="00AF0E31"/>
    <w:rsid w:val="00AF1DB6"/>
    <w:rsid w:val="00AF465A"/>
    <w:rsid w:val="00B037D1"/>
    <w:rsid w:val="00B05623"/>
    <w:rsid w:val="00B23156"/>
    <w:rsid w:val="00B23197"/>
    <w:rsid w:val="00B305DB"/>
    <w:rsid w:val="00B365F9"/>
    <w:rsid w:val="00B65166"/>
    <w:rsid w:val="00B8054B"/>
    <w:rsid w:val="00B82697"/>
    <w:rsid w:val="00B84859"/>
    <w:rsid w:val="00B91782"/>
    <w:rsid w:val="00B952F9"/>
    <w:rsid w:val="00BC7AD5"/>
    <w:rsid w:val="00BD61C3"/>
    <w:rsid w:val="00BE29DC"/>
    <w:rsid w:val="00BF07A9"/>
    <w:rsid w:val="00BF4041"/>
    <w:rsid w:val="00BF4747"/>
    <w:rsid w:val="00BF6653"/>
    <w:rsid w:val="00C108C0"/>
    <w:rsid w:val="00C113B9"/>
    <w:rsid w:val="00C12011"/>
    <w:rsid w:val="00C332BF"/>
    <w:rsid w:val="00C36BE7"/>
    <w:rsid w:val="00C37FD4"/>
    <w:rsid w:val="00C43913"/>
    <w:rsid w:val="00C4599F"/>
    <w:rsid w:val="00C466EF"/>
    <w:rsid w:val="00C76221"/>
    <w:rsid w:val="00C763FB"/>
    <w:rsid w:val="00C95514"/>
    <w:rsid w:val="00CC0F2D"/>
    <w:rsid w:val="00CD00DE"/>
    <w:rsid w:val="00CF3C02"/>
    <w:rsid w:val="00D06DD6"/>
    <w:rsid w:val="00D118A6"/>
    <w:rsid w:val="00D12DD4"/>
    <w:rsid w:val="00D1722F"/>
    <w:rsid w:val="00D24B5F"/>
    <w:rsid w:val="00D44DA0"/>
    <w:rsid w:val="00D569CA"/>
    <w:rsid w:val="00D67A12"/>
    <w:rsid w:val="00D7392E"/>
    <w:rsid w:val="00D950BD"/>
    <w:rsid w:val="00D97C47"/>
    <w:rsid w:val="00DB2107"/>
    <w:rsid w:val="00DB2440"/>
    <w:rsid w:val="00DD4F71"/>
    <w:rsid w:val="00DD6564"/>
    <w:rsid w:val="00DE0418"/>
    <w:rsid w:val="00DE4A89"/>
    <w:rsid w:val="00DE67E0"/>
    <w:rsid w:val="00E12061"/>
    <w:rsid w:val="00E120F6"/>
    <w:rsid w:val="00E12C7C"/>
    <w:rsid w:val="00E140D1"/>
    <w:rsid w:val="00E21F0C"/>
    <w:rsid w:val="00E41AB9"/>
    <w:rsid w:val="00E6079A"/>
    <w:rsid w:val="00E7472B"/>
    <w:rsid w:val="00E902E3"/>
    <w:rsid w:val="00EA1752"/>
    <w:rsid w:val="00EA5826"/>
    <w:rsid w:val="00EA58BE"/>
    <w:rsid w:val="00EA7AC7"/>
    <w:rsid w:val="00EB07DC"/>
    <w:rsid w:val="00EC0168"/>
    <w:rsid w:val="00EC17DE"/>
    <w:rsid w:val="00EC7922"/>
    <w:rsid w:val="00ED443E"/>
    <w:rsid w:val="00ED6CBE"/>
    <w:rsid w:val="00EE54C4"/>
    <w:rsid w:val="00EE65F5"/>
    <w:rsid w:val="00EE7676"/>
    <w:rsid w:val="00EF1A52"/>
    <w:rsid w:val="00EF1E9F"/>
    <w:rsid w:val="00F0686C"/>
    <w:rsid w:val="00F074A3"/>
    <w:rsid w:val="00F12D5C"/>
    <w:rsid w:val="00F1305E"/>
    <w:rsid w:val="00F31BD1"/>
    <w:rsid w:val="00F35502"/>
    <w:rsid w:val="00F3593E"/>
    <w:rsid w:val="00F4079B"/>
    <w:rsid w:val="00F43493"/>
    <w:rsid w:val="00F52B8F"/>
    <w:rsid w:val="00F60F1C"/>
    <w:rsid w:val="00F61251"/>
    <w:rsid w:val="00F848BC"/>
    <w:rsid w:val="00F93F96"/>
    <w:rsid w:val="00F96453"/>
    <w:rsid w:val="00FA08BD"/>
    <w:rsid w:val="00FA4905"/>
    <w:rsid w:val="00FC6081"/>
    <w:rsid w:val="00FC62A5"/>
    <w:rsid w:val="00FC7E9C"/>
    <w:rsid w:val="00FE07BB"/>
    <w:rsid w:val="00FE2D62"/>
    <w:rsid w:val="00FE3D0F"/>
    <w:rsid w:val="00FE4DEA"/>
    <w:rsid w:val="00FE6CE2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F964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B11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1B25B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1B25B3"/>
    <w:pPr>
      <w:spacing w:before="100" w:beforeAutospacing="1" w:after="100" w:afterAutospacing="1"/>
    </w:pPr>
  </w:style>
  <w:style w:type="character" w:customStyle="1" w:styleId="nw1">
    <w:name w:val="nw1"/>
    <w:basedOn w:val="DefaultParagraphFont"/>
    <w:rsid w:val="001B118B"/>
  </w:style>
  <w:style w:type="character" w:customStyle="1" w:styleId="ff01">
    <w:name w:val="ff01"/>
    <w:rsid w:val="001B118B"/>
    <w:rPr>
      <w:rFonts w:ascii="ff0" w:hAnsi="ff0" w:hint="default"/>
    </w:rPr>
  </w:style>
  <w:style w:type="character" w:customStyle="1" w:styleId="ib1">
    <w:name w:val="ib1"/>
    <w:rsid w:val="001B118B"/>
    <w:rPr>
      <w:spacing w:val="0"/>
    </w:rPr>
  </w:style>
  <w:style w:type="paragraph" w:styleId="BalloonText">
    <w:name w:val="Balloon Text"/>
    <w:basedOn w:val="Normal"/>
    <w:semiHidden/>
    <w:rsid w:val="00EE76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E0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1972A6"/>
    <w:pPr>
      <w:jc w:val="center"/>
    </w:pPr>
    <w:rPr>
      <w:b/>
      <w:sz w:val="20"/>
      <w:szCs w:val="20"/>
      <w:u w:val="single"/>
    </w:rPr>
  </w:style>
  <w:style w:type="paragraph" w:styleId="BodyText2">
    <w:name w:val="Body Text 2"/>
    <w:basedOn w:val="Normal"/>
    <w:next w:val="Normal"/>
    <w:link w:val="BodyText2Char"/>
    <w:rsid w:val="007F0E27"/>
    <w:pPr>
      <w:autoSpaceDE w:val="0"/>
      <w:autoSpaceDN w:val="0"/>
      <w:adjustRightInd w:val="0"/>
    </w:pPr>
    <w:rPr>
      <w:rFonts w:ascii="Arial" w:hAnsi="Arial"/>
      <w:lang/>
    </w:rPr>
  </w:style>
  <w:style w:type="character" w:customStyle="1" w:styleId="BodyText2Char">
    <w:name w:val="Body Text 2 Char"/>
    <w:link w:val="BodyText2"/>
    <w:rsid w:val="007F0E27"/>
    <w:rPr>
      <w:rFonts w:ascii="Arial" w:hAnsi="Arial"/>
      <w:sz w:val="24"/>
      <w:szCs w:val="24"/>
    </w:rPr>
  </w:style>
  <w:style w:type="paragraph" w:styleId="Header">
    <w:name w:val="header"/>
    <w:basedOn w:val="Normal"/>
    <w:link w:val="HeaderChar"/>
    <w:rsid w:val="009C41EF"/>
    <w:pPr>
      <w:tabs>
        <w:tab w:val="center" w:pos="4536"/>
        <w:tab w:val="right" w:pos="9072"/>
      </w:tabs>
    </w:pPr>
    <w:rPr>
      <w:lang/>
    </w:rPr>
  </w:style>
  <w:style w:type="character" w:customStyle="1" w:styleId="HeaderChar">
    <w:name w:val="Header Char"/>
    <w:link w:val="Header"/>
    <w:rsid w:val="009C41E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C41EF"/>
    <w:pPr>
      <w:tabs>
        <w:tab w:val="center" w:pos="4536"/>
        <w:tab w:val="right" w:pos="9072"/>
      </w:tabs>
    </w:pPr>
    <w:rPr>
      <w:lang/>
    </w:rPr>
  </w:style>
  <w:style w:type="character" w:customStyle="1" w:styleId="FooterChar">
    <w:name w:val="Footer Char"/>
    <w:link w:val="Footer"/>
    <w:uiPriority w:val="99"/>
    <w:rsid w:val="009C41EF"/>
    <w:rPr>
      <w:sz w:val="24"/>
      <w:szCs w:val="24"/>
    </w:rPr>
  </w:style>
  <w:style w:type="character" w:styleId="CommentReference">
    <w:name w:val="annotation reference"/>
    <w:semiHidden/>
    <w:rsid w:val="001D2B20"/>
    <w:rPr>
      <w:sz w:val="16"/>
      <w:szCs w:val="16"/>
    </w:rPr>
  </w:style>
  <w:style w:type="paragraph" w:styleId="CommentText">
    <w:name w:val="annotation text"/>
    <w:basedOn w:val="Normal"/>
    <w:semiHidden/>
    <w:rsid w:val="001D2B2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D2B20"/>
    <w:rPr>
      <w:b/>
      <w:bCs/>
    </w:rPr>
  </w:style>
  <w:style w:type="paragraph" w:styleId="BodyText">
    <w:name w:val="Body Text"/>
    <w:basedOn w:val="Normal"/>
    <w:link w:val="BodyTextChar"/>
    <w:rsid w:val="00202A18"/>
    <w:pPr>
      <w:spacing w:after="120"/>
    </w:pPr>
  </w:style>
  <w:style w:type="character" w:customStyle="1" w:styleId="BodyTextChar">
    <w:name w:val="Body Text Char"/>
    <w:link w:val="BodyText"/>
    <w:rsid w:val="00202A18"/>
    <w:rPr>
      <w:sz w:val="24"/>
      <w:szCs w:val="24"/>
    </w:rPr>
  </w:style>
  <w:style w:type="paragraph" w:styleId="EndnoteText">
    <w:name w:val="endnote text"/>
    <w:basedOn w:val="Normal"/>
    <w:link w:val="EndnoteTextChar"/>
    <w:rsid w:val="003A4855"/>
    <w:rPr>
      <w:sz w:val="20"/>
      <w:szCs w:val="20"/>
    </w:rPr>
  </w:style>
  <w:style w:type="character" w:customStyle="1" w:styleId="EndnoteTextChar">
    <w:name w:val="Endnote Text Char"/>
    <w:link w:val="EndnoteText"/>
    <w:rsid w:val="003A4855"/>
    <w:rPr>
      <w:lang w:val="bg-BG" w:eastAsia="bg-BG"/>
    </w:rPr>
  </w:style>
  <w:style w:type="character" w:styleId="EndnoteReference">
    <w:name w:val="endnote reference"/>
    <w:rsid w:val="003A4855"/>
    <w:rPr>
      <w:vertAlign w:val="superscript"/>
    </w:rPr>
  </w:style>
  <w:style w:type="character" w:styleId="Emphasis">
    <w:name w:val="Emphasis"/>
    <w:qFormat/>
    <w:rsid w:val="00F96453"/>
    <w:rPr>
      <w:i/>
      <w:iCs/>
    </w:rPr>
  </w:style>
  <w:style w:type="character" w:customStyle="1" w:styleId="Heading1Char">
    <w:name w:val="Heading 1 Char"/>
    <w:link w:val="Heading1"/>
    <w:rsid w:val="00F9645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character" w:styleId="Strong">
    <w:name w:val="Strong"/>
    <w:qFormat/>
    <w:rsid w:val="00F96453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F9645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F96453"/>
    <w:rPr>
      <w:rFonts w:ascii="Cambria" w:eastAsia="Times New Roman" w:hAnsi="Cambria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6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45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90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9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59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598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966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483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44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27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60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5684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930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0661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8513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2492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3698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9963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5884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7040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281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35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882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8696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7918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078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8198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1568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4722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9835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6669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6479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0648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340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5036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6610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548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2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7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2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24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36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28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50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75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90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088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0430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416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1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5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2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54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31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08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19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26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94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018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2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82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237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82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5308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663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1326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903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3579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593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2554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0590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1681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705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6804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4225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8611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135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2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95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44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9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37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154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709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1728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214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4101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7984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196">
          <w:marLeft w:val="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5816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7747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0432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095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216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3230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436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030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56429">
          <w:marLeft w:val="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417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5771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5858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524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403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2630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39904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3111">
          <w:marLeft w:val="2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4FC48-7FA0-4FB8-A8BE-B8DEFA72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АНАЛИЗ НА ПАЗАРНИТЕ ПОЗИЦИИ НА</vt:lpstr>
    </vt:vector>
  </TitlesOfParts>
  <Company>ADIS LTD</Company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НА ПАЗАРНИТЕ ПОЗИЦИИ НА</dc:title>
  <dc:creator>SNEJANA BRATOEVA</dc:creator>
  <cp:keywords>Analysis</cp:keywords>
  <cp:lastModifiedBy>S Bratoeva</cp:lastModifiedBy>
  <cp:revision>2</cp:revision>
  <cp:lastPrinted>2013-07-16T08:36:00Z</cp:lastPrinted>
  <dcterms:created xsi:type="dcterms:W3CDTF">2013-07-23T11:57:00Z</dcterms:created>
  <dcterms:modified xsi:type="dcterms:W3CDTF">2013-07-23T11:57:00Z</dcterms:modified>
</cp:coreProperties>
</file>