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DA2" w:rsidRPr="00F85989" w:rsidRDefault="00450DA2" w:rsidP="00450DA2">
      <w:pPr>
        <w:spacing w:before="200" w:after="0" w:line="271" w:lineRule="auto"/>
        <w:jc w:val="right"/>
        <w:outlineLvl w:val="2"/>
        <w:rPr>
          <w:rFonts w:ascii="Times New Roman" w:hAnsi="Times New Roman"/>
          <w:b/>
          <w:bCs/>
          <w:sz w:val="24"/>
          <w:szCs w:val="24"/>
          <w:lang w:val="en-US"/>
        </w:rPr>
      </w:pPr>
      <w:r w:rsidRPr="00F85989">
        <w:rPr>
          <w:rFonts w:ascii="Times New Roman" w:hAnsi="Times New Roman"/>
          <w:b/>
          <w:bCs/>
          <w:sz w:val="24"/>
          <w:szCs w:val="24"/>
        </w:rPr>
        <w:t>Приложение</w:t>
      </w:r>
    </w:p>
    <w:p w:rsidR="00F22E10" w:rsidRPr="00F85989" w:rsidRDefault="00F22E10" w:rsidP="00450DA2">
      <w:pPr>
        <w:spacing w:before="200" w:after="0" w:line="271" w:lineRule="auto"/>
        <w:jc w:val="right"/>
        <w:outlineLvl w:val="2"/>
        <w:rPr>
          <w:rFonts w:ascii="Times New Roman" w:hAnsi="Times New Roman"/>
          <w:b/>
          <w:sz w:val="24"/>
          <w:szCs w:val="24"/>
        </w:rPr>
      </w:pPr>
      <w:r w:rsidRPr="00F85989">
        <w:rPr>
          <w:rFonts w:ascii="Times New Roman" w:hAnsi="Times New Roman"/>
          <w:b/>
          <w:sz w:val="24"/>
          <w:szCs w:val="24"/>
        </w:rPr>
        <w:t xml:space="preserve">към чл. </w:t>
      </w:r>
      <w:r w:rsidR="00514844" w:rsidRPr="00F85989">
        <w:rPr>
          <w:rFonts w:ascii="Times New Roman" w:hAnsi="Times New Roman"/>
          <w:b/>
          <w:sz w:val="24"/>
          <w:szCs w:val="24"/>
          <w:lang w:val="en-US"/>
        </w:rPr>
        <w:t>5</w:t>
      </w:r>
      <w:r w:rsidR="00962F75" w:rsidRPr="00F85989">
        <w:rPr>
          <w:rFonts w:ascii="Times New Roman" w:hAnsi="Times New Roman"/>
          <w:b/>
          <w:sz w:val="24"/>
          <w:szCs w:val="24"/>
        </w:rPr>
        <w:t>0</w:t>
      </w:r>
    </w:p>
    <w:p w:rsidR="005C3EBF" w:rsidRPr="00F85989" w:rsidRDefault="005C3EBF" w:rsidP="00F22E10">
      <w:pPr>
        <w:contextualSpacing/>
        <w:jc w:val="center"/>
        <w:rPr>
          <w:rFonts w:ascii="Times New Roman" w:hAnsi="Times New Roman"/>
          <w:b/>
          <w:spacing w:val="5"/>
          <w:sz w:val="24"/>
          <w:szCs w:val="24"/>
        </w:rPr>
      </w:pPr>
    </w:p>
    <w:p w:rsidR="005C3EBF" w:rsidRPr="00F85989" w:rsidRDefault="005C3EBF" w:rsidP="00E22C11">
      <w:pPr>
        <w:contextualSpacing/>
        <w:jc w:val="center"/>
        <w:rPr>
          <w:rFonts w:ascii="Times New Roman" w:hAnsi="Times New Roman"/>
          <w:b/>
          <w:spacing w:val="5"/>
          <w:sz w:val="24"/>
          <w:szCs w:val="24"/>
        </w:rPr>
      </w:pPr>
      <w:r w:rsidRPr="00F85989">
        <w:rPr>
          <w:rFonts w:ascii="Times New Roman" w:hAnsi="Times New Roman"/>
          <w:b/>
          <w:spacing w:val="5"/>
          <w:sz w:val="24"/>
          <w:szCs w:val="24"/>
        </w:rPr>
        <w:t xml:space="preserve">Механизъм за определяне на </w:t>
      </w:r>
      <w:r w:rsidR="00026650" w:rsidRPr="00F85989">
        <w:rPr>
          <w:rFonts w:ascii="Times New Roman" w:hAnsi="Times New Roman"/>
          <w:b/>
          <w:spacing w:val="5"/>
          <w:sz w:val="24"/>
          <w:szCs w:val="24"/>
        </w:rPr>
        <w:t>основните бюджетни взаимоотношения между централния бюджет и бюджетите на общините под формата на субсидии за 2019 г.</w:t>
      </w:r>
    </w:p>
    <w:p w:rsidR="00694D11" w:rsidRPr="00F85989" w:rsidRDefault="00694D11" w:rsidP="00694D11">
      <w:pPr>
        <w:spacing w:before="120" w:after="0" w:line="240" w:lineRule="auto"/>
        <w:ind w:firstLine="640"/>
        <w:jc w:val="both"/>
        <w:rPr>
          <w:rFonts w:ascii="Times New Roman" w:hAnsi="Times New Roman"/>
          <w:sz w:val="24"/>
          <w:szCs w:val="24"/>
          <w:lang w:eastAsia="bg-BG"/>
        </w:rPr>
      </w:pPr>
    </w:p>
    <w:p w:rsidR="00694D11" w:rsidRPr="00F85989" w:rsidRDefault="00026650" w:rsidP="00694D11">
      <w:pPr>
        <w:spacing w:before="120" w:after="0" w:line="240" w:lineRule="auto"/>
        <w:ind w:firstLine="640"/>
        <w:jc w:val="both"/>
        <w:rPr>
          <w:rFonts w:ascii="Times New Roman" w:hAnsi="Times New Roman"/>
          <w:sz w:val="24"/>
          <w:szCs w:val="24"/>
          <w:lang w:eastAsia="bg-BG"/>
        </w:rPr>
      </w:pPr>
      <w:r w:rsidRPr="00F85989">
        <w:rPr>
          <w:rFonts w:ascii="Times New Roman" w:hAnsi="Times New Roman"/>
          <w:sz w:val="24"/>
          <w:szCs w:val="24"/>
          <w:lang w:eastAsia="bg-BG"/>
        </w:rPr>
        <w:t xml:space="preserve">Основните бюджетни взаимоотношения между централния бюджет и бюджетите на общините </w:t>
      </w:r>
      <w:r w:rsidR="00694D11" w:rsidRPr="00F85989">
        <w:rPr>
          <w:rFonts w:ascii="Times New Roman" w:hAnsi="Times New Roman"/>
          <w:sz w:val="24"/>
          <w:szCs w:val="24"/>
          <w:lang w:eastAsia="bg-BG"/>
        </w:rPr>
        <w:t xml:space="preserve">за </w:t>
      </w:r>
      <w:r w:rsidR="0022628C" w:rsidRPr="00F85989">
        <w:rPr>
          <w:rFonts w:ascii="Times New Roman" w:hAnsi="Times New Roman"/>
          <w:sz w:val="24"/>
          <w:szCs w:val="24"/>
          <w:lang w:eastAsia="bg-BG"/>
        </w:rPr>
        <w:t>201</w:t>
      </w:r>
      <w:r w:rsidR="00E87964" w:rsidRPr="00F85989">
        <w:rPr>
          <w:rFonts w:ascii="Times New Roman" w:hAnsi="Times New Roman"/>
          <w:sz w:val="24"/>
          <w:szCs w:val="24"/>
          <w:lang w:eastAsia="bg-BG"/>
        </w:rPr>
        <w:t>9</w:t>
      </w:r>
      <w:r w:rsidR="0022628C" w:rsidRPr="00F85989">
        <w:rPr>
          <w:rFonts w:ascii="Times New Roman" w:hAnsi="Times New Roman"/>
          <w:sz w:val="24"/>
          <w:szCs w:val="24"/>
          <w:lang w:eastAsia="bg-BG"/>
        </w:rPr>
        <w:t xml:space="preserve"> </w:t>
      </w:r>
      <w:r w:rsidR="00694D11" w:rsidRPr="00F85989">
        <w:rPr>
          <w:rFonts w:ascii="Times New Roman" w:hAnsi="Times New Roman"/>
          <w:sz w:val="24"/>
          <w:szCs w:val="24"/>
          <w:lang w:eastAsia="bg-BG"/>
        </w:rPr>
        <w:t>г. се изчисляват по следната формула:</w:t>
      </w:r>
    </w:p>
    <w:p w:rsidR="00694D11" w:rsidRPr="00F85989" w:rsidRDefault="00694D11" w:rsidP="00694D11">
      <w:pPr>
        <w:spacing w:before="120" w:after="0" w:line="240" w:lineRule="auto"/>
        <w:ind w:firstLine="641"/>
        <w:jc w:val="both"/>
        <w:rPr>
          <w:rFonts w:ascii="Times New Roman" w:hAnsi="Times New Roman"/>
          <w:sz w:val="24"/>
          <w:szCs w:val="24"/>
          <w:lang w:eastAsia="bg-BG"/>
        </w:rPr>
      </w:pPr>
      <w:r w:rsidRPr="00F85989">
        <w:rPr>
          <w:rFonts w:ascii="Times New Roman" w:hAnsi="Times New Roman"/>
          <w:b/>
          <w:sz w:val="24"/>
          <w:szCs w:val="24"/>
          <w:lang w:eastAsia="bg-BG"/>
        </w:rPr>
        <w:t>С = С1 + С2 + С3 + С4</w:t>
      </w:r>
      <w:r w:rsidRPr="00F85989">
        <w:rPr>
          <w:rFonts w:ascii="Times New Roman" w:hAnsi="Times New Roman"/>
          <w:sz w:val="24"/>
          <w:szCs w:val="24"/>
          <w:lang w:eastAsia="bg-BG"/>
        </w:rPr>
        <w:t>, където</w:t>
      </w:r>
    </w:p>
    <w:p w:rsidR="00694D11" w:rsidRPr="00F85989" w:rsidRDefault="00694D11" w:rsidP="00694D11">
      <w:pPr>
        <w:spacing w:before="120" w:after="0" w:line="240" w:lineRule="auto"/>
        <w:ind w:firstLine="640"/>
        <w:jc w:val="both"/>
        <w:rPr>
          <w:rFonts w:ascii="Times New Roman" w:hAnsi="Times New Roman"/>
          <w:sz w:val="24"/>
          <w:szCs w:val="24"/>
          <w:lang w:eastAsia="bg-BG"/>
        </w:rPr>
      </w:pPr>
      <w:r w:rsidRPr="00F85989">
        <w:rPr>
          <w:rFonts w:ascii="Times New Roman" w:hAnsi="Times New Roman"/>
          <w:b/>
          <w:sz w:val="24"/>
          <w:szCs w:val="24"/>
          <w:lang w:eastAsia="bg-BG"/>
        </w:rPr>
        <w:t>С</w:t>
      </w:r>
      <w:r w:rsidRPr="00F85989">
        <w:rPr>
          <w:rFonts w:ascii="Times New Roman" w:hAnsi="Times New Roman"/>
          <w:sz w:val="24"/>
          <w:szCs w:val="24"/>
          <w:lang w:eastAsia="bg-BG"/>
        </w:rPr>
        <w:t xml:space="preserve"> е размерът </w:t>
      </w:r>
      <w:r w:rsidR="00026650" w:rsidRPr="00F85989">
        <w:rPr>
          <w:rFonts w:ascii="Times New Roman" w:hAnsi="Times New Roman"/>
          <w:sz w:val="24"/>
          <w:szCs w:val="24"/>
          <w:lang w:eastAsia="bg-BG"/>
        </w:rPr>
        <w:t>на основното бюджетно взаимоотношение между централния бюджет и бюджета на конкретната община за 2019 г. под формата на субсидии</w:t>
      </w:r>
      <w:r w:rsidRPr="00F85989">
        <w:rPr>
          <w:rFonts w:ascii="Times New Roman" w:hAnsi="Times New Roman"/>
          <w:sz w:val="24"/>
          <w:szCs w:val="24"/>
          <w:lang w:eastAsia="bg-BG"/>
        </w:rPr>
        <w:t>.</w:t>
      </w:r>
    </w:p>
    <w:p w:rsidR="00694D11" w:rsidRPr="00F85989" w:rsidRDefault="00694D11" w:rsidP="00694D11">
      <w:pPr>
        <w:spacing w:before="120" w:after="0" w:line="240" w:lineRule="auto"/>
        <w:ind w:firstLine="640"/>
        <w:jc w:val="both"/>
        <w:rPr>
          <w:rFonts w:ascii="Times New Roman" w:hAnsi="Times New Roman"/>
          <w:sz w:val="24"/>
          <w:szCs w:val="24"/>
          <w:lang w:eastAsia="bg-BG"/>
        </w:rPr>
      </w:pPr>
      <w:r w:rsidRPr="00F85989">
        <w:rPr>
          <w:rFonts w:ascii="Times New Roman" w:hAnsi="Times New Roman"/>
          <w:b/>
          <w:sz w:val="24"/>
          <w:szCs w:val="24"/>
          <w:lang w:eastAsia="bg-BG"/>
        </w:rPr>
        <w:t>С1</w:t>
      </w:r>
      <w:r w:rsidRPr="00F85989">
        <w:rPr>
          <w:rFonts w:ascii="Times New Roman" w:hAnsi="Times New Roman"/>
          <w:sz w:val="24"/>
          <w:szCs w:val="24"/>
          <w:lang w:eastAsia="bg-BG"/>
        </w:rPr>
        <w:t xml:space="preserve"> е размерът на общата субсидия за делегираните от държавата дейности от централния бюджет за конкретната община. Изчислява се като сума на всички разходи за делегираните от държавата дейности, определени по стандарти.</w:t>
      </w:r>
    </w:p>
    <w:p w:rsidR="00694D11" w:rsidRPr="00F85989" w:rsidRDefault="00694D11" w:rsidP="00694D11">
      <w:pPr>
        <w:spacing w:before="120" w:after="0" w:line="240" w:lineRule="auto"/>
        <w:ind w:firstLine="640"/>
        <w:jc w:val="both"/>
        <w:rPr>
          <w:rFonts w:ascii="Times New Roman" w:hAnsi="Times New Roman"/>
          <w:sz w:val="24"/>
          <w:szCs w:val="24"/>
          <w:lang w:eastAsia="bg-BG"/>
        </w:rPr>
      </w:pPr>
      <w:r w:rsidRPr="00F85989">
        <w:rPr>
          <w:rFonts w:ascii="Times New Roman" w:hAnsi="Times New Roman"/>
          <w:b/>
          <w:sz w:val="24"/>
          <w:szCs w:val="24"/>
          <w:lang w:eastAsia="bg-BG"/>
        </w:rPr>
        <w:t>С2</w:t>
      </w:r>
      <w:r w:rsidRPr="00F85989">
        <w:rPr>
          <w:rFonts w:ascii="Times New Roman" w:hAnsi="Times New Roman"/>
          <w:sz w:val="24"/>
          <w:szCs w:val="24"/>
          <w:lang w:eastAsia="bg-BG"/>
        </w:rPr>
        <w:t xml:space="preserve"> е размерът на общата изравнителна субсидия от централния бюджет за конкретната община.</w:t>
      </w:r>
    </w:p>
    <w:p w:rsidR="007F1BF1" w:rsidRPr="00F85989" w:rsidRDefault="007F1BF1" w:rsidP="007F1BF1">
      <w:pPr>
        <w:spacing w:before="120" w:after="0" w:line="240" w:lineRule="auto"/>
        <w:ind w:firstLine="640"/>
        <w:jc w:val="both"/>
        <w:rPr>
          <w:rFonts w:ascii="Times New Roman" w:hAnsi="Times New Roman"/>
          <w:b/>
          <w:sz w:val="24"/>
          <w:szCs w:val="24"/>
          <w:lang w:eastAsia="bg-BG"/>
        </w:rPr>
      </w:pPr>
      <w:r w:rsidRPr="00F85989">
        <w:rPr>
          <w:rFonts w:ascii="Times New Roman" w:hAnsi="Times New Roman"/>
          <w:b/>
          <w:sz w:val="24"/>
          <w:szCs w:val="24"/>
          <w:lang w:eastAsia="bg-BG"/>
        </w:rPr>
        <w:t xml:space="preserve">Право да получават обща изравнителна субсидия през 2019 г. имат общините, чийто </w:t>
      </w:r>
      <w:r w:rsidR="004B1621" w:rsidRPr="00F85989">
        <w:rPr>
          <w:rFonts w:ascii="Times New Roman" w:hAnsi="Times New Roman"/>
          <w:b/>
          <w:sz w:val="24"/>
          <w:szCs w:val="24"/>
          <w:lang w:eastAsia="bg-BG"/>
        </w:rPr>
        <w:t xml:space="preserve">постоянни </w:t>
      </w:r>
      <w:r w:rsidRPr="00F85989">
        <w:rPr>
          <w:rFonts w:ascii="Times New Roman" w:hAnsi="Times New Roman"/>
          <w:b/>
          <w:sz w:val="24"/>
          <w:szCs w:val="24"/>
          <w:lang w:eastAsia="bg-BG"/>
        </w:rPr>
        <w:t xml:space="preserve">данъчни постъпления към 31 декември 2017 г. на един жител са по-ниски </w:t>
      </w:r>
      <w:r w:rsidR="00AF2A66" w:rsidRPr="00F85989">
        <w:rPr>
          <w:rFonts w:ascii="Times New Roman" w:hAnsi="Times New Roman"/>
          <w:b/>
          <w:sz w:val="24"/>
          <w:szCs w:val="24"/>
          <w:lang w:eastAsia="bg-BG"/>
        </w:rPr>
        <w:t xml:space="preserve">от </w:t>
      </w:r>
      <w:r w:rsidR="00CA69F9" w:rsidRPr="00F85989">
        <w:rPr>
          <w:rFonts w:ascii="Times New Roman" w:hAnsi="Times New Roman"/>
          <w:b/>
          <w:sz w:val="24"/>
          <w:szCs w:val="24"/>
          <w:lang w:eastAsia="bg-BG"/>
        </w:rPr>
        <w:t xml:space="preserve">120 на сто </w:t>
      </w:r>
      <w:r w:rsidRPr="00F85989">
        <w:rPr>
          <w:rFonts w:ascii="Times New Roman" w:hAnsi="Times New Roman"/>
          <w:b/>
          <w:sz w:val="24"/>
          <w:szCs w:val="24"/>
          <w:lang w:eastAsia="bg-BG"/>
        </w:rPr>
        <w:t>от равнището им за страната на един жител (ДПх1&lt;1,2*</w:t>
      </w:r>
      <w:proofErr w:type="spellStart"/>
      <w:r w:rsidRPr="00F85989">
        <w:rPr>
          <w:rFonts w:ascii="Times New Roman" w:hAnsi="Times New Roman"/>
          <w:b/>
          <w:sz w:val="24"/>
          <w:szCs w:val="24"/>
          <w:lang w:eastAsia="bg-BG"/>
        </w:rPr>
        <w:t>ДПстр</w:t>
      </w:r>
      <w:proofErr w:type="spellEnd"/>
      <w:r w:rsidRPr="00F85989">
        <w:rPr>
          <w:rFonts w:ascii="Times New Roman" w:hAnsi="Times New Roman"/>
          <w:b/>
          <w:sz w:val="24"/>
          <w:szCs w:val="24"/>
          <w:lang w:eastAsia="bg-BG"/>
        </w:rPr>
        <w:t>.)</w:t>
      </w:r>
    </w:p>
    <w:p w:rsidR="00694D11" w:rsidRPr="00F85989" w:rsidRDefault="007F1BF1" w:rsidP="00694D11">
      <w:pPr>
        <w:spacing w:before="120" w:after="0" w:line="240" w:lineRule="auto"/>
        <w:ind w:firstLine="641"/>
        <w:jc w:val="both"/>
        <w:rPr>
          <w:rFonts w:ascii="Times New Roman" w:hAnsi="Times New Roman"/>
          <w:sz w:val="24"/>
          <w:szCs w:val="24"/>
          <w:lang w:eastAsia="bg-BG"/>
        </w:rPr>
      </w:pPr>
      <w:r w:rsidRPr="00F85989">
        <w:rPr>
          <w:rFonts w:ascii="Times New Roman" w:hAnsi="Times New Roman"/>
          <w:sz w:val="24"/>
          <w:szCs w:val="24"/>
          <w:lang w:eastAsia="bg-BG"/>
        </w:rPr>
        <w:t xml:space="preserve">Общата изравнителна субсидия </w:t>
      </w:r>
      <w:r w:rsidR="00694D11" w:rsidRPr="00F85989">
        <w:rPr>
          <w:rFonts w:ascii="Times New Roman" w:hAnsi="Times New Roman"/>
          <w:sz w:val="24"/>
          <w:szCs w:val="24"/>
          <w:lang w:eastAsia="bg-BG"/>
        </w:rPr>
        <w:t xml:space="preserve">за общините </w:t>
      </w:r>
      <w:r w:rsidRPr="00F85989">
        <w:rPr>
          <w:rFonts w:ascii="Times New Roman" w:hAnsi="Times New Roman"/>
          <w:sz w:val="24"/>
          <w:szCs w:val="24"/>
          <w:lang w:eastAsia="bg-BG"/>
        </w:rPr>
        <w:t xml:space="preserve">с достъп </w:t>
      </w:r>
      <w:r w:rsidR="00694D11" w:rsidRPr="00F85989">
        <w:rPr>
          <w:rFonts w:ascii="Times New Roman" w:hAnsi="Times New Roman"/>
          <w:sz w:val="24"/>
          <w:szCs w:val="24"/>
          <w:lang w:eastAsia="bg-BG"/>
        </w:rPr>
        <w:t xml:space="preserve">за </w:t>
      </w:r>
      <w:r w:rsidR="0022628C" w:rsidRPr="00F85989">
        <w:rPr>
          <w:rFonts w:ascii="Times New Roman" w:hAnsi="Times New Roman"/>
          <w:sz w:val="24"/>
          <w:szCs w:val="24"/>
          <w:lang w:eastAsia="bg-BG"/>
        </w:rPr>
        <w:t>201</w:t>
      </w:r>
      <w:r w:rsidRPr="00F85989">
        <w:rPr>
          <w:rFonts w:ascii="Times New Roman" w:hAnsi="Times New Roman"/>
          <w:sz w:val="24"/>
          <w:szCs w:val="24"/>
          <w:lang w:eastAsia="bg-BG"/>
        </w:rPr>
        <w:t>9</w:t>
      </w:r>
      <w:r w:rsidR="0022628C" w:rsidRPr="00F85989">
        <w:rPr>
          <w:rFonts w:ascii="Times New Roman" w:hAnsi="Times New Roman"/>
          <w:sz w:val="24"/>
          <w:szCs w:val="24"/>
          <w:lang w:eastAsia="bg-BG"/>
        </w:rPr>
        <w:t xml:space="preserve"> </w:t>
      </w:r>
      <w:r w:rsidR="00694D11" w:rsidRPr="00F85989">
        <w:rPr>
          <w:rFonts w:ascii="Times New Roman" w:hAnsi="Times New Roman"/>
          <w:sz w:val="24"/>
          <w:szCs w:val="24"/>
          <w:lang w:eastAsia="bg-BG"/>
        </w:rPr>
        <w:t>г. се изчислява по следната формула:</w:t>
      </w:r>
    </w:p>
    <w:p w:rsidR="007F1BF1" w:rsidRPr="00F85989" w:rsidRDefault="00694D11" w:rsidP="007F1BF1">
      <w:pPr>
        <w:spacing w:before="120" w:after="0" w:line="240" w:lineRule="auto"/>
        <w:ind w:firstLine="720"/>
        <w:jc w:val="both"/>
        <w:rPr>
          <w:rFonts w:ascii="Times New Roman" w:hAnsi="Times New Roman"/>
          <w:sz w:val="24"/>
          <w:szCs w:val="24"/>
          <w:lang w:eastAsia="bg-BG"/>
        </w:rPr>
      </w:pPr>
      <w:r w:rsidRPr="00F85989">
        <w:rPr>
          <w:rFonts w:ascii="Times New Roman" w:hAnsi="Times New Roman"/>
          <w:sz w:val="24"/>
          <w:szCs w:val="24"/>
          <w:lang w:eastAsia="bg-BG"/>
        </w:rPr>
        <w:t xml:space="preserve">С2 = </w:t>
      </w:r>
      <w:r w:rsidR="007F1BF1" w:rsidRPr="00F85989">
        <w:rPr>
          <w:rFonts w:ascii="Times New Roman" w:hAnsi="Times New Roman"/>
          <w:sz w:val="24"/>
          <w:szCs w:val="24"/>
          <w:lang w:eastAsia="bg-BG"/>
        </w:rPr>
        <w:t xml:space="preserve">A1 + A2 </w:t>
      </w:r>
      <w:r w:rsidR="007F1BF1" w:rsidRPr="00F85989">
        <w:rPr>
          <w:rFonts w:ascii="Times New Roman" w:hAnsi="Times New Roman"/>
          <w:sz w:val="24"/>
          <w:szCs w:val="24"/>
          <w:lang w:val="en-US" w:eastAsia="bg-BG"/>
        </w:rPr>
        <w:t xml:space="preserve">+ </w:t>
      </w:r>
      <w:r w:rsidR="007F1BF1" w:rsidRPr="00F85989">
        <w:rPr>
          <w:rFonts w:ascii="Times New Roman" w:hAnsi="Times New Roman"/>
          <w:sz w:val="24"/>
          <w:szCs w:val="24"/>
          <w:lang w:eastAsia="bg-BG"/>
        </w:rPr>
        <w:t>А3 + А4 + А5</w:t>
      </w:r>
    </w:p>
    <w:p w:rsidR="007F1BF1" w:rsidRPr="00F85989" w:rsidRDefault="007F1BF1" w:rsidP="007F1BF1">
      <w:pPr>
        <w:spacing w:before="120" w:after="0" w:line="240" w:lineRule="auto"/>
        <w:ind w:firstLine="640"/>
        <w:jc w:val="both"/>
        <w:rPr>
          <w:rFonts w:ascii="Times New Roman" w:hAnsi="Times New Roman"/>
          <w:sz w:val="24"/>
          <w:szCs w:val="24"/>
          <w:lang w:eastAsia="bg-BG"/>
        </w:rPr>
      </w:pPr>
      <w:r w:rsidRPr="00F85989">
        <w:rPr>
          <w:rFonts w:ascii="Times New Roman" w:hAnsi="Times New Roman"/>
          <w:b/>
          <w:sz w:val="24"/>
          <w:szCs w:val="24"/>
          <w:lang w:eastAsia="bg-BG"/>
        </w:rPr>
        <w:t xml:space="preserve">А1 </w:t>
      </w:r>
      <w:r w:rsidRPr="00F85989">
        <w:rPr>
          <w:rFonts w:ascii="Times New Roman" w:hAnsi="Times New Roman"/>
          <w:sz w:val="24"/>
          <w:szCs w:val="24"/>
          <w:lang w:eastAsia="bg-BG"/>
        </w:rPr>
        <w:t xml:space="preserve">е първата част от размера на общата изравнителна субсидия от централния бюджет за конкретната община. Право да получават тази част от субсидията имат общините с посочения достъп в зависимост от постоянните данъчни постъпления на един жител, като изравняването е в размер на разликата между </w:t>
      </w:r>
      <w:r w:rsidR="00CA69F9" w:rsidRPr="00F85989">
        <w:rPr>
          <w:rFonts w:ascii="Times New Roman" w:hAnsi="Times New Roman"/>
          <w:sz w:val="24"/>
          <w:szCs w:val="24"/>
          <w:lang w:val="en-US" w:eastAsia="bg-BG"/>
        </w:rPr>
        <w:t xml:space="preserve">120 </w:t>
      </w:r>
      <w:r w:rsidR="00CA69F9" w:rsidRPr="00F85989">
        <w:rPr>
          <w:rFonts w:ascii="Times New Roman" w:hAnsi="Times New Roman"/>
          <w:sz w:val="24"/>
          <w:szCs w:val="24"/>
          <w:lang w:eastAsia="bg-BG"/>
        </w:rPr>
        <w:t>на сто</w:t>
      </w:r>
      <w:r w:rsidRPr="00F85989">
        <w:rPr>
          <w:rFonts w:ascii="Times New Roman" w:hAnsi="Times New Roman"/>
          <w:sz w:val="24"/>
          <w:szCs w:val="24"/>
          <w:lang w:val="en-US" w:eastAsia="bg-BG"/>
        </w:rPr>
        <w:t xml:space="preserve"> </w:t>
      </w:r>
      <w:r w:rsidRPr="00F85989">
        <w:rPr>
          <w:rFonts w:ascii="Times New Roman" w:hAnsi="Times New Roman"/>
          <w:sz w:val="24"/>
          <w:szCs w:val="24"/>
          <w:lang w:eastAsia="bg-BG"/>
        </w:rPr>
        <w:t xml:space="preserve">от равнището за страната и постоянните данъчни постъпления на един жител за конкретната община, умножена по броя на жителите й. </w:t>
      </w:r>
    </w:p>
    <w:p w:rsidR="007F1BF1" w:rsidRPr="00F85989" w:rsidRDefault="007F1BF1" w:rsidP="007F1BF1">
      <w:pPr>
        <w:spacing w:before="120" w:after="0" w:line="240" w:lineRule="auto"/>
        <w:ind w:firstLine="567"/>
        <w:jc w:val="both"/>
        <w:rPr>
          <w:rFonts w:ascii="Times New Roman" w:hAnsi="Times New Roman"/>
          <w:bCs/>
          <w:sz w:val="24"/>
          <w:szCs w:val="24"/>
          <w:lang w:eastAsia="bg-BG"/>
        </w:rPr>
      </w:pPr>
      <w:r w:rsidRPr="00F85989">
        <w:rPr>
          <w:rFonts w:ascii="Times New Roman" w:hAnsi="Times New Roman"/>
          <w:b/>
          <w:sz w:val="24"/>
          <w:szCs w:val="24"/>
          <w:lang w:eastAsia="bg-BG"/>
        </w:rPr>
        <w:t>ИДП</w:t>
      </w:r>
      <w:r w:rsidRPr="00F85989">
        <w:rPr>
          <w:rFonts w:ascii="Times New Roman" w:hAnsi="Times New Roman"/>
          <w:b/>
          <w:sz w:val="24"/>
          <w:szCs w:val="24"/>
          <w:vertAlign w:val="subscript"/>
          <w:lang w:eastAsia="bg-BG"/>
        </w:rPr>
        <w:t xml:space="preserve">х1 </w:t>
      </w:r>
      <w:r w:rsidRPr="00F85989">
        <w:rPr>
          <w:rFonts w:ascii="Times New Roman" w:hAnsi="Times New Roman"/>
          <w:b/>
          <w:sz w:val="24"/>
          <w:szCs w:val="24"/>
          <w:lang w:eastAsia="bg-BG"/>
        </w:rPr>
        <w:t xml:space="preserve"> = </w:t>
      </w:r>
      <w:r w:rsidRPr="00F85989">
        <w:rPr>
          <w:rFonts w:ascii="Times New Roman" w:hAnsi="Times New Roman"/>
          <w:sz w:val="24"/>
          <w:szCs w:val="24"/>
          <w:lang w:eastAsia="bg-BG"/>
        </w:rPr>
        <w:t>(1,2*</w:t>
      </w:r>
      <w:proofErr w:type="spellStart"/>
      <w:r w:rsidRPr="00F85989">
        <w:rPr>
          <w:rFonts w:ascii="Times New Roman" w:hAnsi="Times New Roman"/>
          <w:sz w:val="24"/>
          <w:szCs w:val="24"/>
          <w:lang w:eastAsia="bg-BG"/>
        </w:rPr>
        <w:t>ДП</w:t>
      </w:r>
      <w:r w:rsidRPr="00F85989">
        <w:rPr>
          <w:rFonts w:ascii="Times New Roman" w:hAnsi="Times New Roman"/>
          <w:sz w:val="24"/>
          <w:szCs w:val="24"/>
          <w:vertAlign w:val="subscript"/>
          <w:lang w:eastAsia="bg-BG"/>
        </w:rPr>
        <w:t>стр</w:t>
      </w:r>
      <w:proofErr w:type="spellEnd"/>
      <w:r w:rsidRPr="00F85989">
        <w:rPr>
          <w:rFonts w:ascii="Times New Roman" w:hAnsi="Times New Roman"/>
          <w:sz w:val="24"/>
          <w:szCs w:val="24"/>
          <w:vertAlign w:val="subscript"/>
          <w:lang w:eastAsia="bg-BG"/>
        </w:rPr>
        <w:t xml:space="preserve"> </w:t>
      </w:r>
      <w:r w:rsidRPr="00F85989">
        <w:rPr>
          <w:rFonts w:ascii="Times New Roman" w:hAnsi="Times New Roman"/>
          <w:sz w:val="24"/>
          <w:szCs w:val="24"/>
          <w:lang w:eastAsia="bg-BG"/>
        </w:rPr>
        <w:t>-ДП</w:t>
      </w:r>
      <w:r w:rsidRPr="00F85989">
        <w:rPr>
          <w:rFonts w:ascii="Times New Roman" w:hAnsi="Times New Roman"/>
          <w:sz w:val="24"/>
          <w:szCs w:val="24"/>
          <w:vertAlign w:val="subscript"/>
          <w:lang w:eastAsia="bg-BG"/>
        </w:rPr>
        <w:t>х1</w:t>
      </w:r>
      <w:r w:rsidRPr="00F85989">
        <w:rPr>
          <w:rFonts w:ascii="Times New Roman" w:hAnsi="Times New Roman"/>
          <w:sz w:val="24"/>
          <w:szCs w:val="24"/>
          <w:lang w:eastAsia="bg-BG"/>
        </w:rPr>
        <w:t>)</w:t>
      </w:r>
      <w:r w:rsidRPr="00F85989">
        <w:rPr>
          <w:rFonts w:ascii="Times New Roman" w:hAnsi="Times New Roman"/>
          <w:b/>
          <w:sz w:val="24"/>
          <w:szCs w:val="24"/>
          <w:lang w:eastAsia="bg-BG"/>
        </w:rPr>
        <w:t xml:space="preserve"> </w:t>
      </w:r>
      <w:r w:rsidRPr="00F85989">
        <w:rPr>
          <w:rFonts w:ascii="Times New Roman" w:hAnsi="Times New Roman"/>
          <w:bCs/>
          <w:sz w:val="24"/>
          <w:szCs w:val="24"/>
          <w:lang w:eastAsia="bg-BG"/>
        </w:rPr>
        <w:t>* Н</w:t>
      </w:r>
      <w:r w:rsidRPr="00F85989">
        <w:rPr>
          <w:rFonts w:ascii="Times New Roman" w:hAnsi="Times New Roman"/>
          <w:bCs/>
          <w:sz w:val="24"/>
          <w:szCs w:val="24"/>
          <w:vertAlign w:val="subscript"/>
          <w:lang w:eastAsia="bg-BG"/>
        </w:rPr>
        <w:t xml:space="preserve">х1, </w:t>
      </w:r>
      <w:r w:rsidRPr="00F85989">
        <w:rPr>
          <w:rFonts w:ascii="Times New Roman" w:hAnsi="Times New Roman"/>
          <w:bCs/>
          <w:sz w:val="24"/>
          <w:szCs w:val="24"/>
          <w:lang w:eastAsia="bg-BG"/>
        </w:rPr>
        <w:t>където</w:t>
      </w:r>
    </w:p>
    <w:p w:rsidR="007F1BF1" w:rsidRPr="00F85989" w:rsidRDefault="007F1BF1" w:rsidP="007F1BF1">
      <w:pPr>
        <w:spacing w:before="120" w:after="0" w:line="240" w:lineRule="auto"/>
        <w:ind w:firstLine="567"/>
        <w:jc w:val="both"/>
        <w:rPr>
          <w:rFonts w:ascii="Times New Roman" w:hAnsi="Times New Roman"/>
          <w:sz w:val="24"/>
          <w:szCs w:val="24"/>
          <w:lang w:eastAsia="bg-BG"/>
        </w:rPr>
      </w:pPr>
      <w:r w:rsidRPr="00F85989">
        <w:rPr>
          <w:rFonts w:ascii="Times New Roman" w:hAnsi="Times New Roman"/>
          <w:b/>
          <w:sz w:val="24"/>
          <w:szCs w:val="24"/>
          <w:lang w:eastAsia="bg-BG"/>
        </w:rPr>
        <w:t>ИДП</w:t>
      </w:r>
      <w:r w:rsidRPr="00F85989">
        <w:rPr>
          <w:rFonts w:ascii="Times New Roman" w:hAnsi="Times New Roman"/>
          <w:b/>
          <w:sz w:val="24"/>
          <w:szCs w:val="24"/>
          <w:vertAlign w:val="subscript"/>
          <w:lang w:eastAsia="bg-BG"/>
        </w:rPr>
        <w:t>х1</w:t>
      </w:r>
      <w:r w:rsidRPr="00F85989">
        <w:rPr>
          <w:rFonts w:ascii="Times New Roman" w:hAnsi="Times New Roman"/>
          <w:b/>
          <w:sz w:val="24"/>
          <w:szCs w:val="24"/>
          <w:lang w:eastAsia="bg-BG"/>
        </w:rPr>
        <w:t xml:space="preserve"> </w:t>
      </w:r>
      <w:r w:rsidRPr="00F85989">
        <w:rPr>
          <w:rFonts w:ascii="Times New Roman" w:hAnsi="Times New Roman"/>
          <w:sz w:val="24"/>
          <w:szCs w:val="24"/>
          <w:lang w:eastAsia="bg-BG"/>
        </w:rPr>
        <w:t>е стойността на изравняването на постоянните данъчни постъпления по компонента А1 за конкретната община</w:t>
      </w:r>
      <w:r w:rsidRPr="00F85989">
        <w:rPr>
          <w:rFonts w:ascii="Times New Roman" w:hAnsi="Times New Roman"/>
          <w:sz w:val="24"/>
          <w:szCs w:val="24"/>
          <w:lang w:val="en-US" w:eastAsia="bg-BG"/>
        </w:rPr>
        <w:t>.</w:t>
      </w:r>
      <w:r w:rsidRPr="00F85989">
        <w:rPr>
          <w:rFonts w:ascii="Times New Roman" w:hAnsi="Times New Roman"/>
          <w:sz w:val="24"/>
          <w:szCs w:val="24"/>
          <w:lang w:eastAsia="bg-BG"/>
        </w:rPr>
        <w:t xml:space="preserve"> </w:t>
      </w:r>
    </w:p>
    <w:p w:rsidR="007F1BF1" w:rsidRPr="00F85989" w:rsidRDefault="007F1BF1" w:rsidP="007F1BF1">
      <w:pPr>
        <w:spacing w:before="120" w:after="0" w:line="240" w:lineRule="auto"/>
        <w:ind w:firstLine="567"/>
        <w:jc w:val="both"/>
        <w:rPr>
          <w:rFonts w:ascii="Times New Roman" w:hAnsi="Times New Roman"/>
          <w:sz w:val="24"/>
          <w:szCs w:val="24"/>
          <w:lang w:eastAsia="bg-BG"/>
        </w:rPr>
      </w:pPr>
      <w:r w:rsidRPr="00F85989">
        <w:rPr>
          <w:rFonts w:ascii="Times New Roman" w:hAnsi="Times New Roman"/>
          <w:b/>
          <w:sz w:val="24"/>
          <w:szCs w:val="24"/>
          <w:lang w:eastAsia="bg-BG"/>
        </w:rPr>
        <w:t>ДП</w:t>
      </w:r>
      <w:r w:rsidRPr="00F85989">
        <w:rPr>
          <w:rFonts w:ascii="Times New Roman" w:hAnsi="Times New Roman"/>
          <w:b/>
          <w:sz w:val="24"/>
          <w:szCs w:val="24"/>
          <w:vertAlign w:val="subscript"/>
          <w:lang w:eastAsia="bg-BG"/>
        </w:rPr>
        <w:t xml:space="preserve">х1 </w:t>
      </w:r>
      <w:r w:rsidRPr="00F85989">
        <w:rPr>
          <w:rFonts w:ascii="Times New Roman" w:hAnsi="Times New Roman"/>
          <w:sz w:val="24"/>
          <w:szCs w:val="24"/>
          <w:lang w:eastAsia="bg-BG"/>
        </w:rPr>
        <w:t>е размерът на постоянните данъчни постъпления (данък върху недвижимите имоти (§13-01), данък върху превозните средства (§13-03), туристически данък (§13-08) и патентен данък и данък върху таксиметров превоз на пътници (§01-0</w:t>
      </w:r>
      <w:r w:rsidR="00CA69F9" w:rsidRPr="00F85989">
        <w:rPr>
          <w:rFonts w:ascii="Times New Roman" w:hAnsi="Times New Roman"/>
          <w:sz w:val="24"/>
          <w:szCs w:val="24"/>
          <w:lang w:eastAsia="bg-BG"/>
        </w:rPr>
        <w:t>3)</w:t>
      </w:r>
      <w:r w:rsidRPr="00F85989">
        <w:rPr>
          <w:rFonts w:ascii="Times New Roman" w:hAnsi="Times New Roman"/>
          <w:sz w:val="24"/>
          <w:szCs w:val="24"/>
          <w:lang w:eastAsia="bg-BG"/>
        </w:rPr>
        <w:t xml:space="preserve"> на един жител на конкретната община към 31 декември 2017 г.</w:t>
      </w:r>
    </w:p>
    <w:p w:rsidR="007F1BF1" w:rsidRPr="00F85989" w:rsidRDefault="007F1BF1" w:rsidP="007F1BF1">
      <w:pPr>
        <w:spacing w:before="120" w:after="0" w:line="240" w:lineRule="auto"/>
        <w:ind w:firstLine="567"/>
        <w:jc w:val="both"/>
        <w:rPr>
          <w:rFonts w:ascii="Times New Roman" w:hAnsi="Times New Roman"/>
          <w:sz w:val="24"/>
          <w:szCs w:val="24"/>
          <w:lang w:eastAsia="bg-BG"/>
        </w:rPr>
      </w:pPr>
      <w:proofErr w:type="spellStart"/>
      <w:r w:rsidRPr="00F85989">
        <w:rPr>
          <w:rFonts w:ascii="Times New Roman" w:hAnsi="Times New Roman"/>
          <w:b/>
          <w:sz w:val="24"/>
          <w:szCs w:val="24"/>
          <w:lang w:eastAsia="bg-BG"/>
        </w:rPr>
        <w:t>ДП</w:t>
      </w:r>
      <w:r w:rsidRPr="00F85989">
        <w:rPr>
          <w:rFonts w:ascii="Times New Roman" w:hAnsi="Times New Roman"/>
          <w:b/>
          <w:sz w:val="24"/>
          <w:szCs w:val="24"/>
          <w:vertAlign w:val="subscript"/>
          <w:lang w:eastAsia="bg-BG"/>
        </w:rPr>
        <w:t>стр</w:t>
      </w:r>
      <w:proofErr w:type="spellEnd"/>
      <w:r w:rsidRPr="00F85989">
        <w:rPr>
          <w:rFonts w:ascii="Times New Roman" w:hAnsi="Times New Roman"/>
          <w:sz w:val="24"/>
          <w:szCs w:val="24"/>
          <w:lang w:eastAsia="bg-BG"/>
        </w:rPr>
        <w:t xml:space="preserve"> е размерът на постоянните данъчни постъпления (§13-01, §13-03, § 13-08 и §01-03 от ЕБК) на един жител за страната към 31 декември 201</w:t>
      </w:r>
      <w:r w:rsidRPr="00F85989">
        <w:rPr>
          <w:rFonts w:ascii="Times New Roman" w:hAnsi="Times New Roman"/>
          <w:sz w:val="24"/>
          <w:szCs w:val="24"/>
          <w:lang w:val="en-US" w:eastAsia="bg-BG"/>
        </w:rPr>
        <w:t>7</w:t>
      </w:r>
      <w:r w:rsidRPr="00F85989">
        <w:rPr>
          <w:rFonts w:ascii="Times New Roman" w:hAnsi="Times New Roman"/>
          <w:sz w:val="24"/>
          <w:szCs w:val="24"/>
          <w:lang w:eastAsia="bg-BG"/>
        </w:rPr>
        <w:t xml:space="preserve"> г.</w:t>
      </w:r>
    </w:p>
    <w:p w:rsidR="007F1BF1" w:rsidRPr="00F85989" w:rsidRDefault="007F1BF1" w:rsidP="007F1BF1">
      <w:pPr>
        <w:spacing w:before="120" w:after="0" w:line="240" w:lineRule="auto"/>
        <w:ind w:firstLine="567"/>
        <w:jc w:val="both"/>
        <w:rPr>
          <w:rFonts w:ascii="Times New Roman" w:hAnsi="Times New Roman"/>
          <w:sz w:val="24"/>
          <w:szCs w:val="24"/>
          <w:lang w:eastAsia="bg-BG"/>
        </w:rPr>
      </w:pPr>
      <w:r w:rsidRPr="00F85989">
        <w:rPr>
          <w:rFonts w:ascii="Times New Roman" w:hAnsi="Times New Roman"/>
          <w:b/>
          <w:sz w:val="24"/>
          <w:szCs w:val="24"/>
          <w:lang w:eastAsia="bg-BG"/>
        </w:rPr>
        <w:t>Н</w:t>
      </w:r>
      <w:r w:rsidRPr="00F85989">
        <w:rPr>
          <w:rFonts w:ascii="Times New Roman" w:hAnsi="Times New Roman"/>
          <w:b/>
          <w:sz w:val="24"/>
          <w:szCs w:val="24"/>
          <w:vertAlign w:val="subscript"/>
          <w:lang w:eastAsia="bg-BG"/>
        </w:rPr>
        <w:t>х1</w:t>
      </w:r>
      <w:r w:rsidRPr="00F85989">
        <w:rPr>
          <w:rFonts w:ascii="Times New Roman" w:hAnsi="Times New Roman"/>
          <w:sz w:val="24"/>
          <w:szCs w:val="24"/>
          <w:lang w:eastAsia="bg-BG"/>
        </w:rPr>
        <w:t xml:space="preserve"> е населението на съответната община по данни на Националния статистически институт (НСИ) към 31 декември 201</w:t>
      </w:r>
      <w:r w:rsidRPr="00F85989">
        <w:rPr>
          <w:rFonts w:ascii="Times New Roman" w:hAnsi="Times New Roman"/>
          <w:sz w:val="24"/>
          <w:szCs w:val="24"/>
          <w:lang w:val="en-US" w:eastAsia="bg-BG"/>
        </w:rPr>
        <w:t>7</w:t>
      </w:r>
      <w:r w:rsidRPr="00F85989">
        <w:rPr>
          <w:rFonts w:ascii="Times New Roman" w:hAnsi="Times New Roman"/>
          <w:sz w:val="24"/>
          <w:szCs w:val="24"/>
          <w:lang w:eastAsia="bg-BG"/>
        </w:rPr>
        <w:t xml:space="preserve"> г.</w:t>
      </w:r>
    </w:p>
    <w:p w:rsidR="007F1BF1" w:rsidRPr="00F85989" w:rsidRDefault="007F1BF1" w:rsidP="007F1BF1">
      <w:pPr>
        <w:spacing w:before="120" w:after="120" w:line="240" w:lineRule="auto"/>
        <w:ind w:firstLine="640"/>
        <w:jc w:val="both"/>
        <w:rPr>
          <w:rFonts w:ascii="Times New Roman" w:hAnsi="Times New Roman"/>
          <w:sz w:val="24"/>
          <w:szCs w:val="24"/>
          <w:lang w:eastAsia="bg-BG"/>
        </w:rPr>
      </w:pPr>
      <w:r w:rsidRPr="00F85989">
        <w:rPr>
          <w:rFonts w:ascii="Times New Roman" w:hAnsi="Times New Roman"/>
          <w:b/>
          <w:sz w:val="24"/>
          <w:szCs w:val="24"/>
          <w:lang w:eastAsia="bg-BG"/>
        </w:rPr>
        <w:t>А2</w:t>
      </w:r>
      <w:r w:rsidRPr="00F85989">
        <w:rPr>
          <w:rFonts w:ascii="Times New Roman" w:hAnsi="Times New Roman"/>
          <w:sz w:val="24"/>
          <w:szCs w:val="24"/>
          <w:lang w:eastAsia="bg-BG"/>
        </w:rPr>
        <w:t xml:space="preserve"> е втората част от размера на общата изравнителна субсидия от централния бюджет за конкретната община с достъп. </w:t>
      </w:r>
    </w:p>
    <w:p w:rsidR="007F1BF1" w:rsidRPr="00F85989" w:rsidRDefault="007F1BF1" w:rsidP="007F1BF1">
      <w:pPr>
        <w:spacing w:after="120" w:line="240" w:lineRule="auto"/>
        <w:jc w:val="both"/>
        <w:rPr>
          <w:rFonts w:ascii="Times New Roman" w:hAnsi="Times New Roman"/>
          <w:sz w:val="24"/>
          <w:szCs w:val="24"/>
          <w:lang w:eastAsia="bg-BG"/>
        </w:rPr>
      </w:pPr>
      <w:r w:rsidRPr="00F85989">
        <w:rPr>
          <w:rFonts w:ascii="Times New Roman" w:hAnsi="Times New Roman"/>
          <w:sz w:val="24"/>
          <w:szCs w:val="24"/>
          <w:lang w:eastAsia="bg-BG"/>
        </w:rPr>
        <w:t>Разпределението на сумата от компоне</w:t>
      </w:r>
      <w:r w:rsidR="00800A18" w:rsidRPr="00F85989">
        <w:rPr>
          <w:rFonts w:ascii="Times New Roman" w:hAnsi="Times New Roman"/>
          <w:sz w:val="24"/>
          <w:szCs w:val="24"/>
          <w:lang w:eastAsia="bg-BG"/>
        </w:rPr>
        <w:t>нта А2 по общини е на база дела</w:t>
      </w:r>
      <w:r w:rsidRPr="00F85989">
        <w:rPr>
          <w:rFonts w:ascii="Times New Roman" w:hAnsi="Times New Roman"/>
          <w:sz w:val="24"/>
          <w:szCs w:val="24"/>
          <w:lang w:eastAsia="bg-BG"/>
        </w:rPr>
        <w:t xml:space="preserve"> на разходните потребности за конкретната община с достъп.</w:t>
      </w:r>
    </w:p>
    <w:p w:rsidR="007F1BF1" w:rsidRPr="00F85989" w:rsidRDefault="007F1BF1" w:rsidP="007F1BF1">
      <w:pPr>
        <w:widowControl w:val="0"/>
        <w:spacing w:after="0" w:line="240" w:lineRule="auto"/>
        <w:ind w:firstLine="567"/>
        <w:jc w:val="both"/>
        <w:rPr>
          <w:rFonts w:ascii="Times New Roman" w:hAnsi="Times New Roman"/>
          <w:sz w:val="24"/>
          <w:szCs w:val="24"/>
          <w:lang w:eastAsia="bg-BG"/>
        </w:rPr>
      </w:pPr>
      <w:r w:rsidRPr="00F85989">
        <w:rPr>
          <w:rFonts w:ascii="Times New Roman" w:hAnsi="Times New Roman"/>
          <w:sz w:val="24"/>
          <w:szCs w:val="24"/>
          <w:lang w:eastAsia="bg-BG"/>
        </w:rPr>
        <w:lastRenderedPageBreak/>
        <w:t>За определяне на разходните потребности на общините се използват следните натурални показатели:</w:t>
      </w:r>
    </w:p>
    <w:p w:rsidR="007F1BF1" w:rsidRPr="00F85989" w:rsidRDefault="007F1BF1" w:rsidP="007F1BF1">
      <w:pPr>
        <w:widowControl w:val="0"/>
        <w:numPr>
          <w:ilvl w:val="1"/>
          <w:numId w:val="3"/>
        </w:numPr>
        <w:spacing w:after="0" w:line="240" w:lineRule="auto"/>
        <w:jc w:val="both"/>
        <w:rPr>
          <w:rFonts w:ascii="Times New Roman" w:hAnsi="Times New Roman"/>
          <w:sz w:val="24"/>
          <w:szCs w:val="24"/>
          <w:lang w:val="ru-RU" w:eastAsia="bg-BG"/>
        </w:rPr>
      </w:pPr>
      <w:r w:rsidRPr="00F85989">
        <w:rPr>
          <w:rFonts w:ascii="Times New Roman" w:hAnsi="Times New Roman"/>
          <w:sz w:val="24"/>
          <w:szCs w:val="24"/>
          <w:lang w:eastAsia="bg-BG"/>
        </w:rPr>
        <w:t>Бр</w:t>
      </w:r>
      <w:r w:rsidR="004B1621" w:rsidRPr="00F85989">
        <w:rPr>
          <w:rFonts w:ascii="Times New Roman" w:hAnsi="Times New Roman"/>
          <w:sz w:val="24"/>
          <w:szCs w:val="24"/>
          <w:lang w:eastAsia="bg-BG"/>
        </w:rPr>
        <w:t>ой</w:t>
      </w:r>
      <w:r w:rsidRPr="00F85989">
        <w:rPr>
          <w:rFonts w:ascii="Times New Roman" w:hAnsi="Times New Roman"/>
          <w:sz w:val="24"/>
          <w:szCs w:val="24"/>
          <w:lang w:eastAsia="bg-BG"/>
        </w:rPr>
        <w:t xml:space="preserve"> деца до 5 г.</w:t>
      </w:r>
      <w:r w:rsidRPr="00F85989">
        <w:rPr>
          <w:rFonts w:ascii="Times New Roman" w:hAnsi="Times New Roman"/>
          <w:sz w:val="24"/>
          <w:szCs w:val="24"/>
          <w:lang w:val="ru-RU" w:eastAsia="bg-BG"/>
        </w:rPr>
        <w:t xml:space="preserve"> </w:t>
      </w:r>
    </w:p>
    <w:p w:rsidR="007F1BF1" w:rsidRPr="00F85989" w:rsidRDefault="007F1BF1" w:rsidP="007F1BF1">
      <w:pPr>
        <w:widowControl w:val="0"/>
        <w:numPr>
          <w:ilvl w:val="1"/>
          <w:numId w:val="3"/>
        </w:numPr>
        <w:spacing w:after="0" w:line="240" w:lineRule="auto"/>
        <w:jc w:val="both"/>
        <w:rPr>
          <w:rFonts w:ascii="Times New Roman" w:hAnsi="Times New Roman"/>
          <w:sz w:val="24"/>
          <w:szCs w:val="24"/>
          <w:lang w:val="ru-RU" w:eastAsia="bg-BG"/>
        </w:rPr>
      </w:pPr>
      <w:proofErr w:type="spellStart"/>
      <w:r w:rsidRPr="00F85989">
        <w:rPr>
          <w:rFonts w:ascii="Times New Roman" w:hAnsi="Times New Roman"/>
          <w:sz w:val="24"/>
          <w:szCs w:val="24"/>
          <w:lang w:val="ru-RU" w:eastAsia="bg-BG"/>
        </w:rPr>
        <w:t>Бр</w:t>
      </w:r>
      <w:r w:rsidR="004B1621" w:rsidRPr="00F85989">
        <w:rPr>
          <w:rFonts w:ascii="Times New Roman" w:hAnsi="Times New Roman"/>
          <w:sz w:val="24"/>
          <w:szCs w:val="24"/>
          <w:lang w:val="ru-RU" w:eastAsia="bg-BG"/>
        </w:rPr>
        <w:t>ой</w:t>
      </w:r>
      <w:proofErr w:type="spellEnd"/>
      <w:r w:rsidRPr="00F85989">
        <w:rPr>
          <w:rFonts w:ascii="Times New Roman" w:hAnsi="Times New Roman"/>
          <w:sz w:val="24"/>
          <w:szCs w:val="24"/>
          <w:lang w:val="ru-RU" w:eastAsia="bg-BG"/>
        </w:rPr>
        <w:t xml:space="preserve"> </w:t>
      </w:r>
      <w:proofErr w:type="spellStart"/>
      <w:r w:rsidRPr="00F85989">
        <w:rPr>
          <w:rFonts w:ascii="Times New Roman" w:hAnsi="Times New Roman"/>
          <w:sz w:val="24"/>
          <w:szCs w:val="24"/>
          <w:lang w:val="ru-RU" w:eastAsia="bg-BG"/>
        </w:rPr>
        <w:t>деца</w:t>
      </w:r>
      <w:proofErr w:type="spellEnd"/>
      <w:r w:rsidRPr="00F85989">
        <w:rPr>
          <w:rFonts w:ascii="Times New Roman" w:hAnsi="Times New Roman"/>
          <w:sz w:val="24"/>
          <w:szCs w:val="24"/>
          <w:lang w:val="ru-RU" w:eastAsia="bg-BG"/>
        </w:rPr>
        <w:t xml:space="preserve"> от 6-14 г.</w:t>
      </w:r>
    </w:p>
    <w:p w:rsidR="007F1BF1" w:rsidRPr="00F85989" w:rsidRDefault="007F1BF1" w:rsidP="007F1BF1">
      <w:pPr>
        <w:widowControl w:val="0"/>
        <w:numPr>
          <w:ilvl w:val="1"/>
          <w:numId w:val="3"/>
        </w:numPr>
        <w:spacing w:after="0" w:line="240" w:lineRule="auto"/>
        <w:jc w:val="both"/>
        <w:rPr>
          <w:rFonts w:ascii="Times New Roman" w:hAnsi="Times New Roman"/>
          <w:sz w:val="24"/>
          <w:szCs w:val="24"/>
          <w:lang w:val="en-GB" w:eastAsia="bg-BG"/>
        </w:rPr>
      </w:pPr>
      <w:r w:rsidRPr="00F85989">
        <w:rPr>
          <w:rFonts w:ascii="Times New Roman" w:hAnsi="Times New Roman"/>
          <w:sz w:val="24"/>
          <w:szCs w:val="24"/>
          <w:lang w:eastAsia="bg-BG"/>
        </w:rPr>
        <w:t>Бр</w:t>
      </w:r>
      <w:r w:rsidR="004B1621" w:rsidRPr="00F85989">
        <w:rPr>
          <w:rFonts w:ascii="Times New Roman" w:hAnsi="Times New Roman"/>
          <w:sz w:val="24"/>
          <w:szCs w:val="24"/>
          <w:lang w:eastAsia="bg-BG"/>
        </w:rPr>
        <w:t>ой</w:t>
      </w:r>
      <w:r w:rsidRPr="00F85989">
        <w:rPr>
          <w:rFonts w:ascii="Times New Roman" w:hAnsi="Times New Roman"/>
          <w:sz w:val="24"/>
          <w:szCs w:val="24"/>
          <w:lang w:eastAsia="bg-BG"/>
        </w:rPr>
        <w:t xml:space="preserve"> възрастни на и над 65 г.</w:t>
      </w:r>
    </w:p>
    <w:p w:rsidR="007F1BF1" w:rsidRPr="00F85989" w:rsidRDefault="007F1BF1" w:rsidP="007F1BF1">
      <w:pPr>
        <w:widowControl w:val="0"/>
        <w:numPr>
          <w:ilvl w:val="1"/>
          <w:numId w:val="3"/>
        </w:numPr>
        <w:spacing w:after="0" w:line="240" w:lineRule="auto"/>
        <w:jc w:val="both"/>
        <w:rPr>
          <w:rFonts w:ascii="Times New Roman" w:hAnsi="Times New Roman"/>
          <w:sz w:val="24"/>
          <w:szCs w:val="24"/>
          <w:lang w:val="en-GB" w:eastAsia="bg-BG"/>
        </w:rPr>
      </w:pPr>
      <w:r w:rsidRPr="00F85989">
        <w:rPr>
          <w:rFonts w:ascii="Times New Roman" w:hAnsi="Times New Roman"/>
          <w:sz w:val="24"/>
          <w:szCs w:val="24"/>
          <w:lang w:eastAsia="bg-BG"/>
        </w:rPr>
        <w:t>Територия</w:t>
      </w:r>
      <w:r w:rsidRPr="00F85989">
        <w:rPr>
          <w:rFonts w:ascii="Times New Roman" w:hAnsi="Times New Roman"/>
          <w:sz w:val="24"/>
          <w:szCs w:val="24"/>
          <w:lang w:val="en-GB" w:eastAsia="bg-BG"/>
        </w:rPr>
        <w:t xml:space="preserve"> </w:t>
      </w:r>
    </w:p>
    <w:p w:rsidR="007F1BF1" w:rsidRPr="00F85989" w:rsidRDefault="007F1BF1" w:rsidP="007F1BF1">
      <w:pPr>
        <w:widowControl w:val="0"/>
        <w:numPr>
          <w:ilvl w:val="1"/>
          <w:numId w:val="3"/>
        </w:numPr>
        <w:spacing w:after="0" w:line="240" w:lineRule="auto"/>
        <w:jc w:val="both"/>
        <w:rPr>
          <w:rFonts w:ascii="Times New Roman" w:hAnsi="Times New Roman"/>
          <w:sz w:val="24"/>
          <w:szCs w:val="24"/>
          <w:lang w:val="en-GB" w:eastAsia="bg-BG"/>
        </w:rPr>
      </w:pPr>
      <w:r w:rsidRPr="00F85989">
        <w:rPr>
          <w:rFonts w:ascii="Times New Roman" w:hAnsi="Times New Roman"/>
          <w:sz w:val="24"/>
          <w:szCs w:val="24"/>
          <w:lang w:eastAsia="bg-BG"/>
        </w:rPr>
        <w:t>Дължина на общински пътища</w:t>
      </w:r>
    </w:p>
    <w:p w:rsidR="007F1BF1" w:rsidRPr="00F85989" w:rsidRDefault="007F1BF1" w:rsidP="007F1BF1">
      <w:pPr>
        <w:widowControl w:val="0"/>
        <w:numPr>
          <w:ilvl w:val="1"/>
          <w:numId w:val="3"/>
        </w:numPr>
        <w:spacing w:after="0" w:line="240" w:lineRule="auto"/>
        <w:jc w:val="both"/>
        <w:rPr>
          <w:rFonts w:ascii="Times New Roman" w:hAnsi="Times New Roman"/>
          <w:sz w:val="24"/>
          <w:szCs w:val="24"/>
          <w:lang w:val="en-GB" w:eastAsia="bg-BG"/>
        </w:rPr>
      </w:pPr>
      <w:r w:rsidRPr="00F85989">
        <w:rPr>
          <w:rFonts w:ascii="Times New Roman" w:hAnsi="Times New Roman"/>
          <w:sz w:val="24"/>
          <w:szCs w:val="24"/>
          <w:lang w:eastAsia="bg-BG"/>
        </w:rPr>
        <w:t>Население</w:t>
      </w:r>
    </w:p>
    <w:p w:rsidR="007F1BF1" w:rsidRPr="00F85989" w:rsidRDefault="007F1BF1" w:rsidP="007F1BF1">
      <w:pPr>
        <w:widowControl w:val="0"/>
        <w:spacing w:after="0" w:line="240" w:lineRule="auto"/>
        <w:ind w:left="1080"/>
        <w:jc w:val="both"/>
        <w:rPr>
          <w:rFonts w:ascii="Times New Roman" w:hAnsi="Times New Roman"/>
          <w:sz w:val="24"/>
          <w:szCs w:val="24"/>
          <w:lang w:eastAsia="bg-BG"/>
        </w:rPr>
      </w:pPr>
    </w:p>
    <w:p w:rsidR="007F1BF1" w:rsidRPr="00F85989" w:rsidRDefault="007F1BF1" w:rsidP="007F1BF1">
      <w:pPr>
        <w:widowControl w:val="0"/>
        <w:spacing w:after="0" w:line="240" w:lineRule="auto"/>
        <w:ind w:firstLine="567"/>
        <w:jc w:val="both"/>
        <w:rPr>
          <w:rFonts w:ascii="Times New Roman" w:hAnsi="Times New Roman"/>
          <w:sz w:val="24"/>
          <w:szCs w:val="24"/>
          <w:lang w:eastAsia="bg-BG"/>
        </w:rPr>
      </w:pPr>
      <w:r w:rsidRPr="00F85989">
        <w:rPr>
          <w:rFonts w:ascii="Times New Roman" w:hAnsi="Times New Roman"/>
          <w:sz w:val="24"/>
          <w:szCs w:val="24"/>
          <w:lang w:eastAsia="bg-BG"/>
        </w:rPr>
        <w:t>Теглото на съответния показател се определя в зависимост от структурата на разходите за местни дейности (по последни отчетни годишни данни за 2017 г.) по следния начин:</w:t>
      </w:r>
    </w:p>
    <w:p w:rsidR="007F1BF1" w:rsidRPr="00F85989" w:rsidRDefault="007F1BF1" w:rsidP="007F1BF1">
      <w:pPr>
        <w:widowControl w:val="0"/>
        <w:spacing w:after="0" w:line="240" w:lineRule="auto"/>
        <w:ind w:firstLine="567"/>
        <w:jc w:val="both"/>
        <w:rPr>
          <w:rFonts w:ascii="Times New Roman" w:hAnsi="Times New Roman"/>
          <w:sz w:val="24"/>
          <w:szCs w:val="24"/>
          <w:lang w:eastAsia="bg-BG"/>
        </w:rPr>
      </w:pPr>
    </w:p>
    <w:p w:rsidR="007F1BF1" w:rsidRPr="00F85989" w:rsidRDefault="007F1BF1" w:rsidP="007F1BF1">
      <w:pPr>
        <w:widowControl w:val="0"/>
        <w:numPr>
          <w:ilvl w:val="0"/>
          <w:numId w:val="3"/>
        </w:numPr>
        <w:spacing w:after="0" w:line="240" w:lineRule="auto"/>
        <w:jc w:val="both"/>
        <w:rPr>
          <w:rFonts w:ascii="Times New Roman" w:hAnsi="Times New Roman"/>
          <w:b/>
          <w:bCs/>
          <w:sz w:val="24"/>
          <w:szCs w:val="24"/>
          <w:lang w:eastAsia="bg-BG"/>
        </w:rPr>
      </w:pPr>
      <w:r w:rsidRPr="00F85989">
        <w:rPr>
          <w:rFonts w:ascii="Times New Roman" w:hAnsi="Times New Roman"/>
          <w:b/>
          <w:sz w:val="24"/>
          <w:szCs w:val="24"/>
          <w:lang w:eastAsia="bg-BG"/>
        </w:rPr>
        <w:t xml:space="preserve"> Бр</w:t>
      </w:r>
      <w:r w:rsidR="004B1621" w:rsidRPr="00F85989">
        <w:rPr>
          <w:rFonts w:ascii="Times New Roman" w:hAnsi="Times New Roman"/>
          <w:b/>
          <w:sz w:val="24"/>
          <w:szCs w:val="24"/>
          <w:lang w:eastAsia="bg-BG"/>
        </w:rPr>
        <w:t>ой</w:t>
      </w:r>
      <w:r w:rsidRPr="00F85989">
        <w:rPr>
          <w:rFonts w:ascii="Times New Roman" w:hAnsi="Times New Roman"/>
          <w:b/>
          <w:sz w:val="24"/>
          <w:szCs w:val="24"/>
          <w:lang w:eastAsia="bg-BG"/>
        </w:rPr>
        <w:t xml:space="preserve"> деца до 5 г.</w:t>
      </w:r>
      <w:r w:rsidRPr="00F85989">
        <w:rPr>
          <w:rFonts w:ascii="Times New Roman" w:hAnsi="Times New Roman"/>
          <w:sz w:val="24"/>
          <w:szCs w:val="24"/>
          <w:lang w:eastAsia="bg-BG"/>
        </w:rPr>
        <w:t xml:space="preserve"> -</w:t>
      </w:r>
      <w:r w:rsidRPr="00F85989">
        <w:rPr>
          <w:rFonts w:ascii="Times New Roman" w:hAnsi="Times New Roman"/>
          <w:b/>
          <w:sz w:val="24"/>
          <w:szCs w:val="24"/>
          <w:lang w:eastAsia="bg-BG"/>
        </w:rPr>
        <w:t xml:space="preserve"> </w:t>
      </w:r>
      <w:r w:rsidRPr="00F85989">
        <w:rPr>
          <w:rFonts w:ascii="Times New Roman" w:hAnsi="Times New Roman"/>
          <w:b/>
          <w:bCs/>
          <w:sz w:val="24"/>
          <w:szCs w:val="24"/>
          <w:u w:val="single"/>
          <w:lang w:eastAsia="bg-BG"/>
        </w:rPr>
        <w:t>8,0%</w:t>
      </w:r>
      <w:r w:rsidRPr="00F85989">
        <w:rPr>
          <w:rFonts w:ascii="Times New Roman" w:hAnsi="Times New Roman"/>
          <w:sz w:val="24"/>
          <w:szCs w:val="24"/>
          <w:lang w:eastAsia="bg-BG"/>
        </w:rPr>
        <w:t xml:space="preserve"> (дял на</w:t>
      </w:r>
      <w:r w:rsidRPr="00F85989">
        <w:rPr>
          <w:rFonts w:ascii="Times New Roman" w:hAnsi="Times New Roman"/>
          <w:b/>
          <w:sz w:val="24"/>
          <w:szCs w:val="24"/>
          <w:lang w:eastAsia="bg-BG"/>
        </w:rPr>
        <w:t xml:space="preserve"> </w:t>
      </w:r>
      <w:r w:rsidRPr="00F85989">
        <w:rPr>
          <w:rFonts w:ascii="Times New Roman" w:hAnsi="Times New Roman"/>
          <w:sz w:val="24"/>
          <w:szCs w:val="24"/>
          <w:lang w:eastAsia="bg-BG"/>
        </w:rPr>
        <w:t>разходите за</w:t>
      </w:r>
      <w:r w:rsidRPr="00F85989">
        <w:rPr>
          <w:rFonts w:ascii="Times New Roman" w:hAnsi="Times New Roman"/>
          <w:b/>
          <w:sz w:val="24"/>
          <w:szCs w:val="24"/>
          <w:lang w:eastAsia="bg-BG"/>
        </w:rPr>
        <w:t xml:space="preserve"> </w:t>
      </w:r>
      <w:r w:rsidRPr="00F85989">
        <w:rPr>
          <w:rFonts w:ascii="Times New Roman" w:hAnsi="Times New Roman"/>
          <w:sz w:val="24"/>
          <w:szCs w:val="24"/>
          <w:lang w:eastAsia="bg-BG"/>
        </w:rPr>
        <w:t>местни дейности 311, 312, 431 от ЕБК в общите разходи за местни дейности)</w:t>
      </w:r>
    </w:p>
    <w:p w:rsidR="007F1BF1" w:rsidRPr="00F85989" w:rsidRDefault="007F1BF1" w:rsidP="007F1BF1">
      <w:pPr>
        <w:widowControl w:val="0"/>
        <w:spacing w:after="120" w:line="240" w:lineRule="auto"/>
        <w:ind w:left="1434"/>
        <w:rPr>
          <w:rFonts w:ascii="Times New Roman" w:hAnsi="Times New Roman"/>
          <w:sz w:val="24"/>
          <w:szCs w:val="24"/>
          <w:lang w:eastAsia="bg-BG"/>
        </w:rPr>
      </w:pPr>
      <w:r w:rsidRPr="00F85989">
        <w:rPr>
          <w:rFonts w:ascii="Times New Roman" w:hAnsi="Times New Roman"/>
          <w:sz w:val="24"/>
          <w:szCs w:val="24"/>
          <w:lang w:eastAsia="bg-BG"/>
        </w:rPr>
        <w:t xml:space="preserve"> </w:t>
      </w:r>
    </w:p>
    <w:p w:rsidR="007F1BF1" w:rsidRPr="00F85989" w:rsidRDefault="007F1BF1" w:rsidP="007F1BF1">
      <w:pPr>
        <w:numPr>
          <w:ilvl w:val="0"/>
          <w:numId w:val="3"/>
        </w:numPr>
        <w:contextualSpacing/>
        <w:jc w:val="both"/>
        <w:rPr>
          <w:rFonts w:ascii="Times New Roman" w:hAnsi="Times New Roman"/>
          <w:b/>
          <w:sz w:val="24"/>
          <w:szCs w:val="24"/>
          <w:lang w:eastAsia="bg-BG"/>
        </w:rPr>
      </w:pPr>
      <w:r w:rsidRPr="00F85989">
        <w:rPr>
          <w:rFonts w:ascii="Times New Roman" w:hAnsi="Times New Roman"/>
          <w:b/>
          <w:sz w:val="24"/>
          <w:szCs w:val="24"/>
          <w:lang w:eastAsia="bg-BG"/>
        </w:rPr>
        <w:t>Бр</w:t>
      </w:r>
      <w:r w:rsidR="004B1621" w:rsidRPr="00F85989">
        <w:rPr>
          <w:rFonts w:ascii="Times New Roman" w:hAnsi="Times New Roman"/>
          <w:b/>
          <w:sz w:val="24"/>
          <w:szCs w:val="24"/>
          <w:lang w:eastAsia="bg-BG"/>
        </w:rPr>
        <w:t>ой</w:t>
      </w:r>
      <w:r w:rsidRPr="00F85989">
        <w:rPr>
          <w:rFonts w:ascii="Times New Roman" w:hAnsi="Times New Roman"/>
          <w:b/>
          <w:sz w:val="24"/>
          <w:szCs w:val="24"/>
          <w:lang w:eastAsia="bg-BG"/>
        </w:rPr>
        <w:t xml:space="preserve"> деца от 6-14 г. - </w:t>
      </w:r>
      <w:r w:rsidRPr="00F85989">
        <w:rPr>
          <w:rFonts w:ascii="Times New Roman" w:hAnsi="Times New Roman"/>
          <w:b/>
          <w:bCs/>
          <w:sz w:val="24"/>
          <w:szCs w:val="24"/>
          <w:u w:val="single"/>
          <w:lang w:eastAsia="bg-BG"/>
        </w:rPr>
        <w:t>1,1%</w:t>
      </w:r>
      <w:r w:rsidRPr="00F85989">
        <w:rPr>
          <w:rFonts w:ascii="Times New Roman" w:hAnsi="Times New Roman"/>
          <w:b/>
          <w:bCs/>
          <w:sz w:val="24"/>
          <w:szCs w:val="24"/>
          <w:lang w:eastAsia="bg-BG"/>
        </w:rPr>
        <w:t xml:space="preserve"> </w:t>
      </w:r>
      <w:r w:rsidRPr="00F85989">
        <w:rPr>
          <w:rFonts w:ascii="Times New Roman" w:hAnsi="Times New Roman"/>
          <w:bCs/>
          <w:sz w:val="24"/>
          <w:szCs w:val="24"/>
          <w:lang w:eastAsia="bg-BG"/>
        </w:rPr>
        <w:t xml:space="preserve">(дял на останалите разходи за местни дейности </w:t>
      </w:r>
      <w:r w:rsidRPr="00F85989">
        <w:rPr>
          <w:rFonts w:ascii="Times New Roman" w:hAnsi="Times New Roman"/>
          <w:sz w:val="24"/>
          <w:szCs w:val="24"/>
          <w:lang w:eastAsia="bg-BG"/>
        </w:rPr>
        <w:t>във функция Образование</w:t>
      </w:r>
      <w:r w:rsidRPr="00F85989">
        <w:rPr>
          <w:rFonts w:ascii="Times New Roman" w:hAnsi="Times New Roman"/>
          <w:b/>
          <w:sz w:val="24"/>
          <w:szCs w:val="24"/>
          <w:lang w:eastAsia="bg-BG"/>
        </w:rPr>
        <w:t xml:space="preserve"> </w:t>
      </w:r>
      <w:r w:rsidRPr="00F85989">
        <w:rPr>
          <w:rFonts w:ascii="Times New Roman" w:hAnsi="Times New Roman"/>
          <w:bCs/>
          <w:sz w:val="24"/>
          <w:szCs w:val="24"/>
          <w:lang w:eastAsia="bg-BG"/>
        </w:rPr>
        <w:t>от ЕБК в общите разходи за местни дейности)</w:t>
      </w:r>
    </w:p>
    <w:p w:rsidR="007F1BF1" w:rsidRPr="00F85989" w:rsidRDefault="007F1BF1" w:rsidP="007F1BF1">
      <w:pPr>
        <w:widowControl w:val="0"/>
        <w:numPr>
          <w:ilvl w:val="0"/>
          <w:numId w:val="3"/>
        </w:numPr>
        <w:spacing w:after="0" w:line="240" w:lineRule="auto"/>
        <w:jc w:val="both"/>
        <w:rPr>
          <w:rFonts w:ascii="Times New Roman" w:hAnsi="Times New Roman"/>
          <w:bCs/>
          <w:sz w:val="24"/>
          <w:szCs w:val="24"/>
          <w:lang w:eastAsia="bg-BG"/>
        </w:rPr>
      </w:pPr>
      <w:r w:rsidRPr="00F85989">
        <w:rPr>
          <w:rFonts w:ascii="Times New Roman" w:hAnsi="Times New Roman"/>
          <w:b/>
          <w:sz w:val="24"/>
          <w:szCs w:val="24"/>
          <w:lang w:eastAsia="bg-BG"/>
        </w:rPr>
        <w:t xml:space="preserve"> Бр</w:t>
      </w:r>
      <w:r w:rsidR="004B1621" w:rsidRPr="00F85989">
        <w:rPr>
          <w:rFonts w:ascii="Times New Roman" w:hAnsi="Times New Roman"/>
          <w:b/>
          <w:sz w:val="24"/>
          <w:szCs w:val="24"/>
          <w:lang w:eastAsia="bg-BG"/>
        </w:rPr>
        <w:t>ой</w:t>
      </w:r>
      <w:r w:rsidRPr="00F85989">
        <w:rPr>
          <w:rFonts w:ascii="Times New Roman" w:hAnsi="Times New Roman"/>
          <w:b/>
          <w:sz w:val="24"/>
          <w:szCs w:val="24"/>
          <w:lang w:eastAsia="bg-BG"/>
        </w:rPr>
        <w:t xml:space="preserve"> възрастни на и над 65 г. - </w:t>
      </w:r>
      <w:r w:rsidRPr="00F85989">
        <w:rPr>
          <w:rFonts w:ascii="Times New Roman" w:hAnsi="Times New Roman"/>
          <w:b/>
          <w:bCs/>
          <w:sz w:val="24"/>
          <w:szCs w:val="24"/>
          <w:u w:val="single"/>
          <w:lang w:eastAsia="bg-BG"/>
        </w:rPr>
        <w:t>3,8%</w:t>
      </w:r>
      <w:r w:rsidRPr="00F85989">
        <w:rPr>
          <w:rFonts w:ascii="Times New Roman" w:hAnsi="Times New Roman"/>
          <w:b/>
          <w:bCs/>
          <w:sz w:val="24"/>
          <w:szCs w:val="24"/>
          <w:lang w:eastAsia="bg-BG"/>
        </w:rPr>
        <w:t xml:space="preserve"> </w:t>
      </w:r>
      <w:r w:rsidRPr="00F85989">
        <w:rPr>
          <w:rFonts w:ascii="Times New Roman" w:hAnsi="Times New Roman"/>
          <w:bCs/>
          <w:sz w:val="24"/>
          <w:szCs w:val="24"/>
          <w:lang w:eastAsia="bg-BG"/>
        </w:rPr>
        <w:t>(дял на разходите за местни дейности във функция V. Социално осигуряване, подпомагане и грижи от ЕБК</w:t>
      </w:r>
      <w:r w:rsidRPr="00F85989">
        <w:rPr>
          <w:rFonts w:ascii="Times New Roman" w:hAnsi="Times New Roman"/>
          <w:b/>
          <w:bCs/>
          <w:sz w:val="24"/>
          <w:szCs w:val="24"/>
          <w:lang w:eastAsia="bg-BG"/>
        </w:rPr>
        <w:t xml:space="preserve"> </w:t>
      </w:r>
      <w:r w:rsidRPr="00F85989">
        <w:rPr>
          <w:rFonts w:ascii="Times New Roman" w:hAnsi="Times New Roman"/>
          <w:bCs/>
          <w:sz w:val="24"/>
          <w:szCs w:val="24"/>
          <w:lang w:eastAsia="bg-BG"/>
        </w:rPr>
        <w:t xml:space="preserve">в общите разходи за местни дейности) </w:t>
      </w:r>
    </w:p>
    <w:p w:rsidR="007F1BF1" w:rsidRPr="00F85989" w:rsidRDefault="007F1BF1" w:rsidP="007F1BF1">
      <w:pPr>
        <w:widowControl w:val="0"/>
        <w:spacing w:after="120" w:line="240" w:lineRule="auto"/>
        <w:ind w:left="1434"/>
        <w:rPr>
          <w:rFonts w:ascii="Times New Roman" w:hAnsi="Times New Roman"/>
          <w:sz w:val="24"/>
          <w:szCs w:val="24"/>
          <w:lang w:eastAsia="bg-BG"/>
        </w:rPr>
      </w:pPr>
    </w:p>
    <w:p w:rsidR="007F1BF1" w:rsidRPr="00F85989" w:rsidRDefault="007F1BF1" w:rsidP="007F1BF1">
      <w:pPr>
        <w:numPr>
          <w:ilvl w:val="0"/>
          <w:numId w:val="3"/>
        </w:numPr>
        <w:contextualSpacing/>
        <w:jc w:val="both"/>
        <w:rPr>
          <w:rFonts w:ascii="Times New Roman" w:hAnsi="Times New Roman"/>
          <w:bCs/>
          <w:sz w:val="24"/>
          <w:szCs w:val="24"/>
          <w:lang w:eastAsia="bg-BG"/>
        </w:rPr>
      </w:pPr>
      <w:r w:rsidRPr="00F85989">
        <w:rPr>
          <w:rFonts w:ascii="Times New Roman" w:hAnsi="Times New Roman"/>
          <w:sz w:val="24"/>
          <w:szCs w:val="24"/>
          <w:lang w:eastAsia="bg-BG"/>
        </w:rPr>
        <w:t xml:space="preserve"> </w:t>
      </w:r>
      <w:r w:rsidRPr="00F85989">
        <w:rPr>
          <w:rFonts w:ascii="Times New Roman" w:hAnsi="Times New Roman"/>
          <w:b/>
          <w:sz w:val="24"/>
          <w:szCs w:val="24"/>
          <w:lang w:eastAsia="bg-BG"/>
        </w:rPr>
        <w:t xml:space="preserve">Територия - </w:t>
      </w:r>
      <w:r w:rsidRPr="00F85989">
        <w:rPr>
          <w:rFonts w:ascii="Times New Roman" w:hAnsi="Times New Roman"/>
          <w:b/>
          <w:bCs/>
          <w:sz w:val="24"/>
          <w:szCs w:val="24"/>
          <w:u w:val="single"/>
          <w:lang w:eastAsia="bg-BG"/>
        </w:rPr>
        <w:t>23,4%</w:t>
      </w:r>
      <w:r w:rsidRPr="00F85989">
        <w:rPr>
          <w:rFonts w:ascii="Times New Roman" w:hAnsi="Times New Roman"/>
          <w:b/>
          <w:bCs/>
          <w:sz w:val="24"/>
          <w:szCs w:val="24"/>
          <w:lang w:eastAsia="bg-BG"/>
        </w:rPr>
        <w:t xml:space="preserve"> </w:t>
      </w:r>
      <w:r w:rsidRPr="00F85989">
        <w:rPr>
          <w:rFonts w:ascii="Times New Roman" w:hAnsi="Times New Roman"/>
          <w:bCs/>
          <w:sz w:val="24"/>
          <w:szCs w:val="24"/>
          <w:lang w:eastAsia="bg-BG"/>
        </w:rPr>
        <w:t xml:space="preserve">(дял на разходите за местни дейности в група А. Жилищно строителство, благоустройство, комунално стопанство (без дейности 603 и 605) и разходите за дейност 622 „Озеленяване“ от група Б на функция VІ от ЕБК в общите разходи за местни дейности) </w:t>
      </w:r>
    </w:p>
    <w:p w:rsidR="007F1BF1" w:rsidRPr="00F85989" w:rsidRDefault="007F1BF1" w:rsidP="007F1BF1">
      <w:pPr>
        <w:widowControl w:val="0"/>
        <w:numPr>
          <w:ilvl w:val="0"/>
          <w:numId w:val="3"/>
        </w:numPr>
        <w:spacing w:after="0" w:line="240" w:lineRule="auto"/>
        <w:jc w:val="both"/>
        <w:rPr>
          <w:rFonts w:ascii="Times New Roman" w:hAnsi="Times New Roman"/>
          <w:sz w:val="24"/>
          <w:szCs w:val="24"/>
          <w:lang w:eastAsia="bg-BG"/>
        </w:rPr>
      </w:pPr>
      <w:r w:rsidRPr="00F85989">
        <w:rPr>
          <w:rFonts w:ascii="Times New Roman" w:hAnsi="Times New Roman"/>
          <w:b/>
          <w:sz w:val="24"/>
          <w:szCs w:val="24"/>
          <w:lang w:eastAsia="bg-BG"/>
        </w:rPr>
        <w:t>Дължина на общинската пътна мрежа</w:t>
      </w:r>
      <w:r w:rsidRPr="00F85989">
        <w:rPr>
          <w:rFonts w:ascii="Times New Roman" w:hAnsi="Times New Roman"/>
          <w:b/>
          <w:bCs/>
          <w:sz w:val="24"/>
          <w:szCs w:val="24"/>
          <w:lang w:eastAsia="bg-BG"/>
        </w:rPr>
        <w:t xml:space="preserve"> - </w:t>
      </w:r>
      <w:r w:rsidRPr="00F85989">
        <w:rPr>
          <w:rFonts w:ascii="Times New Roman" w:hAnsi="Times New Roman"/>
          <w:b/>
          <w:bCs/>
          <w:sz w:val="24"/>
          <w:szCs w:val="24"/>
          <w:u w:val="single"/>
          <w:lang w:eastAsia="bg-BG"/>
        </w:rPr>
        <w:t>10,4%</w:t>
      </w:r>
      <w:r w:rsidRPr="00F85989">
        <w:rPr>
          <w:rFonts w:ascii="Times New Roman" w:hAnsi="Times New Roman"/>
          <w:b/>
          <w:bCs/>
          <w:sz w:val="24"/>
          <w:szCs w:val="24"/>
          <w:lang w:eastAsia="bg-BG"/>
        </w:rPr>
        <w:t xml:space="preserve"> </w:t>
      </w:r>
      <w:r w:rsidRPr="00F85989">
        <w:rPr>
          <w:rFonts w:ascii="Times New Roman" w:hAnsi="Times New Roman"/>
          <w:bCs/>
          <w:sz w:val="24"/>
          <w:szCs w:val="24"/>
          <w:lang w:eastAsia="bg-BG"/>
        </w:rPr>
        <w:t xml:space="preserve">(дял на разходите за местни дейности в група В. Транспорт и съобщения от функция VІІІ от ЕБК в общите разходи за местни дейности) </w:t>
      </w:r>
    </w:p>
    <w:p w:rsidR="007F1BF1" w:rsidRPr="00F85989" w:rsidRDefault="007F1BF1" w:rsidP="007F1BF1">
      <w:pPr>
        <w:widowControl w:val="0"/>
        <w:spacing w:after="0" w:line="240" w:lineRule="auto"/>
        <w:ind w:left="360"/>
        <w:jc w:val="both"/>
        <w:rPr>
          <w:rFonts w:ascii="Times New Roman" w:hAnsi="Times New Roman"/>
          <w:sz w:val="24"/>
          <w:szCs w:val="24"/>
          <w:lang w:eastAsia="bg-BG"/>
        </w:rPr>
      </w:pPr>
    </w:p>
    <w:p w:rsidR="007F1BF1" w:rsidRPr="00F85989" w:rsidRDefault="007F1BF1" w:rsidP="007F1BF1">
      <w:pPr>
        <w:widowControl w:val="0"/>
        <w:numPr>
          <w:ilvl w:val="0"/>
          <w:numId w:val="3"/>
        </w:numPr>
        <w:spacing w:after="0" w:line="240" w:lineRule="auto"/>
        <w:jc w:val="both"/>
        <w:rPr>
          <w:rFonts w:ascii="Times New Roman" w:hAnsi="Times New Roman"/>
          <w:bCs/>
          <w:sz w:val="24"/>
          <w:szCs w:val="24"/>
          <w:lang w:eastAsia="bg-BG"/>
        </w:rPr>
      </w:pPr>
      <w:r w:rsidRPr="00F85989">
        <w:rPr>
          <w:rFonts w:ascii="Times New Roman" w:hAnsi="Times New Roman"/>
          <w:b/>
          <w:sz w:val="24"/>
          <w:szCs w:val="24"/>
          <w:lang w:eastAsia="bg-BG"/>
        </w:rPr>
        <w:t>Население</w:t>
      </w:r>
      <w:r w:rsidRPr="00F85989">
        <w:rPr>
          <w:rFonts w:ascii="Times New Roman" w:hAnsi="Times New Roman"/>
          <w:b/>
          <w:bCs/>
          <w:sz w:val="24"/>
          <w:szCs w:val="24"/>
          <w:lang w:eastAsia="bg-BG"/>
        </w:rPr>
        <w:t xml:space="preserve"> - </w:t>
      </w:r>
      <w:r w:rsidRPr="00F85989">
        <w:rPr>
          <w:rFonts w:ascii="Times New Roman" w:hAnsi="Times New Roman"/>
          <w:b/>
          <w:bCs/>
          <w:sz w:val="24"/>
          <w:szCs w:val="24"/>
          <w:u w:val="single"/>
          <w:lang w:eastAsia="bg-BG"/>
        </w:rPr>
        <w:t>53,3 %</w:t>
      </w:r>
      <w:r w:rsidRPr="00F85989">
        <w:rPr>
          <w:rFonts w:ascii="Times New Roman" w:hAnsi="Times New Roman"/>
          <w:b/>
          <w:bCs/>
          <w:sz w:val="24"/>
          <w:szCs w:val="24"/>
          <w:lang w:eastAsia="bg-BG"/>
        </w:rPr>
        <w:t xml:space="preserve"> – </w:t>
      </w:r>
      <w:r w:rsidRPr="00F85989">
        <w:rPr>
          <w:rFonts w:ascii="Times New Roman" w:hAnsi="Times New Roman"/>
          <w:bCs/>
          <w:sz w:val="24"/>
          <w:szCs w:val="24"/>
          <w:lang w:eastAsia="bg-BG"/>
        </w:rPr>
        <w:t xml:space="preserve">(дял на разходите за всички останали местни дейности от ЕБК в общите разходи за местни дейности) </w:t>
      </w:r>
    </w:p>
    <w:p w:rsidR="007F1BF1" w:rsidRPr="00F85989" w:rsidRDefault="007F1BF1" w:rsidP="007F1BF1">
      <w:pPr>
        <w:widowControl w:val="0"/>
        <w:spacing w:after="0" w:line="240" w:lineRule="auto"/>
        <w:ind w:firstLine="567"/>
        <w:rPr>
          <w:rFonts w:ascii="Times New Roman" w:hAnsi="Times New Roman"/>
          <w:sz w:val="24"/>
          <w:szCs w:val="24"/>
          <w:lang w:eastAsia="bg-BG"/>
        </w:rPr>
      </w:pPr>
    </w:p>
    <w:p w:rsidR="007F1BF1" w:rsidRPr="00F85989" w:rsidRDefault="007F1BF1" w:rsidP="007F1BF1">
      <w:pPr>
        <w:widowControl w:val="0"/>
        <w:spacing w:after="0" w:line="240" w:lineRule="auto"/>
        <w:ind w:firstLine="567"/>
        <w:jc w:val="both"/>
        <w:rPr>
          <w:rFonts w:ascii="Times New Roman" w:hAnsi="Times New Roman"/>
          <w:sz w:val="24"/>
          <w:szCs w:val="24"/>
          <w:lang w:eastAsia="bg-BG"/>
        </w:rPr>
      </w:pPr>
      <w:r w:rsidRPr="00F85989">
        <w:rPr>
          <w:rFonts w:ascii="Times New Roman" w:hAnsi="Times New Roman"/>
          <w:sz w:val="24"/>
          <w:szCs w:val="24"/>
          <w:lang w:eastAsia="bg-BG"/>
        </w:rPr>
        <w:t>На всяка община се определя дял на всеки от натуралните показатели от общата сума на показателя за страната, като всеки дял се умножава с теглото за показателя (%). Сумата от така получените дялове формира съответния дял разходни потребности на конкретната община.</w:t>
      </w:r>
    </w:p>
    <w:p w:rsidR="007F1BF1" w:rsidRPr="00F85989" w:rsidRDefault="007F1BF1" w:rsidP="007F1BF1">
      <w:pPr>
        <w:widowControl w:val="0"/>
        <w:spacing w:after="0" w:line="240" w:lineRule="auto"/>
        <w:ind w:firstLine="567"/>
        <w:rPr>
          <w:rFonts w:ascii="Times New Roman" w:hAnsi="Times New Roman"/>
          <w:sz w:val="24"/>
          <w:szCs w:val="24"/>
          <w:lang w:eastAsia="bg-BG"/>
        </w:rPr>
      </w:pPr>
    </w:p>
    <w:p w:rsidR="007F1BF1" w:rsidRPr="00F85989" w:rsidRDefault="007F1BF1" w:rsidP="007F1BF1">
      <w:pPr>
        <w:widowControl w:val="0"/>
        <w:spacing w:after="120" w:line="240" w:lineRule="auto"/>
        <w:ind w:firstLine="567"/>
        <w:jc w:val="both"/>
        <w:rPr>
          <w:rFonts w:ascii="Times New Roman" w:hAnsi="Times New Roman"/>
          <w:sz w:val="24"/>
          <w:szCs w:val="24"/>
          <w:lang w:eastAsia="bg-BG"/>
        </w:rPr>
      </w:pPr>
      <w:r w:rsidRPr="00F85989">
        <w:rPr>
          <w:rFonts w:ascii="Times New Roman" w:hAnsi="Times New Roman"/>
          <w:sz w:val="24"/>
          <w:szCs w:val="24"/>
          <w:lang w:eastAsia="bg-BG"/>
        </w:rPr>
        <w:t>РП</w:t>
      </w:r>
      <w:proofErr w:type="spellStart"/>
      <w:r w:rsidRPr="00F85989">
        <w:rPr>
          <w:rFonts w:ascii="Times New Roman" w:hAnsi="Times New Roman"/>
          <w:sz w:val="24"/>
          <w:szCs w:val="24"/>
          <w:lang w:val="en-US" w:eastAsia="bg-BG"/>
        </w:rPr>
        <w:t>i</w:t>
      </w:r>
      <w:proofErr w:type="spellEnd"/>
      <w:r w:rsidRPr="00F85989">
        <w:rPr>
          <w:rFonts w:ascii="Times New Roman" w:hAnsi="Times New Roman"/>
          <w:sz w:val="24"/>
          <w:szCs w:val="24"/>
          <w:lang w:val="en-US" w:eastAsia="bg-BG"/>
        </w:rPr>
        <w:t xml:space="preserve"> = </w:t>
      </w:r>
      <w:r w:rsidRPr="00F85989">
        <w:rPr>
          <w:rFonts w:ascii="Times New Roman" w:hAnsi="Times New Roman"/>
          <w:sz w:val="24"/>
          <w:szCs w:val="24"/>
          <w:lang w:eastAsia="bg-BG"/>
        </w:rPr>
        <w:t>(Д</w:t>
      </w:r>
      <w:proofErr w:type="spellStart"/>
      <w:r w:rsidRPr="00F85989">
        <w:rPr>
          <w:rFonts w:ascii="Times New Roman" w:hAnsi="Times New Roman"/>
          <w:sz w:val="24"/>
          <w:szCs w:val="24"/>
          <w:lang w:val="en-US" w:eastAsia="bg-BG"/>
        </w:rPr>
        <w:t>i</w:t>
      </w:r>
      <w:proofErr w:type="spellEnd"/>
      <w:r w:rsidRPr="00F85989">
        <w:rPr>
          <w:rFonts w:ascii="Times New Roman" w:hAnsi="Times New Roman"/>
          <w:sz w:val="24"/>
          <w:szCs w:val="24"/>
          <w:lang w:val="en-US" w:eastAsia="bg-BG"/>
        </w:rPr>
        <w:t>/∑</w:t>
      </w:r>
      <w:r w:rsidRPr="00F85989">
        <w:rPr>
          <w:rFonts w:ascii="Times New Roman" w:hAnsi="Times New Roman"/>
          <w:sz w:val="24"/>
          <w:szCs w:val="24"/>
          <w:lang w:eastAsia="bg-BG"/>
        </w:rPr>
        <w:t>Д</w:t>
      </w:r>
      <w:proofErr w:type="spellStart"/>
      <w:r w:rsidRPr="00F85989">
        <w:rPr>
          <w:rFonts w:ascii="Times New Roman" w:hAnsi="Times New Roman"/>
          <w:sz w:val="24"/>
          <w:szCs w:val="24"/>
          <w:lang w:val="en-US" w:eastAsia="bg-BG"/>
        </w:rPr>
        <w:t>i</w:t>
      </w:r>
      <w:proofErr w:type="spellEnd"/>
      <w:r w:rsidRPr="00F85989">
        <w:rPr>
          <w:rFonts w:ascii="Times New Roman" w:hAnsi="Times New Roman"/>
          <w:sz w:val="24"/>
          <w:szCs w:val="24"/>
          <w:lang w:eastAsia="bg-BG"/>
        </w:rPr>
        <w:t>)*8,0% + (</w:t>
      </w:r>
      <w:proofErr w:type="spellStart"/>
      <w:r w:rsidRPr="00F85989">
        <w:rPr>
          <w:rFonts w:ascii="Times New Roman" w:hAnsi="Times New Roman"/>
          <w:sz w:val="24"/>
          <w:szCs w:val="24"/>
          <w:lang w:eastAsia="bg-BG"/>
        </w:rPr>
        <w:t>Уi</w:t>
      </w:r>
      <w:proofErr w:type="spellEnd"/>
      <w:r w:rsidRPr="00F85989">
        <w:rPr>
          <w:rFonts w:ascii="Times New Roman" w:hAnsi="Times New Roman"/>
          <w:sz w:val="24"/>
          <w:szCs w:val="24"/>
          <w:lang w:eastAsia="bg-BG"/>
        </w:rPr>
        <w:t>/∑</w:t>
      </w:r>
      <w:proofErr w:type="spellStart"/>
      <w:r w:rsidRPr="00F85989">
        <w:rPr>
          <w:rFonts w:ascii="Times New Roman" w:hAnsi="Times New Roman"/>
          <w:sz w:val="24"/>
          <w:szCs w:val="24"/>
          <w:lang w:eastAsia="bg-BG"/>
        </w:rPr>
        <w:t>Уi</w:t>
      </w:r>
      <w:proofErr w:type="spellEnd"/>
      <w:r w:rsidRPr="00F85989">
        <w:rPr>
          <w:rFonts w:ascii="Times New Roman" w:hAnsi="Times New Roman"/>
          <w:sz w:val="24"/>
          <w:szCs w:val="24"/>
          <w:lang w:eastAsia="bg-BG"/>
        </w:rPr>
        <w:t>)*1,1% + (</w:t>
      </w:r>
      <w:proofErr w:type="spellStart"/>
      <w:r w:rsidRPr="00F85989">
        <w:rPr>
          <w:rFonts w:ascii="Times New Roman" w:hAnsi="Times New Roman"/>
          <w:sz w:val="24"/>
          <w:szCs w:val="24"/>
          <w:lang w:eastAsia="bg-BG"/>
        </w:rPr>
        <w:t>Вi</w:t>
      </w:r>
      <w:proofErr w:type="spellEnd"/>
      <w:r w:rsidRPr="00F85989">
        <w:rPr>
          <w:rFonts w:ascii="Times New Roman" w:hAnsi="Times New Roman"/>
          <w:sz w:val="24"/>
          <w:szCs w:val="24"/>
          <w:lang w:eastAsia="bg-BG"/>
        </w:rPr>
        <w:t>/∑</w:t>
      </w:r>
      <w:proofErr w:type="spellStart"/>
      <w:r w:rsidRPr="00F85989">
        <w:rPr>
          <w:rFonts w:ascii="Times New Roman" w:hAnsi="Times New Roman"/>
          <w:sz w:val="24"/>
          <w:szCs w:val="24"/>
          <w:lang w:eastAsia="bg-BG"/>
        </w:rPr>
        <w:t>Вi</w:t>
      </w:r>
      <w:proofErr w:type="spellEnd"/>
      <w:r w:rsidRPr="00F85989">
        <w:rPr>
          <w:rFonts w:ascii="Times New Roman" w:hAnsi="Times New Roman"/>
          <w:sz w:val="24"/>
          <w:szCs w:val="24"/>
          <w:lang w:eastAsia="bg-BG"/>
        </w:rPr>
        <w:t>)*3,8% + (</w:t>
      </w:r>
      <w:proofErr w:type="spellStart"/>
      <w:r w:rsidRPr="00F85989">
        <w:rPr>
          <w:rFonts w:ascii="Times New Roman" w:hAnsi="Times New Roman"/>
          <w:sz w:val="24"/>
          <w:szCs w:val="24"/>
          <w:lang w:eastAsia="bg-BG"/>
        </w:rPr>
        <w:t>Тi</w:t>
      </w:r>
      <w:proofErr w:type="spellEnd"/>
      <w:r w:rsidRPr="00F85989">
        <w:rPr>
          <w:rFonts w:ascii="Times New Roman" w:hAnsi="Times New Roman"/>
          <w:sz w:val="24"/>
          <w:szCs w:val="24"/>
          <w:lang w:eastAsia="bg-BG"/>
        </w:rPr>
        <w:t>/∑</w:t>
      </w:r>
      <w:proofErr w:type="spellStart"/>
      <w:r w:rsidRPr="00F85989">
        <w:rPr>
          <w:rFonts w:ascii="Times New Roman" w:hAnsi="Times New Roman"/>
          <w:sz w:val="24"/>
          <w:szCs w:val="24"/>
          <w:lang w:eastAsia="bg-BG"/>
        </w:rPr>
        <w:t>Тi</w:t>
      </w:r>
      <w:proofErr w:type="spellEnd"/>
      <w:r w:rsidRPr="00F85989">
        <w:rPr>
          <w:rFonts w:ascii="Times New Roman" w:hAnsi="Times New Roman"/>
          <w:sz w:val="24"/>
          <w:szCs w:val="24"/>
          <w:lang w:eastAsia="bg-BG"/>
        </w:rPr>
        <w:t>)*23,4% + (</w:t>
      </w:r>
      <w:proofErr w:type="spellStart"/>
      <w:r w:rsidRPr="00F85989">
        <w:rPr>
          <w:rFonts w:ascii="Times New Roman" w:hAnsi="Times New Roman"/>
          <w:sz w:val="24"/>
          <w:szCs w:val="24"/>
          <w:lang w:eastAsia="bg-BG"/>
        </w:rPr>
        <w:t>ДОПi</w:t>
      </w:r>
      <w:proofErr w:type="spellEnd"/>
      <w:r w:rsidRPr="00F85989">
        <w:rPr>
          <w:rFonts w:ascii="Times New Roman" w:hAnsi="Times New Roman"/>
          <w:sz w:val="24"/>
          <w:szCs w:val="24"/>
          <w:lang w:eastAsia="bg-BG"/>
        </w:rPr>
        <w:t>/∑</w:t>
      </w:r>
      <w:proofErr w:type="spellStart"/>
      <w:r w:rsidRPr="00F85989">
        <w:rPr>
          <w:rFonts w:ascii="Times New Roman" w:hAnsi="Times New Roman"/>
          <w:sz w:val="24"/>
          <w:szCs w:val="24"/>
          <w:lang w:eastAsia="bg-BG"/>
        </w:rPr>
        <w:t>ДОПi</w:t>
      </w:r>
      <w:proofErr w:type="spellEnd"/>
      <w:r w:rsidRPr="00F85989">
        <w:rPr>
          <w:rFonts w:ascii="Times New Roman" w:hAnsi="Times New Roman"/>
          <w:sz w:val="24"/>
          <w:szCs w:val="24"/>
          <w:lang w:eastAsia="bg-BG"/>
        </w:rPr>
        <w:t>)*10,4% + (</w:t>
      </w:r>
      <w:proofErr w:type="spellStart"/>
      <w:r w:rsidRPr="00F85989">
        <w:rPr>
          <w:rFonts w:ascii="Times New Roman" w:hAnsi="Times New Roman"/>
          <w:sz w:val="24"/>
          <w:szCs w:val="24"/>
          <w:lang w:eastAsia="bg-BG"/>
        </w:rPr>
        <w:t>Нi</w:t>
      </w:r>
      <w:proofErr w:type="spellEnd"/>
      <w:r w:rsidRPr="00F85989">
        <w:rPr>
          <w:rFonts w:ascii="Times New Roman" w:hAnsi="Times New Roman"/>
          <w:sz w:val="24"/>
          <w:szCs w:val="24"/>
          <w:lang w:eastAsia="bg-BG"/>
        </w:rPr>
        <w:t>/∑</w:t>
      </w:r>
      <w:proofErr w:type="spellStart"/>
      <w:r w:rsidRPr="00F85989">
        <w:rPr>
          <w:rFonts w:ascii="Times New Roman" w:hAnsi="Times New Roman"/>
          <w:sz w:val="24"/>
          <w:szCs w:val="24"/>
          <w:lang w:eastAsia="bg-BG"/>
        </w:rPr>
        <w:t>Нi</w:t>
      </w:r>
      <w:proofErr w:type="spellEnd"/>
      <w:r w:rsidRPr="00F85989">
        <w:rPr>
          <w:rFonts w:ascii="Times New Roman" w:hAnsi="Times New Roman"/>
          <w:sz w:val="24"/>
          <w:szCs w:val="24"/>
          <w:lang w:eastAsia="bg-BG"/>
        </w:rPr>
        <w:t xml:space="preserve">)*53,3%, където </w:t>
      </w:r>
    </w:p>
    <w:p w:rsidR="00080A2E" w:rsidRPr="00F85989" w:rsidRDefault="00080A2E" w:rsidP="00080A2E">
      <w:pPr>
        <w:widowControl w:val="0"/>
        <w:spacing w:after="0" w:line="240" w:lineRule="auto"/>
        <w:ind w:firstLine="567"/>
        <w:rPr>
          <w:rFonts w:ascii="Times New Roman" w:hAnsi="Times New Roman"/>
          <w:sz w:val="24"/>
          <w:szCs w:val="24"/>
          <w:lang w:eastAsia="bg-BG"/>
        </w:rPr>
      </w:pPr>
      <w:r w:rsidRPr="00F85989">
        <w:rPr>
          <w:rFonts w:ascii="Times New Roman" w:hAnsi="Times New Roman"/>
          <w:sz w:val="24"/>
          <w:szCs w:val="24"/>
          <w:lang w:eastAsia="bg-BG"/>
        </w:rPr>
        <w:t>Д</w:t>
      </w:r>
      <w:r w:rsidRPr="00F85989">
        <w:rPr>
          <w:rFonts w:ascii="Times New Roman" w:hAnsi="Times New Roman"/>
          <w:sz w:val="24"/>
          <w:szCs w:val="24"/>
          <w:vertAlign w:val="subscript"/>
          <w:lang w:eastAsia="bg-BG"/>
        </w:rPr>
        <w:t xml:space="preserve"> </w:t>
      </w:r>
      <w:r w:rsidRPr="00F85989">
        <w:rPr>
          <w:rFonts w:ascii="Times New Roman" w:hAnsi="Times New Roman"/>
          <w:sz w:val="24"/>
          <w:szCs w:val="24"/>
          <w:lang w:eastAsia="bg-BG"/>
        </w:rPr>
        <w:t>– деца до 5 г</w:t>
      </w:r>
      <w:r w:rsidR="009F504F" w:rsidRPr="00F85989">
        <w:rPr>
          <w:rFonts w:ascii="Times New Roman" w:hAnsi="Times New Roman"/>
          <w:sz w:val="24"/>
          <w:szCs w:val="24"/>
          <w:lang w:eastAsia="bg-BG"/>
        </w:rPr>
        <w:t>одини</w:t>
      </w:r>
    </w:p>
    <w:p w:rsidR="00080A2E" w:rsidRPr="00F85989" w:rsidRDefault="00080A2E" w:rsidP="00080A2E">
      <w:pPr>
        <w:widowControl w:val="0"/>
        <w:spacing w:after="0" w:line="240" w:lineRule="auto"/>
        <w:ind w:firstLine="567"/>
        <w:rPr>
          <w:rFonts w:ascii="Times New Roman" w:hAnsi="Times New Roman"/>
          <w:sz w:val="24"/>
          <w:szCs w:val="24"/>
          <w:vertAlign w:val="subscript"/>
          <w:lang w:eastAsia="bg-BG"/>
        </w:rPr>
      </w:pPr>
      <w:r w:rsidRPr="00F85989">
        <w:rPr>
          <w:rFonts w:ascii="Times New Roman" w:hAnsi="Times New Roman"/>
          <w:sz w:val="24"/>
          <w:szCs w:val="24"/>
          <w:lang w:eastAsia="bg-BG"/>
        </w:rPr>
        <w:t xml:space="preserve">У </w:t>
      </w:r>
      <w:r w:rsidRPr="00F85989">
        <w:rPr>
          <w:rFonts w:ascii="Times New Roman" w:hAnsi="Times New Roman"/>
          <w:sz w:val="24"/>
          <w:szCs w:val="24"/>
          <w:vertAlign w:val="subscript"/>
          <w:lang w:eastAsia="bg-BG"/>
        </w:rPr>
        <w:t xml:space="preserve">–  </w:t>
      </w:r>
      <w:r w:rsidRPr="00F85989">
        <w:rPr>
          <w:rFonts w:ascii="Times New Roman" w:hAnsi="Times New Roman"/>
          <w:sz w:val="24"/>
          <w:szCs w:val="24"/>
          <w:lang w:eastAsia="bg-BG"/>
        </w:rPr>
        <w:t>деца от 6 до 14 г./ученици</w:t>
      </w:r>
    </w:p>
    <w:p w:rsidR="00080A2E" w:rsidRPr="00F85989" w:rsidRDefault="00080A2E" w:rsidP="00080A2E">
      <w:pPr>
        <w:widowControl w:val="0"/>
        <w:spacing w:after="0" w:line="240" w:lineRule="auto"/>
        <w:ind w:firstLine="567"/>
        <w:rPr>
          <w:rFonts w:ascii="Times New Roman" w:hAnsi="Times New Roman"/>
          <w:sz w:val="24"/>
          <w:szCs w:val="24"/>
          <w:lang w:eastAsia="bg-BG"/>
        </w:rPr>
      </w:pPr>
      <w:r w:rsidRPr="00F85989">
        <w:rPr>
          <w:rFonts w:ascii="Times New Roman" w:hAnsi="Times New Roman"/>
          <w:sz w:val="24"/>
          <w:szCs w:val="24"/>
          <w:lang w:eastAsia="bg-BG"/>
        </w:rPr>
        <w:t>В - възрастни</w:t>
      </w:r>
      <w:r w:rsidRPr="00F85989">
        <w:t xml:space="preserve"> </w:t>
      </w:r>
      <w:r w:rsidRPr="00F85989">
        <w:rPr>
          <w:rFonts w:ascii="Times New Roman" w:hAnsi="Times New Roman"/>
          <w:sz w:val="24"/>
          <w:szCs w:val="24"/>
          <w:lang w:eastAsia="bg-BG"/>
        </w:rPr>
        <w:t>на и над 65 години</w:t>
      </w:r>
    </w:p>
    <w:p w:rsidR="00080A2E" w:rsidRPr="00F85989" w:rsidRDefault="00080A2E" w:rsidP="00080A2E">
      <w:pPr>
        <w:widowControl w:val="0"/>
        <w:spacing w:after="0" w:line="240" w:lineRule="auto"/>
        <w:ind w:firstLine="567"/>
        <w:rPr>
          <w:rFonts w:ascii="Times New Roman" w:hAnsi="Times New Roman"/>
          <w:sz w:val="24"/>
          <w:szCs w:val="24"/>
          <w:lang w:eastAsia="bg-BG"/>
        </w:rPr>
      </w:pPr>
      <w:r w:rsidRPr="00F85989">
        <w:rPr>
          <w:rFonts w:ascii="Times New Roman" w:hAnsi="Times New Roman"/>
          <w:sz w:val="24"/>
          <w:szCs w:val="24"/>
          <w:lang w:eastAsia="bg-BG"/>
        </w:rPr>
        <w:t>Т - територия</w:t>
      </w:r>
    </w:p>
    <w:p w:rsidR="00080A2E" w:rsidRPr="00F85989" w:rsidRDefault="00080A2E" w:rsidP="00080A2E">
      <w:pPr>
        <w:widowControl w:val="0"/>
        <w:spacing w:after="0" w:line="240" w:lineRule="auto"/>
        <w:ind w:firstLine="567"/>
        <w:rPr>
          <w:rFonts w:ascii="Times New Roman" w:hAnsi="Times New Roman"/>
          <w:sz w:val="24"/>
          <w:szCs w:val="24"/>
          <w:lang w:eastAsia="bg-BG"/>
        </w:rPr>
      </w:pPr>
      <w:r w:rsidRPr="00F85989">
        <w:rPr>
          <w:rFonts w:ascii="Times New Roman" w:hAnsi="Times New Roman"/>
          <w:sz w:val="24"/>
          <w:szCs w:val="24"/>
          <w:lang w:eastAsia="bg-BG"/>
        </w:rPr>
        <w:t>ДОП - дължина на общински пътища</w:t>
      </w:r>
    </w:p>
    <w:p w:rsidR="00080A2E" w:rsidRPr="00F85989" w:rsidRDefault="00080A2E" w:rsidP="00080A2E">
      <w:pPr>
        <w:widowControl w:val="0"/>
        <w:spacing w:after="0" w:line="240" w:lineRule="auto"/>
        <w:ind w:firstLine="567"/>
        <w:rPr>
          <w:rFonts w:ascii="Times New Roman" w:hAnsi="Times New Roman"/>
          <w:sz w:val="24"/>
          <w:szCs w:val="24"/>
          <w:lang w:eastAsia="bg-BG"/>
        </w:rPr>
      </w:pPr>
      <w:r w:rsidRPr="00F85989">
        <w:rPr>
          <w:rFonts w:ascii="Times New Roman" w:hAnsi="Times New Roman"/>
          <w:sz w:val="24"/>
          <w:szCs w:val="24"/>
          <w:lang w:eastAsia="bg-BG"/>
        </w:rPr>
        <w:t>Н – население</w:t>
      </w:r>
    </w:p>
    <w:p w:rsidR="00080A2E" w:rsidRPr="00F85989" w:rsidRDefault="00080A2E" w:rsidP="00080A2E">
      <w:pPr>
        <w:widowControl w:val="0"/>
        <w:spacing w:after="0" w:line="240" w:lineRule="auto"/>
        <w:ind w:firstLine="567"/>
        <w:rPr>
          <w:rFonts w:ascii="Times New Roman" w:hAnsi="Times New Roman"/>
          <w:sz w:val="24"/>
          <w:szCs w:val="24"/>
          <w:lang w:eastAsia="bg-BG"/>
        </w:rPr>
      </w:pPr>
    </w:p>
    <w:p w:rsidR="007F1BF1" w:rsidRPr="00F85989" w:rsidRDefault="007F1BF1" w:rsidP="007F1BF1">
      <w:pPr>
        <w:widowControl w:val="0"/>
        <w:spacing w:after="120" w:line="240" w:lineRule="auto"/>
        <w:ind w:firstLine="567"/>
        <w:jc w:val="both"/>
        <w:rPr>
          <w:rFonts w:ascii="Times New Roman" w:hAnsi="Times New Roman"/>
          <w:sz w:val="24"/>
          <w:szCs w:val="24"/>
          <w:lang w:eastAsia="bg-BG"/>
        </w:rPr>
      </w:pPr>
      <w:proofErr w:type="spellStart"/>
      <w:r w:rsidRPr="00F85989">
        <w:rPr>
          <w:rFonts w:ascii="Times New Roman" w:hAnsi="Times New Roman"/>
          <w:sz w:val="24"/>
          <w:szCs w:val="24"/>
          <w:lang w:eastAsia="bg-BG"/>
        </w:rPr>
        <w:t>РПi</w:t>
      </w:r>
      <w:proofErr w:type="spellEnd"/>
      <w:r w:rsidRPr="00F85989">
        <w:rPr>
          <w:rFonts w:ascii="Times New Roman" w:hAnsi="Times New Roman"/>
          <w:sz w:val="24"/>
          <w:szCs w:val="24"/>
          <w:lang w:eastAsia="bg-BG"/>
        </w:rPr>
        <w:t xml:space="preserve"> е делът на разходните потребности за конкретната община.</w:t>
      </w:r>
    </w:p>
    <w:p w:rsidR="007F1BF1" w:rsidRPr="00F85989" w:rsidRDefault="007F1BF1" w:rsidP="007F1BF1">
      <w:pPr>
        <w:widowControl w:val="0"/>
        <w:spacing w:after="120" w:line="240" w:lineRule="auto"/>
        <w:ind w:firstLine="567"/>
        <w:jc w:val="both"/>
        <w:rPr>
          <w:rFonts w:ascii="Times New Roman" w:hAnsi="Times New Roman"/>
          <w:sz w:val="24"/>
          <w:szCs w:val="24"/>
          <w:lang w:eastAsia="bg-BG"/>
        </w:rPr>
      </w:pPr>
      <w:r w:rsidRPr="00F85989">
        <w:rPr>
          <w:rFonts w:ascii="Times New Roman" w:hAnsi="Times New Roman"/>
          <w:sz w:val="24"/>
          <w:szCs w:val="24"/>
          <w:lang w:eastAsia="bg-BG"/>
        </w:rPr>
        <w:t xml:space="preserve">∑ </w:t>
      </w:r>
      <w:proofErr w:type="spellStart"/>
      <w:r w:rsidRPr="00F85989">
        <w:rPr>
          <w:rFonts w:ascii="Times New Roman" w:hAnsi="Times New Roman"/>
          <w:sz w:val="24"/>
          <w:szCs w:val="24"/>
          <w:lang w:eastAsia="bg-BG"/>
        </w:rPr>
        <w:t>РПi</w:t>
      </w:r>
      <w:proofErr w:type="spellEnd"/>
      <w:r w:rsidRPr="00F85989">
        <w:rPr>
          <w:rFonts w:ascii="Times New Roman" w:hAnsi="Times New Roman"/>
          <w:sz w:val="24"/>
          <w:szCs w:val="24"/>
          <w:lang w:eastAsia="bg-BG"/>
        </w:rPr>
        <w:t>=0,7505 само за общините с достъп.</w:t>
      </w:r>
    </w:p>
    <w:p w:rsidR="007F1BF1" w:rsidRPr="00F85989" w:rsidRDefault="007F1BF1" w:rsidP="007F1BF1">
      <w:pPr>
        <w:widowControl w:val="0"/>
        <w:spacing w:after="120" w:line="240" w:lineRule="auto"/>
        <w:ind w:firstLine="567"/>
        <w:jc w:val="both"/>
        <w:rPr>
          <w:rFonts w:ascii="Times New Roman" w:hAnsi="Times New Roman"/>
          <w:sz w:val="24"/>
          <w:szCs w:val="24"/>
          <w:lang w:val="en-US" w:eastAsia="bg-BG"/>
        </w:rPr>
      </w:pPr>
      <w:r w:rsidRPr="00F85989">
        <w:rPr>
          <w:rFonts w:ascii="Times New Roman" w:hAnsi="Times New Roman"/>
          <w:sz w:val="24"/>
          <w:szCs w:val="24"/>
          <w:lang w:eastAsia="bg-BG"/>
        </w:rPr>
        <w:t xml:space="preserve">Разпределението на общата сума от А2 по общини е на база относителния дял на разходните потребности на всяка от общините с достъп към общата сума на разходните </w:t>
      </w:r>
      <w:r w:rsidRPr="00F85989">
        <w:rPr>
          <w:rFonts w:ascii="Times New Roman" w:hAnsi="Times New Roman"/>
          <w:sz w:val="24"/>
          <w:szCs w:val="24"/>
          <w:lang w:eastAsia="bg-BG"/>
        </w:rPr>
        <w:lastRenderedPageBreak/>
        <w:t xml:space="preserve">потребности за общините с достъп </w:t>
      </w:r>
      <w:proofErr w:type="spellStart"/>
      <w:r w:rsidRPr="00F85989">
        <w:rPr>
          <w:rFonts w:ascii="Times New Roman" w:hAnsi="Times New Roman"/>
          <w:sz w:val="24"/>
          <w:szCs w:val="24"/>
          <w:lang w:eastAsia="bg-BG"/>
        </w:rPr>
        <w:t>РПi</w:t>
      </w:r>
      <w:proofErr w:type="spellEnd"/>
      <w:r w:rsidRPr="00F85989">
        <w:rPr>
          <w:rFonts w:ascii="Times New Roman" w:hAnsi="Times New Roman"/>
          <w:sz w:val="24"/>
          <w:szCs w:val="24"/>
          <w:lang w:eastAsia="bg-BG"/>
        </w:rPr>
        <w:t xml:space="preserve">/∑ </w:t>
      </w:r>
      <w:proofErr w:type="spellStart"/>
      <w:r w:rsidRPr="00F85989">
        <w:rPr>
          <w:rFonts w:ascii="Times New Roman" w:hAnsi="Times New Roman"/>
          <w:sz w:val="24"/>
          <w:szCs w:val="24"/>
          <w:lang w:eastAsia="bg-BG"/>
        </w:rPr>
        <w:t>РПi</w:t>
      </w:r>
      <w:proofErr w:type="spellEnd"/>
      <w:r w:rsidRPr="00F85989">
        <w:rPr>
          <w:rFonts w:ascii="Times New Roman" w:hAnsi="Times New Roman"/>
          <w:sz w:val="24"/>
          <w:szCs w:val="24"/>
          <w:lang w:eastAsia="bg-BG"/>
        </w:rPr>
        <w:t>.</w:t>
      </w:r>
    </w:p>
    <w:p w:rsidR="007F1BF1" w:rsidRPr="00F85989" w:rsidRDefault="007F1BF1" w:rsidP="007F1BF1">
      <w:pPr>
        <w:widowControl w:val="0"/>
        <w:spacing w:after="120" w:line="240" w:lineRule="auto"/>
        <w:ind w:firstLine="567"/>
        <w:jc w:val="both"/>
        <w:rPr>
          <w:rFonts w:ascii="Times New Roman" w:hAnsi="Times New Roman"/>
          <w:sz w:val="24"/>
          <w:szCs w:val="24"/>
          <w:lang w:eastAsia="bg-BG"/>
        </w:rPr>
      </w:pPr>
      <w:r w:rsidRPr="00F85989">
        <w:rPr>
          <w:rFonts w:ascii="Times New Roman" w:hAnsi="Times New Roman"/>
          <w:sz w:val="24"/>
          <w:szCs w:val="24"/>
          <w:lang w:eastAsia="bg-BG"/>
        </w:rPr>
        <w:t>Информацията за населението, децата</w:t>
      </w:r>
      <w:r w:rsidR="009F504F" w:rsidRPr="00F85989">
        <w:rPr>
          <w:rFonts w:ascii="Times New Roman" w:hAnsi="Times New Roman"/>
          <w:sz w:val="24"/>
          <w:szCs w:val="24"/>
          <w:lang w:eastAsia="bg-BG"/>
        </w:rPr>
        <w:t xml:space="preserve"> до 5 години</w:t>
      </w:r>
      <w:r w:rsidRPr="00F85989">
        <w:rPr>
          <w:rFonts w:ascii="Times New Roman" w:hAnsi="Times New Roman"/>
          <w:sz w:val="24"/>
          <w:szCs w:val="24"/>
          <w:lang w:eastAsia="bg-BG"/>
        </w:rPr>
        <w:t>, децата от 6 до 14 г</w:t>
      </w:r>
      <w:r w:rsidR="009F504F" w:rsidRPr="00F85989">
        <w:rPr>
          <w:rFonts w:ascii="Times New Roman" w:hAnsi="Times New Roman"/>
          <w:sz w:val="24"/>
          <w:szCs w:val="24"/>
          <w:lang w:eastAsia="bg-BG"/>
        </w:rPr>
        <w:t>одини</w:t>
      </w:r>
      <w:r w:rsidRPr="00F85989">
        <w:rPr>
          <w:rFonts w:ascii="Times New Roman" w:hAnsi="Times New Roman"/>
          <w:sz w:val="24"/>
          <w:szCs w:val="24"/>
          <w:lang w:eastAsia="bg-BG"/>
        </w:rPr>
        <w:t xml:space="preserve"> и възрастните на и над 65 години е по данни на НСИ, а за дължината на общинските пътища – по данни на Министерството на регионалното развитие и благоустройството, към 31 декември 2017 г.</w:t>
      </w:r>
    </w:p>
    <w:p w:rsidR="007F1BF1" w:rsidRPr="00F85989" w:rsidRDefault="007F1BF1" w:rsidP="007F1BF1">
      <w:pPr>
        <w:widowControl w:val="0"/>
        <w:spacing w:after="120" w:line="240" w:lineRule="auto"/>
        <w:ind w:firstLine="567"/>
        <w:jc w:val="both"/>
        <w:rPr>
          <w:rFonts w:ascii="Times New Roman" w:hAnsi="Times New Roman"/>
          <w:sz w:val="24"/>
          <w:szCs w:val="24"/>
          <w:lang w:eastAsia="bg-BG"/>
        </w:rPr>
      </w:pPr>
      <w:r w:rsidRPr="00F85989">
        <w:rPr>
          <w:rFonts w:ascii="Times New Roman" w:hAnsi="Times New Roman"/>
          <w:b/>
          <w:sz w:val="24"/>
          <w:szCs w:val="24"/>
          <w:lang w:eastAsia="bg-BG"/>
        </w:rPr>
        <w:t>А3</w:t>
      </w:r>
      <w:r w:rsidRPr="00F85989">
        <w:rPr>
          <w:rFonts w:ascii="Times New Roman" w:hAnsi="Times New Roman"/>
          <w:sz w:val="24"/>
          <w:szCs w:val="24"/>
          <w:lang w:eastAsia="bg-BG"/>
        </w:rPr>
        <w:t xml:space="preserve"> е третата част от размера на общата изравнителна субсидия от централния бюджет за конкретната община с достъп.</w:t>
      </w:r>
    </w:p>
    <w:p w:rsidR="007F1BF1" w:rsidRPr="00F85989" w:rsidRDefault="007F1BF1" w:rsidP="007F1BF1">
      <w:pPr>
        <w:ind w:firstLine="567"/>
        <w:jc w:val="both"/>
        <w:rPr>
          <w:rFonts w:ascii="Times New Roman" w:hAnsi="Times New Roman"/>
          <w:sz w:val="24"/>
          <w:szCs w:val="24"/>
          <w:lang w:eastAsia="bg-BG"/>
        </w:rPr>
      </w:pPr>
      <w:r w:rsidRPr="00F85989">
        <w:rPr>
          <w:rFonts w:ascii="Times New Roman" w:hAnsi="Times New Roman"/>
          <w:sz w:val="24"/>
          <w:szCs w:val="24"/>
          <w:lang w:eastAsia="bg-BG"/>
        </w:rPr>
        <w:t>Право да получават тази част от субсидията имат общините с достъп, чийто дял на приходите спрямо общите постъпления (по последни отчетни годишни данни за 2017 г.) е по-малък от 25 на сто.</w:t>
      </w:r>
    </w:p>
    <w:p w:rsidR="007F1BF1" w:rsidRPr="00F85989" w:rsidRDefault="007F1BF1" w:rsidP="007F1BF1">
      <w:pPr>
        <w:spacing w:before="120" w:after="0" w:line="240" w:lineRule="auto"/>
        <w:ind w:firstLine="640"/>
        <w:jc w:val="both"/>
        <w:rPr>
          <w:rFonts w:ascii="Times New Roman" w:hAnsi="Times New Roman"/>
          <w:b/>
          <w:sz w:val="24"/>
          <w:szCs w:val="24"/>
          <w:lang w:eastAsia="bg-BG"/>
        </w:rPr>
      </w:pPr>
      <w:r w:rsidRPr="00F85989">
        <w:rPr>
          <w:rFonts w:ascii="Times New Roman" w:hAnsi="Times New Roman"/>
          <w:b/>
          <w:sz w:val="24"/>
          <w:szCs w:val="24"/>
          <w:lang w:eastAsia="bg-BG"/>
        </w:rPr>
        <w:t>П</w:t>
      </w:r>
      <w:r w:rsidRPr="00F85989">
        <w:rPr>
          <w:rFonts w:ascii="Times New Roman" w:hAnsi="Times New Roman"/>
          <w:b/>
          <w:sz w:val="24"/>
          <w:szCs w:val="24"/>
          <w:vertAlign w:val="subscript"/>
          <w:lang w:eastAsia="bg-BG"/>
        </w:rPr>
        <w:t>х1</w:t>
      </w:r>
      <w:r w:rsidRPr="00F85989">
        <w:rPr>
          <w:rFonts w:ascii="Times New Roman" w:hAnsi="Times New Roman"/>
          <w:b/>
          <w:sz w:val="24"/>
          <w:szCs w:val="24"/>
          <w:lang w:eastAsia="bg-BG"/>
        </w:rPr>
        <w:t>/ОП</w:t>
      </w:r>
      <w:r w:rsidRPr="00F85989">
        <w:rPr>
          <w:rFonts w:ascii="Times New Roman" w:hAnsi="Times New Roman"/>
          <w:b/>
          <w:sz w:val="24"/>
          <w:szCs w:val="24"/>
          <w:vertAlign w:val="subscript"/>
          <w:lang w:eastAsia="bg-BG"/>
        </w:rPr>
        <w:t>х1</w:t>
      </w:r>
      <w:r w:rsidRPr="00F85989">
        <w:rPr>
          <w:rFonts w:ascii="Times New Roman" w:hAnsi="Times New Roman"/>
          <w:b/>
          <w:sz w:val="24"/>
          <w:szCs w:val="24"/>
          <w:lang w:eastAsia="bg-BG"/>
        </w:rPr>
        <w:t>&lt;25 %, където</w:t>
      </w:r>
    </w:p>
    <w:p w:rsidR="007F1BF1" w:rsidRPr="00F85989" w:rsidRDefault="007F1BF1" w:rsidP="007F1BF1">
      <w:pPr>
        <w:ind w:firstLine="567"/>
        <w:jc w:val="both"/>
        <w:rPr>
          <w:rFonts w:ascii="Times New Roman" w:hAnsi="Times New Roman"/>
          <w:sz w:val="24"/>
          <w:szCs w:val="24"/>
          <w:lang w:eastAsia="bg-BG"/>
        </w:rPr>
      </w:pPr>
      <w:r w:rsidRPr="00F85989">
        <w:rPr>
          <w:rFonts w:ascii="Times New Roman" w:hAnsi="Times New Roman"/>
          <w:b/>
          <w:sz w:val="24"/>
          <w:szCs w:val="24"/>
          <w:lang w:eastAsia="bg-BG"/>
        </w:rPr>
        <w:t>П</w:t>
      </w:r>
      <w:r w:rsidRPr="00F85989">
        <w:rPr>
          <w:rFonts w:ascii="Times New Roman" w:hAnsi="Times New Roman"/>
          <w:b/>
          <w:sz w:val="24"/>
          <w:szCs w:val="24"/>
          <w:vertAlign w:val="subscript"/>
          <w:lang w:eastAsia="bg-BG"/>
        </w:rPr>
        <w:t xml:space="preserve">х1 </w:t>
      </w:r>
      <w:r w:rsidRPr="00F85989">
        <w:rPr>
          <w:rFonts w:ascii="Times New Roman" w:hAnsi="Times New Roman"/>
          <w:sz w:val="24"/>
          <w:szCs w:val="24"/>
          <w:lang w:eastAsia="bg-BG"/>
        </w:rPr>
        <w:t>е размерът на приходите (раздел І и §40-00 от раздел ІІІ от ЕБК) към 31 декември 2017 г. за конкретната община с достъп.</w:t>
      </w:r>
    </w:p>
    <w:p w:rsidR="007F1BF1" w:rsidRPr="00F85989" w:rsidRDefault="007F1BF1" w:rsidP="007F1BF1">
      <w:pPr>
        <w:ind w:firstLine="567"/>
        <w:jc w:val="both"/>
        <w:rPr>
          <w:rFonts w:ascii="Times New Roman" w:hAnsi="Times New Roman"/>
          <w:sz w:val="24"/>
          <w:szCs w:val="24"/>
          <w:lang w:eastAsia="bg-BG"/>
        </w:rPr>
      </w:pPr>
      <w:r w:rsidRPr="00F85989">
        <w:rPr>
          <w:rFonts w:ascii="Times New Roman" w:hAnsi="Times New Roman"/>
          <w:b/>
          <w:sz w:val="24"/>
          <w:szCs w:val="24"/>
          <w:lang w:eastAsia="bg-BG"/>
        </w:rPr>
        <w:t>ОП</w:t>
      </w:r>
      <w:r w:rsidRPr="00F85989">
        <w:rPr>
          <w:rFonts w:ascii="Times New Roman" w:hAnsi="Times New Roman"/>
          <w:b/>
          <w:sz w:val="24"/>
          <w:szCs w:val="24"/>
          <w:vertAlign w:val="subscript"/>
          <w:lang w:eastAsia="bg-BG"/>
        </w:rPr>
        <w:t>х1</w:t>
      </w:r>
      <w:r w:rsidRPr="00F85989">
        <w:rPr>
          <w:rFonts w:ascii="Times New Roman" w:hAnsi="Times New Roman"/>
          <w:sz w:val="24"/>
          <w:szCs w:val="24"/>
          <w:lang w:eastAsia="bg-BG"/>
        </w:rPr>
        <w:t xml:space="preserve"> е размерът на общите постъпления към 31 декември 2017 г. за конкретната община с достъп, който се формира като сума от размера на приходите на общината, трансферите и временните безлихвени заеми (раздел І, §40-00 от раздел ІІІ и раздел ІV от ЕБК).</w:t>
      </w:r>
    </w:p>
    <w:p w:rsidR="007F1BF1" w:rsidRPr="00F85989" w:rsidRDefault="007F1BF1" w:rsidP="007F1BF1">
      <w:pPr>
        <w:ind w:firstLine="567"/>
        <w:jc w:val="both"/>
        <w:rPr>
          <w:rFonts w:ascii="Times New Roman" w:hAnsi="Times New Roman"/>
          <w:sz w:val="24"/>
          <w:szCs w:val="24"/>
          <w:lang w:eastAsia="bg-BG"/>
        </w:rPr>
      </w:pPr>
      <w:r w:rsidRPr="00F85989">
        <w:rPr>
          <w:rFonts w:ascii="Times New Roman" w:hAnsi="Times New Roman"/>
          <w:sz w:val="24"/>
          <w:szCs w:val="24"/>
          <w:lang w:eastAsia="bg-BG"/>
        </w:rPr>
        <w:t>Разпределението на тази част от субсидията е на база относителния дял на разликата между 25 % и полученото съотношение на приходи към общи постъпления за конкретната община с достъп.</w:t>
      </w:r>
    </w:p>
    <w:p w:rsidR="007F1BF1" w:rsidRPr="00F85989" w:rsidRDefault="007F1BF1" w:rsidP="007F1BF1">
      <w:pPr>
        <w:ind w:firstLine="567"/>
        <w:jc w:val="both"/>
        <w:rPr>
          <w:rFonts w:ascii="Times New Roman" w:hAnsi="Times New Roman"/>
          <w:b/>
          <w:sz w:val="24"/>
          <w:szCs w:val="24"/>
          <w:u w:val="single"/>
          <w:lang w:eastAsia="bg-BG"/>
        </w:rPr>
      </w:pPr>
      <w:r w:rsidRPr="00F85989">
        <w:rPr>
          <w:rFonts w:ascii="Times New Roman" w:hAnsi="Times New Roman"/>
          <w:b/>
          <w:sz w:val="24"/>
          <w:szCs w:val="24"/>
          <w:lang w:eastAsia="bg-BG"/>
        </w:rPr>
        <w:t>А4</w:t>
      </w:r>
      <w:r w:rsidRPr="00F85989">
        <w:rPr>
          <w:rFonts w:ascii="Times New Roman" w:hAnsi="Times New Roman"/>
          <w:sz w:val="24"/>
          <w:szCs w:val="24"/>
          <w:lang w:eastAsia="bg-BG"/>
        </w:rPr>
        <w:t xml:space="preserve"> е допълнителен компонент на общата изравнителна субсидия от централния бюджет за конкретната община, който осигурява размера на общата изравнителна субсидия, определен в Закона за държавния бюджет на Република България за 2018 г. (ЗДБРБ за 2018 г.) за общините с достъп. Тази част на субсидията се получава от общините с достъп, които имат отрицателна разлика между полученото от сумата на компонентите А1, А2 и А3 (А1+А2+А3) и размера на </w:t>
      </w:r>
      <w:r w:rsidR="00E55F39" w:rsidRPr="00F85989">
        <w:rPr>
          <w:rFonts w:ascii="Times New Roman" w:hAnsi="Times New Roman"/>
          <w:sz w:val="24"/>
          <w:szCs w:val="24"/>
          <w:lang w:eastAsia="bg-BG"/>
        </w:rPr>
        <w:t>общата изравнителна</w:t>
      </w:r>
      <w:r w:rsidRPr="00F85989">
        <w:rPr>
          <w:rFonts w:ascii="Times New Roman" w:hAnsi="Times New Roman"/>
          <w:sz w:val="24"/>
          <w:szCs w:val="24"/>
          <w:lang w:eastAsia="bg-BG"/>
        </w:rPr>
        <w:t xml:space="preserve"> субсидия, определен в ЗДБРБ за 2018 г.</w:t>
      </w:r>
    </w:p>
    <w:p w:rsidR="007F1BF1" w:rsidRPr="00F85989" w:rsidRDefault="007F1BF1" w:rsidP="007F1BF1">
      <w:pPr>
        <w:ind w:firstLine="567"/>
        <w:jc w:val="both"/>
        <w:rPr>
          <w:rFonts w:ascii="Times New Roman" w:hAnsi="Times New Roman"/>
          <w:sz w:val="24"/>
          <w:szCs w:val="24"/>
          <w:lang w:eastAsia="bg-BG"/>
        </w:rPr>
      </w:pPr>
      <w:r w:rsidRPr="00F85989">
        <w:rPr>
          <w:rFonts w:ascii="Times New Roman" w:hAnsi="Times New Roman"/>
          <w:b/>
          <w:sz w:val="24"/>
          <w:szCs w:val="24"/>
          <w:lang w:eastAsia="bg-BG"/>
        </w:rPr>
        <w:t>А5</w:t>
      </w:r>
      <w:r w:rsidRPr="00F85989">
        <w:rPr>
          <w:rFonts w:ascii="Times New Roman" w:hAnsi="Times New Roman"/>
          <w:sz w:val="24"/>
          <w:szCs w:val="24"/>
          <w:lang w:eastAsia="bg-BG"/>
        </w:rPr>
        <w:t xml:space="preserve"> е допълнителен компонент на общата изравнителна субсидия от централния бюджет за конкретната община с достъп.</w:t>
      </w:r>
    </w:p>
    <w:p w:rsidR="007F1BF1" w:rsidRPr="00F85989" w:rsidRDefault="007F1BF1" w:rsidP="007F1BF1">
      <w:pPr>
        <w:ind w:firstLine="567"/>
        <w:jc w:val="both"/>
        <w:rPr>
          <w:rFonts w:ascii="Times New Roman" w:hAnsi="Times New Roman"/>
          <w:bCs/>
          <w:sz w:val="24"/>
          <w:szCs w:val="24"/>
          <w:lang w:eastAsia="bg-BG"/>
        </w:rPr>
      </w:pPr>
      <w:r w:rsidRPr="00F85989">
        <w:rPr>
          <w:rFonts w:ascii="Times New Roman" w:hAnsi="Times New Roman"/>
          <w:bCs/>
          <w:sz w:val="24"/>
          <w:szCs w:val="24"/>
          <w:lang w:eastAsia="bg-BG"/>
        </w:rPr>
        <w:t>Право да получават тази част от субсидията имат общините с осреднено данъчно усилие над средното за страната (</w:t>
      </w:r>
      <w:r w:rsidRPr="00F85989">
        <w:rPr>
          <w:rFonts w:ascii="Times New Roman" w:hAnsi="Times New Roman"/>
          <w:b/>
          <w:bCs/>
          <w:sz w:val="24"/>
          <w:szCs w:val="24"/>
          <w:lang w:eastAsia="bg-BG"/>
        </w:rPr>
        <w:t>ДУ</w:t>
      </w:r>
      <w:r w:rsidRPr="00F85989">
        <w:rPr>
          <w:rFonts w:ascii="Times New Roman" w:hAnsi="Times New Roman"/>
          <w:b/>
          <w:bCs/>
          <w:sz w:val="24"/>
          <w:szCs w:val="24"/>
          <w:vertAlign w:val="subscript"/>
          <w:lang w:eastAsia="bg-BG"/>
        </w:rPr>
        <w:t>ср</w:t>
      </w:r>
      <w:r w:rsidRPr="00F85989">
        <w:rPr>
          <w:rFonts w:ascii="Times New Roman" w:hAnsi="Times New Roman"/>
          <w:bCs/>
          <w:sz w:val="24"/>
          <w:szCs w:val="24"/>
          <w:vertAlign w:val="subscript"/>
          <w:lang w:eastAsia="bg-BG"/>
        </w:rPr>
        <w:t xml:space="preserve">х1 </w:t>
      </w:r>
      <w:r w:rsidRPr="00F85989">
        <w:rPr>
          <w:rFonts w:ascii="Times New Roman" w:hAnsi="Times New Roman"/>
          <w:bCs/>
          <w:sz w:val="24"/>
          <w:szCs w:val="24"/>
          <w:lang w:val="en-US" w:eastAsia="bg-BG"/>
        </w:rPr>
        <w:t>&gt;1)</w:t>
      </w:r>
      <w:r w:rsidRPr="00F85989">
        <w:rPr>
          <w:rFonts w:ascii="Times New Roman" w:hAnsi="Times New Roman"/>
          <w:bCs/>
          <w:sz w:val="24"/>
          <w:szCs w:val="24"/>
          <w:lang w:eastAsia="bg-BG"/>
        </w:rPr>
        <w:t>, като разпределението е на база относителния дял на разликата над 1.</w:t>
      </w:r>
    </w:p>
    <w:p w:rsidR="007F1BF1" w:rsidRPr="00F85989" w:rsidRDefault="007F1BF1" w:rsidP="007F1BF1">
      <w:pPr>
        <w:ind w:firstLine="567"/>
        <w:jc w:val="both"/>
        <w:rPr>
          <w:rFonts w:ascii="Times New Roman" w:hAnsi="Times New Roman"/>
          <w:sz w:val="24"/>
          <w:szCs w:val="24"/>
          <w:lang w:eastAsia="bg-BG"/>
        </w:rPr>
      </w:pPr>
      <w:r w:rsidRPr="00F85989">
        <w:rPr>
          <w:rFonts w:ascii="Times New Roman" w:hAnsi="Times New Roman"/>
          <w:b/>
          <w:bCs/>
          <w:sz w:val="24"/>
          <w:szCs w:val="24"/>
          <w:lang w:eastAsia="bg-BG"/>
        </w:rPr>
        <w:t>ДУ</w:t>
      </w:r>
      <w:r w:rsidRPr="00F85989">
        <w:rPr>
          <w:rFonts w:ascii="Times New Roman" w:hAnsi="Times New Roman"/>
          <w:b/>
          <w:bCs/>
          <w:sz w:val="24"/>
          <w:szCs w:val="24"/>
          <w:vertAlign w:val="subscript"/>
          <w:lang w:eastAsia="bg-BG"/>
        </w:rPr>
        <w:t>ср</w:t>
      </w:r>
      <w:r w:rsidRPr="00F85989">
        <w:rPr>
          <w:rFonts w:ascii="Times New Roman" w:hAnsi="Times New Roman"/>
          <w:bCs/>
          <w:sz w:val="24"/>
          <w:szCs w:val="24"/>
          <w:vertAlign w:val="subscript"/>
          <w:lang w:eastAsia="bg-BG"/>
        </w:rPr>
        <w:t>х1</w:t>
      </w:r>
      <w:r w:rsidRPr="00F85989">
        <w:rPr>
          <w:rFonts w:ascii="Times New Roman" w:hAnsi="Times New Roman"/>
          <w:b/>
          <w:bCs/>
          <w:sz w:val="24"/>
          <w:szCs w:val="24"/>
          <w:vertAlign w:val="subscript"/>
          <w:lang w:eastAsia="bg-BG"/>
        </w:rPr>
        <w:t xml:space="preserve"> </w:t>
      </w:r>
      <w:r w:rsidRPr="00F85989">
        <w:rPr>
          <w:rFonts w:ascii="Times New Roman" w:hAnsi="Times New Roman"/>
          <w:sz w:val="24"/>
          <w:szCs w:val="24"/>
          <w:lang w:eastAsia="bg-BG"/>
        </w:rPr>
        <w:t xml:space="preserve">е осредненото съотношение между размерите на ставките на данъка върху недвижимите имоти, данъка при придобиване на имущество по възмезден начин, данъка върху превозните средства - за леки автомобили над 74 </w:t>
      </w:r>
      <w:proofErr w:type="spellStart"/>
      <w:r w:rsidRPr="00F85989">
        <w:rPr>
          <w:rFonts w:ascii="Times New Roman" w:hAnsi="Times New Roman"/>
          <w:sz w:val="24"/>
          <w:szCs w:val="24"/>
          <w:lang w:eastAsia="bg-BG"/>
        </w:rPr>
        <w:t>kW</w:t>
      </w:r>
      <w:proofErr w:type="spellEnd"/>
      <w:r w:rsidRPr="00F85989">
        <w:rPr>
          <w:rFonts w:ascii="Times New Roman" w:hAnsi="Times New Roman"/>
          <w:sz w:val="24"/>
          <w:szCs w:val="24"/>
          <w:lang w:eastAsia="bg-BG"/>
        </w:rPr>
        <w:t xml:space="preserve"> до 110 </w:t>
      </w:r>
      <w:proofErr w:type="spellStart"/>
      <w:r w:rsidRPr="00F85989">
        <w:rPr>
          <w:rFonts w:ascii="Times New Roman" w:hAnsi="Times New Roman"/>
          <w:sz w:val="24"/>
          <w:szCs w:val="24"/>
          <w:lang w:eastAsia="bg-BG"/>
        </w:rPr>
        <w:t>kW</w:t>
      </w:r>
      <w:proofErr w:type="spellEnd"/>
      <w:r w:rsidRPr="00F85989">
        <w:rPr>
          <w:rFonts w:ascii="Times New Roman" w:hAnsi="Times New Roman"/>
          <w:sz w:val="24"/>
          <w:szCs w:val="24"/>
          <w:lang w:eastAsia="bg-BG"/>
        </w:rPr>
        <w:t xml:space="preserve"> и данъка върху превозните средства – за товарни автомобили до 12 т  на конкретната община за 2018 г. към съответните средни стойности за страната за всеки от изброените данъци. Изчислява се по следната формула: </w:t>
      </w:r>
    </w:p>
    <w:p w:rsidR="007F1BF1" w:rsidRPr="00F85989" w:rsidRDefault="007F1BF1" w:rsidP="007F1BF1">
      <w:pPr>
        <w:ind w:firstLine="567"/>
        <w:jc w:val="both"/>
        <w:rPr>
          <w:rFonts w:ascii="Times New Roman" w:hAnsi="Times New Roman"/>
          <w:bCs/>
          <w:sz w:val="24"/>
          <w:szCs w:val="24"/>
          <w:lang w:eastAsia="bg-BG"/>
        </w:rPr>
      </w:pPr>
      <w:r w:rsidRPr="00F85989">
        <w:rPr>
          <w:rFonts w:ascii="Times New Roman" w:hAnsi="Times New Roman"/>
          <w:b/>
          <w:sz w:val="24"/>
          <w:szCs w:val="24"/>
          <w:lang w:eastAsia="bg-BG"/>
        </w:rPr>
        <w:t>ДУ</w:t>
      </w:r>
      <w:r w:rsidRPr="00F85989">
        <w:rPr>
          <w:rFonts w:ascii="Times New Roman" w:hAnsi="Times New Roman"/>
          <w:b/>
          <w:sz w:val="24"/>
          <w:szCs w:val="24"/>
          <w:vertAlign w:val="subscript"/>
          <w:lang w:eastAsia="bg-BG"/>
        </w:rPr>
        <w:t>ср</w:t>
      </w:r>
      <w:r w:rsidRPr="00F85989">
        <w:rPr>
          <w:rFonts w:ascii="Times New Roman" w:hAnsi="Times New Roman"/>
          <w:bCs/>
          <w:sz w:val="24"/>
          <w:szCs w:val="24"/>
          <w:vertAlign w:val="subscript"/>
          <w:lang w:eastAsia="bg-BG"/>
        </w:rPr>
        <w:t>х1</w:t>
      </w:r>
      <w:r w:rsidRPr="00F85989">
        <w:rPr>
          <w:rFonts w:ascii="Times New Roman" w:hAnsi="Times New Roman"/>
          <w:b/>
          <w:sz w:val="24"/>
          <w:szCs w:val="24"/>
          <w:lang w:eastAsia="bg-BG"/>
        </w:rPr>
        <w:t>= (</w:t>
      </w:r>
      <w:r w:rsidRPr="00F85989">
        <w:rPr>
          <w:rFonts w:ascii="Times New Roman" w:hAnsi="Times New Roman"/>
          <w:bCs/>
          <w:sz w:val="24"/>
          <w:szCs w:val="24"/>
          <w:lang w:eastAsia="bg-BG"/>
        </w:rPr>
        <w:t>СТ</w:t>
      </w:r>
      <w:r w:rsidRPr="00F85989">
        <w:rPr>
          <w:rFonts w:ascii="Times New Roman" w:hAnsi="Times New Roman"/>
          <w:bCs/>
          <w:sz w:val="24"/>
          <w:szCs w:val="24"/>
          <w:vertAlign w:val="subscript"/>
          <w:lang w:eastAsia="bg-BG"/>
        </w:rPr>
        <w:t>ДНИх1</w:t>
      </w:r>
      <w:r w:rsidRPr="00F85989">
        <w:rPr>
          <w:rFonts w:ascii="Times New Roman" w:hAnsi="Times New Roman"/>
          <w:bCs/>
          <w:sz w:val="24"/>
          <w:szCs w:val="24"/>
          <w:lang w:eastAsia="bg-BG"/>
        </w:rPr>
        <w:t>/</w:t>
      </w:r>
      <w:proofErr w:type="spellStart"/>
      <w:r w:rsidRPr="00F85989">
        <w:rPr>
          <w:rFonts w:ascii="Times New Roman" w:hAnsi="Times New Roman"/>
          <w:bCs/>
          <w:sz w:val="24"/>
          <w:szCs w:val="24"/>
          <w:lang w:eastAsia="bg-BG"/>
        </w:rPr>
        <w:t>СТ</w:t>
      </w:r>
      <w:r w:rsidRPr="00F85989">
        <w:rPr>
          <w:rFonts w:ascii="Times New Roman" w:hAnsi="Times New Roman"/>
          <w:bCs/>
          <w:sz w:val="24"/>
          <w:szCs w:val="24"/>
          <w:vertAlign w:val="subscript"/>
          <w:lang w:eastAsia="bg-BG"/>
        </w:rPr>
        <w:t>ДНИср</w:t>
      </w:r>
      <w:proofErr w:type="spellEnd"/>
      <w:r w:rsidRPr="00F85989">
        <w:rPr>
          <w:rFonts w:ascii="Times New Roman" w:hAnsi="Times New Roman"/>
          <w:bCs/>
          <w:sz w:val="24"/>
          <w:szCs w:val="24"/>
          <w:vertAlign w:val="subscript"/>
          <w:lang w:eastAsia="bg-BG"/>
        </w:rPr>
        <w:t xml:space="preserve"> </w:t>
      </w:r>
      <w:r w:rsidRPr="00F85989">
        <w:rPr>
          <w:rFonts w:ascii="Times New Roman" w:hAnsi="Times New Roman"/>
          <w:bCs/>
          <w:sz w:val="24"/>
          <w:szCs w:val="24"/>
          <w:lang w:eastAsia="bg-BG"/>
        </w:rPr>
        <w:t>+ СТ</w:t>
      </w:r>
      <w:r w:rsidRPr="00F85989">
        <w:rPr>
          <w:rFonts w:ascii="Times New Roman" w:hAnsi="Times New Roman"/>
          <w:bCs/>
          <w:sz w:val="24"/>
          <w:szCs w:val="24"/>
          <w:vertAlign w:val="subscript"/>
          <w:lang w:eastAsia="bg-BG"/>
        </w:rPr>
        <w:t>ДВПИх1</w:t>
      </w:r>
      <w:r w:rsidRPr="00F85989">
        <w:rPr>
          <w:rFonts w:ascii="Times New Roman" w:hAnsi="Times New Roman"/>
          <w:bCs/>
          <w:sz w:val="24"/>
          <w:szCs w:val="24"/>
          <w:lang w:eastAsia="bg-BG"/>
        </w:rPr>
        <w:t>/</w:t>
      </w:r>
      <w:proofErr w:type="spellStart"/>
      <w:r w:rsidRPr="00F85989">
        <w:rPr>
          <w:rFonts w:ascii="Times New Roman" w:hAnsi="Times New Roman"/>
          <w:bCs/>
          <w:sz w:val="24"/>
          <w:szCs w:val="24"/>
          <w:lang w:eastAsia="bg-BG"/>
        </w:rPr>
        <w:t>СТ</w:t>
      </w:r>
      <w:r w:rsidRPr="00F85989">
        <w:rPr>
          <w:rFonts w:ascii="Times New Roman" w:hAnsi="Times New Roman"/>
          <w:bCs/>
          <w:sz w:val="24"/>
          <w:szCs w:val="24"/>
          <w:vertAlign w:val="subscript"/>
          <w:lang w:eastAsia="bg-BG"/>
        </w:rPr>
        <w:t>ДВПИср</w:t>
      </w:r>
      <w:proofErr w:type="spellEnd"/>
      <w:r w:rsidRPr="00F85989">
        <w:rPr>
          <w:rFonts w:ascii="Times New Roman" w:hAnsi="Times New Roman"/>
          <w:bCs/>
          <w:sz w:val="24"/>
          <w:szCs w:val="24"/>
          <w:vertAlign w:val="subscript"/>
          <w:lang w:eastAsia="bg-BG"/>
        </w:rPr>
        <w:t xml:space="preserve"> + </w:t>
      </w:r>
      <w:r w:rsidRPr="00F85989">
        <w:rPr>
          <w:rFonts w:ascii="Times New Roman" w:hAnsi="Times New Roman"/>
          <w:bCs/>
          <w:sz w:val="24"/>
          <w:szCs w:val="24"/>
          <w:lang w:eastAsia="bg-BG"/>
        </w:rPr>
        <w:t>СТ</w:t>
      </w:r>
      <w:r w:rsidRPr="00F85989">
        <w:rPr>
          <w:rFonts w:ascii="Times New Roman" w:hAnsi="Times New Roman"/>
          <w:bCs/>
          <w:sz w:val="24"/>
          <w:szCs w:val="24"/>
          <w:vertAlign w:val="subscript"/>
          <w:lang w:eastAsia="bg-BG"/>
        </w:rPr>
        <w:t>ДПС_Лх1</w:t>
      </w:r>
      <w:r w:rsidRPr="00F85989">
        <w:rPr>
          <w:rFonts w:ascii="Times New Roman" w:hAnsi="Times New Roman"/>
          <w:bCs/>
          <w:sz w:val="24"/>
          <w:szCs w:val="24"/>
          <w:lang w:eastAsia="bg-BG"/>
        </w:rPr>
        <w:t>/</w:t>
      </w:r>
      <w:proofErr w:type="spellStart"/>
      <w:r w:rsidRPr="00F85989">
        <w:rPr>
          <w:rFonts w:ascii="Times New Roman" w:hAnsi="Times New Roman"/>
          <w:bCs/>
          <w:sz w:val="24"/>
          <w:szCs w:val="24"/>
          <w:lang w:eastAsia="bg-BG"/>
        </w:rPr>
        <w:t>СТ</w:t>
      </w:r>
      <w:r w:rsidRPr="00F85989">
        <w:rPr>
          <w:rFonts w:ascii="Times New Roman" w:hAnsi="Times New Roman"/>
          <w:bCs/>
          <w:sz w:val="24"/>
          <w:szCs w:val="24"/>
          <w:vertAlign w:val="subscript"/>
          <w:lang w:eastAsia="bg-BG"/>
        </w:rPr>
        <w:t>ДПС_Лср</w:t>
      </w:r>
      <w:proofErr w:type="spellEnd"/>
      <w:r w:rsidRPr="00F85989">
        <w:rPr>
          <w:rFonts w:ascii="Times New Roman" w:hAnsi="Times New Roman"/>
          <w:bCs/>
          <w:sz w:val="24"/>
          <w:szCs w:val="24"/>
          <w:vertAlign w:val="subscript"/>
          <w:lang w:eastAsia="bg-BG"/>
        </w:rPr>
        <w:t xml:space="preserve"> + </w:t>
      </w:r>
      <w:r w:rsidRPr="00F85989">
        <w:rPr>
          <w:rFonts w:ascii="Times New Roman" w:hAnsi="Times New Roman"/>
          <w:bCs/>
          <w:sz w:val="24"/>
          <w:szCs w:val="24"/>
          <w:lang w:eastAsia="bg-BG"/>
        </w:rPr>
        <w:t>СТ</w:t>
      </w:r>
      <w:r w:rsidRPr="00F85989">
        <w:rPr>
          <w:rFonts w:ascii="Times New Roman" w:hAnsi="Times New Roman"/>
          <w:bCs/>
          <w:sz w:val="24"/>
          <w:szCs w:val="24"/>
          <w:vertAlign w:val="subscript"/>
          <w:lang w:eastAsia="bg-BG"/>
        </w:rPr>
        <w:t>ДПС_Тх1</w:t>
      </w:r>
      <w:r w:rsidRPr="00F85989">
        <w:rPr>
          <w:rFonts w:ascii="Times New Roman" w:hAnsi="Times New Roman"/>
          <w:bCs/>
          <w:sz w:val="24"/>
          <w:szCs w:val="24"/>
          <w:lang w:eastAsia="bg-BG"/>
        </w:rPr>
        <w:t>/</w:t>
      </w:r>
      <w:proofErr w:type="spellStart"/>
      <w:r w:rsidRPr="00F85989">
        <w:rPr>
          <w:rFonts w:ascii="Times New Roman" w:hAnsi="Times New Roman"/>
          <w:bCs/>
          <w:sz w:val="24"/>
          <w:szCs w:val="24"/>
          <w:lang w:eastAsia="bg-BG"/>
        </w:rPr>
        <w:t>СТ</w:t>
      </w:r>
      <w:r w:rsidRPr="00F85989">
        <w:rPr>
          <w:rFonts w:ascii="Times New Roman" w:hAnsi="Times New Roman"/>
          <w:bCs/>
          <w:sz w:val="24"/>
          <w:szCs w:val="24"/>
          <w:vertAlign w:val="subscript"/>
          <w:lang w:eastAsia="bg-BG"/>
        </w:rPr>
        <w:t>ДПС_Тср</w:t>
      </w:r>
      <w:proofErr w:type="spellEnd"/>
      <w:r w:rsidRPr="00F85989">
        <w:rPr>
          <w:rFonts w:ascii="Times New Roman" w:hAnsi="Times New Roman"/>
          <w:bCs/>
          <w:sz w:val="24"/>
          <w:szCs w:val="24"/>
          <w:lang w:eastAsia="bg-BG"/>
        </w:rPr>
        <w:t>)/4, където</w:t>
      </w:r>
    </w:p>
    <w:p w:rsidR="007F1BF1" w:rsidRPr="00F85989" w:rsidRDefault="007F1BF1" w:rsidP="007F1BF1">
      <w:pPr>
        <w:ind w:firstLine="567"/>
        <w:jc w:val="both"/>
        <w:rPr>
          <w:rFonts w:ascii="Times New Roman" w:hAnsi="Times New Roman"/>
          <w:sz w:val="24"/>
          <w:szCs w:val="24"/>
          <w:lang w:eastAsia="bg-BG"/>
        </w:rPr>
      </w:pPr>
      <w:r w:rsidRPr="00F85989">
        <w:rPr>
          <w:rFonts w:ascii="Times New Roman" w:hAnsi="Times New Roman"/>
          <w:b/>
          <w:sz w:val="24"/>
          <w:szCs w:val="24"/>
          <w:lang w:eastAsia="bg-BG"/>
        </w:rPr>
        <w:lastRenderedPageBreak/>
        <w:t>СТ</w:t>
      </w:r>
      <w:r w:rsidRPr="00F85989">
        <w:rPr>
          <w:rFonts w:ascii="Times New Roman" w:hAnsi="Times New Roman"/>
          <w:b/>
          <w:sz w:val="24"/>
          <w:szCs w:val="24"/>
          <w:vertAlign w:val="subscript"/>
          <w:lang w:eastAsia="bg-BG"/>
        </w:rPr>
        <w:t>ДНИх1</w:t>
      </w:r>
      <w:r w:rsidRPr="00F85989">
        <w:rPr>
          <w:rFonts w:ascii="Times New Roman" w:hAnsi="Times New Roman"/>
          <w:b/>
          <w:sz w:val="24"/>
          <w:szCs w:val="24"/>
          <w:lang w:eastAsia="bg-BG"/>
        </w:rPr>
        <w:t xml:space="preserve"> </w:t>
      </w:r>
      <w:r w:rsidRPr="00F85989">
        <w:rPr>
          <w:rFonts w:ascii="Times New Roman" w:hAnsi="Times New Roman"/>
          <w:sz w:val="24"/>
          <w:szCs w:val="24"/>
          <w:lang w:eastAsia="bg-BG"/>
        </w:rPr>
        <w:t xml:space="preserve">е размерът на ставката за данъка върху недвижимите жилищни имоти за физически лица на конкретната община за 2018 г. При наличие на диференцирани ставки по населени места се взема предвид ставката, определена за населеното място – административен център на общината. </w:t>
      </w:r>
    </w:p>
    <w:p w:rsidR="007F1BF1" w:rsidRPr="00F85989" w:rsidRDefault="007F1BF1" w:rsidP="007F1BF1">
      <w:pPr>
        <w:ind w:firstLine="567"/>
        <w:jc w:val="both"/>
        <w:rPr>
          <w:rFonts w:ascii="Times New Roman" w:hAnsi="Times New Roman"/>
          <w:sz w:val="24"/>
          <w:szCs w:val="24"/>
          <w:lang w:eastAsia="bg-BG"/>
        </w:rPr>
      </w:pPr>
      <w:proofErr w:type="spellStart"/>
      <w:r w:rsidRPr="00F85989">
        <w:rPr>
          <w:rFonts w:ascii="Times New Roman" w:hAnsi="Times New Roman"/>
          <w:b/>
          <w:sz w:val="24"/>
          <w:szCs w:val="24"/>
          <w:lang w:eastAsia="bg-BG"/>
        </w:rPr>
        <w:t>СТ</w:t>
      </w:r>
      <w:r w:rsidRPr="00F85989">
        <w:rPr>
          <w:rFonts w:ascii="Times New Roman" w:hAnsi="Times New Roman"/>
          <w:b/>
          <w:sz w:val="24"/>
          <w:szCs w:val="24"/>
          <w:vertAlign w:val="subscript"/>
          <w:lang w:eastAsia="bg-BG"/>
        </w:rPr>
        <w:t>ДНИср</w:t>
      </w:r>
      <w:proofErr w:type="spellEnd"/>
      <w:r w:rsidRPr="00F85989">
        <w:rPr>
          <w:rFonts w:ascii="Times New Roman" w:hAnsi="Times New Roman"/>
          <w:sz w:val="24"/>
          <w:szCs w:val="24"/>
          <w:lang w:eastAsia="bg-BG"/>
        </w:rPr>
        <w:t xml:space="preserve"> е средният размер на посочената ставка за данъка върху недвижимите имоти за 2018 г. за страната.</w:t>
      </w:r>
    </w:p>
    <w:p w:rsidR="007F1BF1" w:rsidRPr="00F85989" w:rsidRDefault="007F1BF1" w:rsidP="007F1BF1">
      <w:pPr>
        <w:ind w:firstLine="567"/>
        <w:jc w:val="both"/>
        <w:rPr>
          <w:rFonts w:ascii="Times New Roman" w:hAnsi="Times New Roman"/>
          <w:sz w:val="24"/>
          <w:szCs w:val="24"/>
          <w:lang w:eastAsia="bg-BG"/>
        </w:rPr>
      </w:pPr>
      <w:r w:rsidRPr="00F85989">
        <w:rPr>
          <w:rFonts w:ascii="Times New Roman" w:hAnsi="Times New Roman"/>
          <w:b/>
          <w:sz w:val="24"/>
          <w:szCs w:val="24"/>
          <w:lang w:eastAsia="bg-BG"/>
        </w:rPr>
        <w:t>СТ</w:t>
      </w:r>
      <w:r w:rsidRPr="00F85989">
        <w:rPr>
          <w:rFonts w:ascii="Times New Roman" w:hAnsi="Times New Roman"/>
          <w:b/>
          <w:sz w:val="24"/>
          <w:szCs w:val="24"/>
          <w:vertAlign w:val="subscript"/>
          <w:lang w:eastAsia="bg-BG"/>
        </w:rPr>
        <w:t>ДВПИх1</w:t>
      </w:r>
      <w:r w:rsidRPr="00F85989">
        <w:rPr>
          <w:rFonts w:ascii="Times New Roman" w:hAnsi="Times New Roman"/>
          <w:sz w:val="24"/>
          <w:szCs w:val="24"/>
          <w:lang w:eastAsia="bg-BG"/>
        </w:rPr>
        <w:t xml:space="preserve"> е размерът на ставката за данъка при придобиване на имущество (недвижимо)</w:t>
      </w:r>
      <w:r w:rsidRPr="00F85989" w:rsidDel="004D012C">
        <w:rPr>
          <w:rFonts w:ascii="Times New Roman" w:hAnsi="Times New Roman"/>
          <w:sz w:val="24"/>
          <w:szCs w:val="24"/>
          <w:lang w:eastAsia="bg-BG"/>
        </w:rPr>
        <w:t xml:space="preserve"> </w:t>
      </w:r>
      <w:r w:rsidRPr="00F85989">
        <w:rPr>
          <w:rFonts w:ascii="Times New Roman" w:hAnsi="Times New Roman"/>
          <w:sz w:val="24"/>
          <w:szCs w:val="24"/>
          <w:lang w:eastAsia="bg-BG"/>
        </w:rPr>
        <w:t>по възмезден начин за 2018 г. на конкретната община.</w:t>
      </w:r>
    </w:p>
    <w:p w:rsidR="007F1BF1" w:rsidRPr="00F85989" w:rsidRDefault="007F1BF1" w:rsidP="007F1BF1">
      <w:pPr>
        <w:ind w:firstLine="567"/>
        <w:jc w:val="both"/>
        <w:rPr>
          <w:rFonts w:ascii="Times New Roman" w:hAnsi="Times New Roman"/>
          <w:sz w:val="24"/>
          <w:szCs w:val="24"/>
          <w:lang w:eastAsia="bg-BG"/>
        </w:rPr>
      </w:pPr>
      <w:proofErr w:type="spellStart"/>
      <w:r w:rsidRPr="00F85989">
        <w:rPr>
          <w:rFonts w:ascii="Times New Roman" w:hAnsi="Times New Roman"/>
          <w:b/>
          <w:sz w:val="24"/>
          <w:szCs w:val="24"/>
          <w:lang w:eastAsia="bg-BG"/>
        </w:rPr>
        <w:t>СТ</w:t>
      </w:r>
      <w:r w:rsidRPr="00F85989">
        <w:rPr>
          <w:rFonts w:ascii="Times New Roman" w:hAnsi="Times New Roman"/>
          <w:b/>
          <w:sz w:val="24"/>
          <w:szCs w:val="24"/>
          <w:vertAlign w:val="subscript"/>
          <w:lang w:eastAsia="bg-BG"/>
        </w:rPr>
        <w:t>ДВПИср</w:t>
      </w:r>
      <w:proofErr w:type="spellEnd"/>
      <w:r w:rsidRPr="00F85989">
        <w:rPr>
          <w:rFonts w:ascii="Times New Roman" w:hAnsi="Times New Roman"/>
          <w:sz w:val="24"/>
          <w:szCs w:val="24"/>
          <w:lang w:eastAsia="bg-BG"/>
        </w:rPr>
        <w:t xml:space="preserve"> е средният размер на посочената ставка за данъка при придобиване на имущество по възмезден начин за 2018 г. за страната.</w:t>
      </w:r>
    </w:p>
    <w:p w:rsidR="007F1BF1" w:rsidRPr="00F85989" w:rsidRDefault="007F1BF1" w:rsidP="007F1BF1">
      <w:pPr>
        <w:ind w:firstLine="567"/>
        <w:jc w:val="both"/>
        <w:rPr>
          <w:rFonts w:ascii="Times New Roman" w:hAnsi="Times New Roman"/>
          <w:sz w:val="24"/>
          <w:szCs w:val="24"/>
          <w:lang w:eastAsia="bg-BG"/>
        </w:rPr>
      </w:pPr>
      <w:r w:rsidRPr="00F85989">
        <w:rPr>
          <w:rFonts w:ascii="Times New Roman" w:hAnsi="Times New Roman"/>
          <w:b/>
          <w:sz w:val="24"/>
          <w:szCs w:val="24"/>
          <w:lang w:eastAsia="bg-BG"/>
        </w:rPr>
        <w:t>СТ</w:t>
      </w:r>
      <w:r w:rsidRPr="00F85989">
        <w:rPr>
          <w:rFonts w:ascii="Times New Roman" w:hAnsi="Times New Roman"/>
          <w:b/>
          <w:bCs/>
          <w:sz w:val="24"/>
          <w:szCs w:val="24"/>
          <w:vertAlign w:val="subscript"/>
          <w:lang w:eastAsia="bg-BG"/>
        </w:rPr>
        <w:t>ДПС_Лх1</w:t>
      </w:r>
      <w:r w:rsidRPr="00F85989">
        <w:rPr>
          <w:rFonts w:ascii="Times New Roman" w:hAnsi="Times New Roman"/>
          <w:sz w:val="24"/>
          <w:szCs w:val="24"/>
          <w:lang w:eastAsia="bg-BG"/>
        </w:rPr>
        <w:t xml:space="preserve"> е размерът на ставката за данъка върху превозните средства -  за леки автомобили над 74 </w:t>
      </w:r>
      <w:proofErr w:type="spellStart"/>
      <w:r w:rsidRPr="00F85989">
        <w:rPr>
          <w:rFonts w:ascii="Times New Roman" w:hAnsi="Times New Roman"/>
          <w:sz w:val="24"/>
          <w:szCs w:val="24"/>
          <w:lang w:eastAsia="bg-BG"/>
        </w:rPr>
        <w:t>kW</w:t>
      </w:r>
      <w:proofErr w:type="spellEnd"/>
      <w:r w:rsidRPr="00F85989">
        <w:rPr>
          <w:rFonts w:ascii="Times New Roman" w:hAnsi="Times New Roman"/>
          <w:sz w:val="24"/>
          <w:szCs w:val="24"/>
          <w:lang w:eastAsia="bg-BG"/>
        </w:rPr>
        <w:t xml:space="preserve"> до 110 </w:t>
      </w:r>
      <w:proofErr w:type="spellStart"/>
      <w:r w:rsidRPr="00F85989">
        <w:rPr>
          <w:rFonts w:ascii="Times New Roman" w:hAnsi="Times New Roman"/>
          <w:sz w:val="24"/>
          <w:szCs w:val="24"/>
          <w:lang w:eastAsia="bg-BG"/>
        </w:rPr>
        <w:t>kW</w:t>
      </w:r>
      <w:proofErr w:type="spellEnd"/>
      <w:r w:rsidRPr="00F85989">
        <w:rPr>
          <w:rFonts w:ascii="Times New Roman" w:hAnsi="Times New Roman"/>
          <w:sz w:val="24"/>
          <w:szCs w:val="24"/>
          <w:lang w:eastAsia="bg-BG"/>
        </w:rPr>
        <w:t xml:space="preserve"> включително, за 2018 г. на конкретната община.</w:t>
      </w:r>
    </w:p>
    <w:p w:rsidR="007F1BF1" w:rsidRPr="00F85989" w:rsidRDefault="007F1BF1" w:rsidP="007F1BF1">
      <w:pPr>
        <w:ind w:firstLine="567"/>
        <w:jc w:val="both"/>
        <w:rPr>
          <w:rFonts w:ascii="Times New Roman" w:hAnsi="Times New Roman"/>
          <w:sz w:val="24"/>
          <w:szCs w:val="24"/>
          <w:lang w:eastAsia="bg-BG"/>
        </w:rPr>
      </w:pPr>
      <w:proofErr w:type="spellStart"/>
      <w:r w:rsidRPr="00F85989">
        <w:rPr>
          <w:rFonts w:ascii="Times New Roman" w:hAnsi="Times New Roman"/>
          <w:b/>
          <w:sz w:val="24"/>
          <w:szCs w:val="24"/>
          <w:lang w:eastAsia="bg-BG"/>
        </w:rPr>
        <w:t>СТ</w:t>
      </w:r>
      <w:r w:rsidRPr="00F85989">
        <w:rPr>
          <w:rFonts w:ascii="Times New Roman" w:hAnsi="Times New Roman"/>
          <w:b/>
          <w:bCs/>
          <w:sz w:val="24"/>
          <w:szCs w:val="24"/>
          <w:vertAlign w:val="subscript"/>
          <w:lang w:eastAsia="bg-BG"/>
        </w:rPr>
        <w:t>ДПС_Л</w:t>
      </w:r>
      <w:r w:rsidRPr="00F85989">
        <w:rPr>
          <w:rFonts w:ascii="Times New Roman" w:hAnsi="Times New Roman"/>
          <w:b/>
          <w:sz w:val="24"/>
          <w:szCs w:val="24"/>
          <w:vertAlign w:val="subscript"/>
          <w:lang w:eastAsia="bg-BG"/>
        </w:rPr>
        <w:t>ср</w:t>
      </w:r>
      <w:proofErr w:type="spellEnd"/>
      <w:r w:rsidRPr="00F85989">
        <w:rPr>
          <w:rFonts w:ascii="Times New Roman" w:hAnsi="Times New Roman"/>
          <w:sz w:val="24"/>
          <w:szCs w:val="24"/>
          <w:lang w:eastAsia="bg-BG"/>
        </w:rPr>
        <w:t xml:space="preserve"> е средният размер за 2018 г. за страната на ставката за данъка върху превозните средства -  за леки автомобили над 74 </w:t>
      </w:r>
      <w:proofErr w:type="spellStart"/>
      <w:r w:rsidRPr="00F85989">
        <w:rPr>
          <w:rFonts w:ascii="Times New Roman" w:hAnsi="Times New Roman"/>
          <w:sz w:val="24"/>
          <w:szCs w:val="24"/>
          <w:lang w:eastAsia="bg-BG"/>
        </w:rPr>
        <w:t>kW</w:t>
      </w:r>
      <w:proofErr w:type="spellEnd"/>
      <w:r w:rsidRPr="00F85989">
        <w:rPr>
          <w:rFonts w:ascii="Times New Roman" w:hAnsi="Times New Roman"/>
          <w:sz w:val="24"/>
          <w:szCs w:val="24"/>
          <w:lang w:eastAsia="bg-BG"/>
        </w:rPr>
        <w:t xml:space="preserve"> до 110 </w:t>
      </w:r>
      <w:proofErr w:type="spellStart"/>
      <w:r w:rsidRPr="00F85989">
        <w:rPr>
          <w:rFonts w:ascii="Times New Roman" w:hAnsi="Times New Roman"/>
          <w:sz w:val="24"/>
          <w:szCs w:val="24"/>
          <w:lang w:eastAsia="bg-BG"/>
        </w:rPr>
        <w:t>kW</w:t>
      </w:r>
      <w:proofErr w:type="spellEnd"/>
      <w:r w:rsidRPr="00F85989">
        <w:rPr>
          <w:rFonts w:ascii="Times New Roman" w:hAnsi="Times New Roman"/>
          <w:sz w:val="24"/>
          <w:szCs w:val="24"/>
          <w:lang w:eastAsia="bg-BG"/>
        </w:rPr>
        <w:t xml:space="preserve"> включително.</w:t>
      </w:r>
    </w:p>
    <w:p w:rsidR="007F1BF1" w:rsidRPr="00F85989" w:rsidRDefault="007F1BF1" w:rsidP="007F1BF1">
      <w:pPr>
        <w:ind w:firstLine="567"/>
        <w:jc w:val="both"/>
        <w:rPr>
          <w:rFonts w:ascii="Times New Roman" w:hAnsi="Times New Roman"/>
          <w:sz w:val="24"/>
          <w:szCs w:val="24"/>
          <w:lang w:eastAsia="bg-BG"/>
        </w:rPr>
      </w:pPr>
      <w:r w:rsidRPr="00F85989">
        <w:rPr>
          <w:rFonts w:ascii="Times New Roman" w:hAnsi="Times New Roman"/>
          <w:b/>
          <w:sz w:val="24"/>
          <w:szCs w:val="24"/>
          <w:lang w:eastAsia="bg-BG"/>
        </w:rPr>
        <w:t>СТ</w:t>
      </w:r>
      <w:r w:rsidRPr="00F85989">
        <w:rPr>
          <w:rFonts w:ascii="Times New Roman" w:hAnsi="Times New Roman"/>
          <w:b/>
          <w:bCs/>
          <w:sz w:val="24"/>
          <w:szCs w:val="24"/>
          <w:vertAlign w:val="subscript"/>
          <w:lang w:eastAsia="bg-BG"/>
        </w:rPr>
        <w:t>ДПС_Тх1</w:t>
      </w:r>
      <w:r w:rsidRPr="00F85989">
        <w:rPr>
          <w:rFonts w:ascii="Times New Roman" w:hAnsi="Times New Roman"/>
          <w:sz w:val="24"/>
          <w:szCs w:val="24"/>
          <w:lang w:eastAsia="bg-BG"/>
        </w:rPr>
        <w:t xml:space="preserve"> е размерът на ставката за данъка върху превозните средства -  за товарни автомобили до 12 т технически допустима максимална маса, за 2018 г. на конкретната община.</w:t>
      </w:r>
    </w:p>
    <w:p w:rsidR="007F1BF1" w:rsidRPr="00F85989" w:rsidRDefault="007F1BF1" w:rsidP="007F1BF1">
      <w:pPr>
        <w:ind w:firstLine="567"/>
        <w:jc w:val="both"/>
        <w:rPr>
          <w:rFonts w:ascii="Times New Roman" w:hAnsi="Times New Roman"/>
          <w:sz w:val="24"/>
          <w:szCs w:val="24"/>
          <w:lang w:eastAsia="bg-BG"/>
        </w:rPr>
      </w:pPr>
      <w:proofErr w:type="spellStart"/>
      <w:r w:rsidRPr="00F85989">
        <w:rPr>
          <w:rFonts w:ascii="Times New Roman" w:hAnsi="Times New Roman"/>
          <w:b/>
          <w:sz w:val="24"/>
          <w:szCs w:val="24"/>
          <w:lang w:eastAsia="bg-BG"/>
        </w:rPr>
        <w:t>СТ</w:t>
      </w:r>
      <w:r w:rsidRPr="00F85989">
        <w:rPr>
          <w:rFonts w:ascii="Times New Roman" w:hAnsi="Times New Roman"/>
          <w:b/>
          <w:bCs/>
          <w:sz w:val="24"/>
          <w:szCs w:val="24"/>
          <w:vertAlign w:val="subscript"/>
          <w:lang w:eastAsia="bg-BG"/>
        </w:rPr>
        <w:t>ДПС_Т</w:t>
      </w:r>
      <w:r w:rsidRPr="00F85989">
        <w:rPr>
          <w:rFonts w:ascii="Times New Roman" w:hAnsi="Times New Roman"/>
          <w:b/>
          <w:sz w:val="24"/>
          <w:szCs w:val="24"/>
          <w:vertAlign w:val="subscript"/>
          <w:lang w:eastAsia="bg-BG"/>
        </w:rPr>
        <w:t>ср</w:t>
      </w:r>
      <w:proofErr w:type="spellEnd"/>
      <w:r w:rsidRPr="00F85989">
        <w:rPr>
          <w:rFonts w:ascii="Times New Roman" w:hAnsi="Times New Roman"/>
          <w:sz w:val="24"/>
          <w:szCs w:val="24"/>
          <w:lang w:eastAsia="bg-BG"/>
        </w:rPr>
        <w:t xml:space="preserve"> е средният размер за 2018 г. за страната на ставката</w:t>
      </w:r>
      <w:r w:rsidRPr="00F85989">
        <w:t xml:space="preserve"> </w:t>
      </w:r>
      <w:r w:rsidRPr="00F85989">
        <w:rPr>
          <w:rFonts w:ascii="Times New Roman" w:hAnsi="Times New Roman"/>
          <w:sz w:val="24"/>
          <w:szCs w:val="24"/>
          <w:lang w:eastAsia="bg-BG"/>
        </w:rPr>
        <w:t>за данъка върху превозните средства - за товарни автомобили до 12 т технически допустима максимална маса.</w:t>
      </w:r>
    </w:p>
    <w:p w:rsidR="00B378D1" w:rsidRPr="00F85989" w:rsidRDefault="00B378D1" w:rsidP="007F1BF1">
      <w:pPr>
        <w:spacing w:before="120" w:after="0" w:line="240" w:lineRule="auto"/>
        <w:ind w:firstLine="720"/>
        <w:jc w:val="both"/>
        <w:rPr>
          <w:b/>
        </w:rPr>
      </w:pPr>
    </w:p>
    <w:p w:rsidR="00A3106D" w:rsidRPr="00F85989" w:rsidRDefault="00A3106D" w:rsidP="00A3106D">
      <w:pPr>
        <w:pStyle w:val="firstline"/>
        <w:spacing w:before="120" w:line="240" w:lineRule="auto"/>
        <w:rPr>
          <w:color w:val="auto"/>
          <w:lang w:val="en-US"/>
        </w:rPr>
      </w:pPr>
      <w:r w:rsidRPr="00F85989">
        <w:rPr>
          <w:b/>
          <w:color w:val="auto"/>
        </w:rPr>
        <w:t>С3</w:t>
      </w:r>
      <w:r w:rsidRPr="00F85989">
        <w:rPr>
          <w:color w:val="auto"/>
        </w:rPr>
        <w:t xml:space="preserve"> е размерът на трансфера за зимно поддържане и </w:t>
      </w:r>
      <w:proofErr w:type="spellStart"/>
      <w:r w:rsidRPr="00F85989">
        <w:rPr>
          <w:color w:val="auto"/>
        </w:rPr>
        <w:t>снегопочистване</w:t>
      </w:r>
      <w:proofErr w:type="spellEnd"/>
      <w:r w:rsidRPr="00F85989">
        <w:rPr>
          <w:color w:val="auto"/>
        </w:rPr>
        <w:t xml:space="preserve"> на общински пътища за конкретната община, формиран от следните компоненти:</w:t>
      </w:r>
    </w:p>
    <w:p w:rsidR="00A3106D" w:rsidRPr="00F85989" w:rsidRDefault="00A3106D" w:rsidP="00A3106D">
      <w:pPr>
        <w:rPr>
          <w:b/>
        </w:rPr>
      </w:pPr>
    </w:p>
    <w:p w:rsidR="00A3106D" w:rsidRPr="00F85989" w:rsidRDefault="00A3106D" w:rsidP="00A3106D">
      <w:pPr>
        <w:rPr>
          <w:rFonts w:ascii="Times New Roman" w:hAnsi="Times New Roman"/>
          <w:sz w:val="24"/>
          <w:szCs w:val="24"/>
        </w:rPr>
      </w:pPr>
      <w:r w:rsidRPr="00F85989">
        <w:rPr>
          <w:rFonts w:ascii="Times New Roman" w:hAnsi="Times New Roman"/>
          <w:b/>
          <w:sz w:val="24"/>
          <w:szCs w:val="24"/>
        </w:rPr>
        <w:t>С3=ТЗ1+ТЗ2</w:t>
      </w:r>
      <w:r w:rsidRPr="00F85989">
        <w:rPr>
          <w:rFonts w:ascii="Times New Roman" w:hAnsi="Times New Roman"/>
          <w:sz w:val="24"/>
          <w:szCs w:val="24"/>
        </w:rPr>
        <w:t>, където:</w:t>
      </w:r>
    </w:p>
    <w:p w:rsidR="00A3106D" w:rsidRPr="00F85989" w:rsidRDefault="00A3106D" w:rsidP="00A3106D">
      <w:pPr>
        <w:jc w:val="both"/>
        <w:rPr>
          <w:rFonts w:ascii="Times New Roman" w:hAnsi="Times New Roman"/>
          <w:sz w:val="24"/>
          <w:szCs w:val="24"/>
        </w:rPr>
      </w:pPr>
      <w:r w:rsidRPr="00F85989">
        <w:rPr>
          <w:rFonts w:ascii="Times New Roman" w:hAnsi="Times New Roman"/>
          <w:b/>
          <w:sz w:val="24"/>
          <w:szCs w:val="24"/>
        </w:rPr>
        <w:t>ТЗ1</w:t>
      </w:r>
      <w:r w:rsidRPr="00F85989">
        <w:rPr>
          <w:rFonts w:ascii="Times New Roman" w:hAnsi="Times New Roman"/>
          <w:sz w:val="24"/>
          <w:szCs w:val="24"/>
        </w:rPr>
        <w:t xml:space="preserve"> - основен компонент на трансфера за зимно поддържане и </w:t>
      </w:r>
      <w:proofErr w:type="spellStart"/>
      <w:r w:rsidRPr="00F85989">
        <w:rPr>
          <w:rFonts w:ascii="Times New Roman" w:hAnsi="Times New Roman"/>
          <w:sz w:val="24"/>
          <w:szCs w:val="24"/>
        </w:rPr>
        <w:t>снегопочистване</w:t>
      </w:r>
      <w:proofErr w:type="spellEnd"/>
      <w:r w:rsidRPr="00F85989">
        <w:rPr>
          <w:rFonts w:ascii="Times New Roman" w:hAnsi="Times New Roman"/>
          <w:sz w:val="24"/>
          <w:szCs w:val="24"/>
        </w:rPr>
        <w:t xml:space="preserve"> на общински пътища, при съотношения за разпределяне на ресурса за този компонент, както следва: 85% от него - по показател дължина на общинските пътища с отчитане на географско и височинно разположение (на базата на параметри за дължина на общински пътища в планински райони, в равнинни райони и в райони, характерни със </w:t>
      </w:r>
      <w:proofErr w:type="spellStart"/>
      <w:r w:rsidRPr="00F85989">
        <w:rPr>
          <w:rFonts w:ascii="Times New Roman" w:hAnsi="Times New Roman"/>
          <w:sz w:val="24"/>
          <w:szCs w:val="24"/>
        </w:rPr>
        <w:t>снегонавявания</w:t>
      </w:r>
      <w:proofErr w:type="spellEnd"/>
      <w:r w:rsidRPr="00F85989">
        <w:rPr>
          <w:rFonts w:ascii="Times New Roman" w:hAnsi="Times New Roman"/>
          <w:sz w:val="24"/>
          <w:szCs w:val="24"/>
        </w:rPr>
        <w:t xml:space="preserve"> и заледявания); 10% от него - по показател брой населени места с изключване на местата без население; 5% от него - по показател брой население. ТЗ1 за конкретна община се формира от сбора на сумите, разпределени по относително тегло на съответния показател за общината спрямо общото за страната;</w:t>
      </w:r>
    </w:p>
    <w:p w:rsidR="00A3106D" w:rsidRPr="00F85989" w:rsidRDefault="00A3106D" w:rsidP="00A3106D">
      <w:pPr>
        <w:jc w:val="both"/>
        <w:rPr>
          <w:rFonts w:ascii="Times New Roman" w:hAnsi="Times New Roman"/>
          <w:sz w:val="24"/>
          <w:szCs w:val="24"/>
        </w:rPr>
      </w:pPr>
      <w:r w:rsidRPr="00F85989">
        <w:rPr>
          <w:rFonts w:ascii="Times New Roman" w:hAnsi="Times New Roman"/>
          <w:b/>
          <w:sz w:val="24"/>
          <w:szCs w:val="24"/>
        </w:rPr>
        <w:t>ТЗ2</w:t>
      </w:r>
      <w:r w:rsidRPr="00F85989">
        <w:rPr>
          <w:rFonts w:ascii="Times New Roman" w:hAnsi="Times New Roman"/>
          <w:sz w:val="24"/>
          <w:szCs w:val="24"/>
        </w:rPr>
        <w:t xml:space="preserve"> – допълнителен компонент на трансфера за зимно поддържане и </w:t>
      </w:r>
      <w:proofErr w:type="spellStart"/>
      <w:r w:rsidRPr="00F85989">
        <w:rPr>
          <w:rFonts w:ascii="Times New Roman" w:hAnsi="Times New Roman"/>
          <w:sz w:val="24"/>
          <w:szCs w:val="24"/>
        </w:rPr>
        <w:t>снегопочистване</w:t>
      </w:r>
      <w:proofErr w:type="spellEnd"/>
      <w:r w:rsidRPr="00F85989">
        <w:rPr>
          <w:rFonts w:ascii="Times New Roman" w:hAnsi="Times New Roman"/>
          <w:sz w:val="24"/>
          <w:szCs w:val="24"/>
        </w:rPr>
        <w:t xml:space="preserve"> на общински пътища, който осигурява размера на трансфера за зимно поддържане и </w:t>
      </w:r>
      <w:proofErr w:type="spellStart"/>
      <w:r w:rsidRPr="00F85989">
        <w:rPr>
          <w:rFonts w:ascii="Times New Roman" w:hAnsi="Times New Roman"/>
          <w:sz w:val="24"/>
          <w:szCs w:val="24"/>
        </w:rPr>
        <w:t>снегопочистване</w:t>
      </w:r>
      <w:proofErr w:type="spellEnd"/>
      <w:r w:rsidRPr="00F85989">
        <w:rPr>
          <w:rFonts w:ascii="Times New Roman" w:hAnsi="Times New Roman"/>
          <w:sz w:val="24"/>
          <w:szCs w:val="24"/>
        </w:rPr>
        <w:t xml:space="preserve"> на общински пътища, определен в ЗДБРБ за 2018 г. Достъп да тази част на трансфера имат общините с отрицателна разлика между полученото от сумата по компонент ТЗ1 и размера на трансфера за зимно поддържане и </w:t>
      </w:r>
      <w:proofErr w:type="spellStart"/>
      <w:r w:rsidRPr="00F85989">
        <w:rPr>
          <w:rFonts w:ascii="Times New Roman" w:hAnsi="Times New Roman"/>
          <w:sz w:val="24"/>
          <w:szCs w:val="24"/>
        </w:rPr>
        <w:t>снегопочистване</w:t>
      </w:r>
      <w:proofErr w:type="spellEnd"/>
      <w:r w:rsidRPr="00F85989">
        <w:rPr>
          <w:rFonts w:ascii="Times New Roman" w:hAnsi="Times New Roman"/>
          <w:sz w:val="24"/>
          <w:szCs w:val="24"/>
        </w:rPr>
        <w:t xml:space="preserve"> на общински пътища, определен в ЗДБРБ за 2018 г.</w:t>
      </w:r>
    </w:p>
    <w:p w:rsidR="00A3106D" w:rsidRPr="00F85989" w:rsidRDefault="00A3106D" w:rsidP="00A3106D">
      <w:pPr>
        <w:jc w:val="both"/>
        <w:rPr>
          <w:rFonts w:ascii="Times New Roman" w:hAnsi="Times New Roman"/>
          <w:sz w:val="24"/>
          <w:szCs w:val="24"/>
        </w:rPr>
      </w:pPr>
      <w:r w:rsidRPr="00F85989">
        <w:rPr>
          <w:rFonts w:ascii="Times New Roman" w:hAnsi="Times New Roman"/>
          <w:b/>
          <w:sz w:val="24"/>
          <w:szCs w:val="24"/>
        </w:rPr>
        <w:lastRenderedPageBreak/>
        <w:t>С4</w:t>
      </w:r>
      <w:r w:rsidRPr="00F85989">
        <w:rPr>
          <w:rFonts w:ascii="Times New Roman" w:hAnsi="Times New Roman"/>
          <w:sz w:val="24"/>
          <w:szCs w:val="24"/>
        </w:rPr>
        <w:t xml:space="preserve"> е размерът на целевата субсидия за капиталови разходи за конкретната община, формиран от следните компоненти:</w:t>
      </w:r>
    </w:p>
    <w:p w:rsidR="00A3106D" w:rsidRPr="00F85989" w:rsidRDefault="00A3106D" w:rsidP="00A3106D">
      <w:pPr>
        <w:jc w:val="both"/>
        <w:rPr>
          <w:rFonts w:ascii="Times New Roman" w:hAnsi="Times New Roman"/>
          <w:sz w:val="24"/>
          <w:szCs w:val="24"/>
        </w:rPr>
      </w:pPr>
      <w:r w:rsidRPr="00F85989">
        <w:rPr>
          <w:rFonts w:ascii="Times New Roman" w:hAnsi="Times New Roman"/>
          <w:b/>
          <w:sz w:val="24"/>
          <w:szCs w:val="24"/>
        </w:rPr>
        <w:t>С4=В1+В2+В3</w:t>
      </w:r>
      <w:r w:rsidRPr="00F85989">
        <w:rPr>
          <w:rFonts w:ascii="Times New Roman" w:hAnsi="Times New Roman"/>
          <w:sz w:val="24"/>
          <w:szCs w:val="24"/>
        </w:rPr>
        <w:t>, където:</w:t>
      </w:r>
    </w:p>
    <w:p w:rsidR="00A3106D" w:rsidRPr="00F85989" w:rsidRDefault="00A3106D" w:rsidP="00A3106D">
      <w:pPr>
        <w:jc w:val="both"/>
        <w:rPr>
          <w:rFonts w:ascii="Times New Roman" w:hAnsi="Times New Roman"/>
          <w:sz w:val="24"/>
          <w:szCs w:val="24"/>
        </w:rPr>
      </w:pPr>
      <w:r w:rsidRPr="00F85989">
        <w:rPr>
          <w:rFonts w:ascii="Times New Roman" w:hAnsi="Times New Roman"/>
          <w:b/>
          <w:sz w:val="24"/>
          <w:szCs w:val="24"/>
        </w:rPr>
        <w:t>В1</w:t>
      </w:r>
      <w:r w:rsidRPr="00F85989">
        <w:rPr>
          <w:rFonts w:ascii="Times New Roman" w:hAnsi="Times New Roman"/>
          <w:sz w:val="24"/>
          <w:szCs w:val="24"/>
        </w:rPr>
        <w:t xml:space="preserve"> – основен компонент на целевата субсидия, при съотношения за разпределяне на ресурса за този компонент, както следва: 45% от него - по показател брой населени места, с изключване на местата без население и с население до 10 души; 25% от него - по показател дължина на общинските пътища; 25% от него - по показател брой население, 5% от него - по показател територия. В1 за конкретна община се формира от сбора на сумите, разпределени по относително тегло на съответния показател за общината спрямо общото за страната;</w:t>
      </w:r>
    </w:p>
    <w:p w:rsidR="00A3106D" w:rsidRPr="00F85989" w:rsidRDefault="00A3106D" w:rsidP="00A3106D">
      <w:pPr>
        <w:jc w:val="both"/>
        <w:rPr>
          <w:rFonts w:ascii="Times New Roman" w:hAnsi="Times New Roman"/>
          <w:sz w:val="24"/>
          <w:szCs w:val="24"/>
        </w:rPr>
      </w:pPr>
      <w:r w:rsidRPr="00F85989">
        <w:rPr>
          <w:rFonts w:ascii="Times New Roman" w:hAnsi="Times New Roman"/>
          <w:b/>
          <w:sz w:val="24"/>
          <w:szCs w:val="24"/>
        </w:rPr>
        <w:t>В2</w:t>
      </w:r>
      <w:r w:rsidRPr="00F85989">
        <w:rPr>
          <w:rFonts w:ascii="Times New Roman" w:hAnsi="Times New Roman"/>
          <w:sz w:val="24"/>
          <w:szCs w:val="24"/>
        </w:rPr>
        <w:t xml:space="preserve"> – допълнителен компонент на целевата субсидия за капиталови разходи, който осигурява размера на целевата субсидия за капиталови разходи, определен в ЗДБРБ за 2018 г. Достъп до тази част на субсидията имат общините с отрицателна разлика между полученото от сумата по компонент В1 и размера на целевата субсидия за капиталови разходи, определен в ЗДБРБ за 2018 г.</w:t>
      </w:r>
    </w:p>
    <w:p w:rsidR="00A3106D" w:rsidRPr="00F85989" w:rsidRDefault="00A3106D" w:rsidP="00A3106D">
      <w:pPr>
        <w:jc w:val="both"/>
        <w:rPr>
          <w:rFonts w:ascii="Times New Roman" w:hAnsi="Times New Roman"/>
          <w:sz w:val="24"/>
          <w:szCs w:val="24"/>
        </w:rPr>
      </w:pPr>
      <w:r w:rsidRPr="00F85989">
        <w:rPr>
          <w:rFonts w:ascii="Times New Roman" w:hAnsi="Times New Roman"/>
          <w:b/>
          <w:sz w:val="24"/>
          <w:szCs w:val="24"/>
        </w:rPr>
        <w:t>В3</w:t>
      </w:r>
      <w:r w:rsidRPr="00F85989">
        <w:rPr>
          <w:rFonts w:ascii="Times New Roman" w:hAnsi="Times New Roman"/>
          <w:sz w:val="24"/>
          <w:szCs w:val="24"/>
        </w:rPr>
        <w:t xml:space="preserve"> – ресурс за подпомагане </w:t>
      </w:r>
      <w:r w:rsidR="00DE3CDA" w:rsidRPr="00F85989">
        <w:rPr>
          <w:rFonts w:ascii="Times New Roman" w:hAnsi="Times New Roman"/>
          <w:sz w:val="24"/>
          <w:szCs w:val="24"/>
        </w:rPr>
        <w:t xml:space="preserve">на </w:t>
      </w:r>
      <w:r w:rsidR="008619DA" w:rsidRPr="00F85989">
        <w:rPr>
          <w:rFonts w:ascii="Times New Roman" w:hAnsi="Times New Roman"/>
          <w:sz w:val="24"/>
          <w:szCs w:val="24"/>
        </w:rPr>
        <w:t xml:space="preserve">общините от 4-та и 5-та категория за подобряване на състоянието на социалната и техническа инфраструктура на територията на общината. </w:t>
      </w:r>
      <w:r w:rsidR="0046614F" w:rsidRPr="00F85989">
        <w:rPr>
          <w:rFonts w:ascii="Times New Roman" w:hAnsi="Times New Roman"/>
          <w:sz w:val="24"/>
          <w:szCs w:val="24"/>
        </w:rPr>
        <w:t>Достъп до тази част на субсидията имат всички общини от 4-та и 5-та категория, съгласно утвърдената от министъра на регионалното р</w:t>
      </w:r>
      <w:bookmarkStart w:id="0" w:name="_GoBack"/>
      <w:bookmarkEnd w:id="0"/>
      <w:r w:rsidR="0046614F" w:rsidRPr="00F85989">
        <w:rPr>
          <w:rFonts w:ascii="Times New Roman" w:hAnsi="Times New Roman"/>
          <w:sz w:val="24"/>
          <w:szCs w:val="24"/>
        </w:rPr>
        <w:t>азвитие и благоустройството със заповед № РД-02-14-2021/2012 г. (</w:t>
      </w:r>
      <w:proofErr w:type="spellStart"/>
      <w:r w:rsidR="0046614F" w:rsidRPr="00F85989">
        <w:rPr>
          <w:rFonts w:ascii="Times New Roman" w:hAnsi="Times New Roman"/>
          <w:sz w:val="24"/>
          <w:szCs w:val="24"/>
        </w:rPr>
        <w:t>обн</w:t>
      </w:r>
      <w:proofErr w:type="spellEnd"/>
      <w:r w:rsidR="0046614F" w:rsidRPr="00F85989">
        <w:rPr>
          <w:rFonts w:ascii="Times New Roman" w:hAnsi="Times New Roman"/>
          <w:sz w:val="24"/>
          <w:szCs w:val="24"/>
        </w:rPr>
        <w:t>. ДВ, бр. 66</w:t>
      </w:r>
      <w:r w:rsidR="00A064C1" w:rsidRPr="00F85989">
        <w:rPr>
          <w:rFonts w:ascii="Times New Roman" w:hAnsi="Times New Roman"/>
          <w:sz w:val="24"/>
          <w:szCs w:val="24"/>
        </w:rPr>
        <w:t xml:space="preserve"> от </w:t>
      </w:r>
      <w:r w:rsidR="0046614F" w:rsidRPr="00F85989">
        <w:rPr>
          <w:rFonts w:ascii="Times New Roman" w:hAnsi="Times New Roman"/>
          <w:sz w:val="24"/>
          <w:szCs w:val="24"/>
        </w:rPr>
        <w:t>2012 г.</w:t>
      </w:r>
      <w:r w:rsidR="00DA5C16" w:rsidRPr="00F85989">
        <w:rPr>
          <w:rFonts w:ascii="Times New Roman" w:hAnsi="Times New Roman"/>
          <w:sz w:val="24"/>
          <w:szCs w:val="24"/>
        </w:rPr>
        <w:t xml:space="preserve">, изм. и доп., </w:t>
      </w:r>
      <w:r w:rsidR="00A064C1" w:rsidRPr="00F85989">
        <w:rPr>
          <w:rFonts w:ascii="Times New Roman" w:hAnsi="Times New Roman"/>
          <w:sz w:val="24"/>
          <w:szCs w:val="24"/>
        </w:rPr>
        <w:t xml:space="preserve">бр. 73 от </w:t>
      </w:r>
      <w:r w:rsidR="000803E3" w:rsidRPr="00F85989">
        <w:rPr>
          <w:rFonts w:ascii="Times New Roman" w:hAnsi="Times New Roman"/>
          <w:sz w:val="24"/>
          <w:szCs w:val="24"/>
        </w:rPr>
        <w:t xml:space="preserve">2014 г., </w:t>
      </w:r>
      <w:r w:rsidR="00A064C1" w:rsidRPr="00F85989">
        <w:rPr>
          <w:rFonts w:ascii="Times New Roman" w:hAnsi="Times New Roman"/>
          <w:sz w:val="24"/>
          <w:szCs w:val="24"/>
        </w:rPr>
        <w:t xml:space="preserve">бр. 75 от </w:t>
      </w:r>
      <w:r w:rsidR="00DA5C16" w:rsidRPr="00F85989">
        <w:rPr>
          <w:rFonts w:ascii="Times New Roman" w:hAnsi="Times New Roman"/>
          <w:sz w:val="24"/>
          <w:szCs w:val="24"/>
        </w:rPr>
        <w:t>2016 г.</w:t>
      </w:r>
      <w:r w:rsidR="0046614F" w:rsidRPr="00F85989">
        <w:rPr>
          <w:rFonts w:ascii="Times New Roman" w:hAnsi="Times New Roman"/>
          <w:sz w:val="24"/>
          <w:szCs w:val="24"/>
        </w:rPr>
        <w:t>) категоризация на общините в Република България</w:t>
      </w:r>
      <w:r w:rsidR="00011CD9" w:rsidRPr="00F85989">
        <w:rPr>
          <w:rFonts w:ascii="Times New Roman" w:hAnsi="Times New Roman"/>
          <w:sz w:val="24"/>
          <w:szCs w:val="24"/>
        </w:rPr>
        <w:t>,</w:t>
      </w:r>
      <w:r w:rsidR="00E87B5A" w:rsidRPr="00F85989">
        <w:rPr>
          <w:szCs w:val="24"/>
        </w:rPr>
        <w:t xml:space="preserve"> </w:t>
      </w:r>
      <w:r w:rsidR="00E87B5A" w:rsidRPr="00F85989">
        <w:rPr>
          <w:rFonts w:ascii="Times New Roman" w:hAnsi="Times New Roman"/>
          <w:sz w:val="24"/>
          <w:szCs w:val="24"/>
        </w:rPr>
        <w:t xml:space="preserve">на основание чл. 36, ал. 2 на Закона за административно-териториалното устройство </w:t>
      </w:r>
      <w:r w:rsidR="003F21C3" w:rsidRPr="00F85989">
        <w:rPr>
          <w:rFonts w:ascii="Times New Roman" w:hAnsi="Times New Roman"/>
          <w:sz w:val="24"/>
          <w:szCs w:val="24"/>
        </w:rPr>
        <w:t xml:space="preserve">на Република България </w:t>
      </w:r>
      <w:r w:rsidR="00E87B5A" w:rsidRPr="00F85989">
        <w:rPr>
          <w:rFonts w:ascii="Times New Roman" w:hAnsi="Times New Roman"/>
          <w:sz w:val="24"/>
          <w:szCs w:val="24"/>
        </w:rPr>
        <w:t>и във връзка с т. 4 от Решение № 921</w:t>
      </w:r>
      <w:r w:rsidR="00DE25B1" w:rsidRPr="00F85989">
        <w:rPr>
          <w:rFonts w:ascii="Times New Roman" w:hAnsi="Times New Roman"/>
          <w:sz w:val="24"/>
          <w:szCs w:val="24"/>
        </w:rPr>
        <w:t xml:space="preserve"> </w:t>
      </w:r>
      <w:r w:rsidR="00E87B5A" w:rsidRPr="00F85989">
        <w:rPr>
          <w:rFonts w:ascii="Times New Roman" w:hAnsi="Times New Roman"/>
          <w:sz w:val="24"/>
          <w:szCs w:val="24"/>
        </w:rPr>
        <w:t xml:space="preserve">на Министерския съвет </w:t>
      </w:r>
      <w:r w:rsidR="00DE25B1" w:rsidRPr="00F85989">
        <w:rPr>
          <w:rFonts w:ascii="Times New Roman" w:hAnsi="Times New Roman"/>
          <w:sz w:val="24"/>
          <w:szCs w:val="24"/>
        </w:rPr>
        <w:t xml:space="preserve">от 2011 г. </w:t>
      </w:r>
      <w:r w:rsidR="00E87B5A" w:rsidRPr="00F85989">
        <w:rPr>
          <w:rFonts w:ascii="Times New Roman" w:hAnsi="Times New Roman"/>
          <w:sz w:val="24"/>
          <w:szCs w:val="24"/>
        </w:rPr>
        <w:t>за определяне на критерии и показатели за категоризиране на общините, кметствата, районите и населените места в Република България.</w:t>
      </w:r>
    </w:p>
    <w:p w:rsidR="00A3106D" w:rsidRPr="007F1BF1" w:rsidRDefault="00A3106D" w:rsidP="00A3106D">
      <w:pPr>
        <w:jc w:val="both"/>
        <w:rPr>
          <w:rFonts w:ascii="Times New Roman" w:hAnsi="Times New Roman"/>
          <w:b/>
          <w:sz w:val="24"/>
          <w:szCs w:val="24"/>
        </w:rPr>
      </w:pPr>
      <w:r w:rsidRPr="00F85989">
        <w:rPr>
          <w:rFonts w:ascii="Times New Roman" w:hAnsi="Times New Roman"/>
          <w:sz w:val="24"/>
          <w:szCs w:val="24"/>
        </w:rPr>
        <w:t>Информацията за населението и населените места е по да</w:t>
      </w:r>
      <w:r w:rsidR="00450DA2" w:rsidRPr="00F85989">
        <w:rPr>
          <w:rFonts w:ascii="Times New Roman" w:hAnsi="Times New Roman"/>
          <w:sz w:val="24"/>
          <w:szCs w:val="24"/>
        </w:rPr>
        <w:t>нни на НСИ към 31 декември 2017</w:t>
      </w:r>
      <w:r w:rsidR="00450DA2" w:rsidRPr="00F85989">
        <w:rPr>
          <w:rFonts w:ascii="Times New Roman" w:hAnsi="Times New Roman"/>
          <w:sz w:val="24"/>
          <w:szCs w:val="24"/>
          <w:lang w:val="en-US"/>
        </w:rPr>
        <w:t> </w:t>
      </w:r>
      <w:r w:rsidRPr="00F85989">
        <w:rPr>
          <w:rFonts w:ascii="Times New Roman" w:hAnsi="Times New Roman"/>
          <w:sz w:val="24"/>
          <w:szCs w:val="24"/>
        </w:rPr>
        <w:t>г., а за дължината на общинските пътища – по данни на Министерството на регионалното развитие и благоустройството към 31 юли 2018 г.</w:t>
      </w:r>
    </w:p>
    <w:p w:rsidR="00E87964" w:rsidRPr="007F1BF1" w:rsidRDefault="00E87964" w:rsidP="007F1BF1">
      <w:pPr>
        <w:pStyle w:val="firstline"/>
        <w:spacing w:before="240" w:line="240" w:lineRule="auto"/>
        <w:ind w:firstLine="641"/>
        <w:rPr>
          <w:b/>
          <w:color w:val="auto"/>
        </w:rPr>
      </w:pPr>
    </w:p>
    <w:sectPr w:rsidR="00E87964" w:rsidRPr="007F1BF1" w:rsidSect="00F22E10">
      <w:footerReference w:type="default" r:id="rId7"/>
      <w:pgSz w:w="11906" w:h="16838"/>
      <w:pgMar w:top="993" w:right="991"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AB9" w:rsidRDefault="00E64AB9" w:rsidP="00A32FC9">
      <w:pPr>
        <w:spacing w:after="0" w:line="240" w:lineRule="auto"/>
      </w:pPr>
      <w:r>
        <w:separator/>
      </w:r>
    </w:p>
  </w:endnote>
  <w:endnote w:type="continuationSeparator" w:id="0">
    <w:p w:rsidR="00E64AB9" w:rsidRDefault="00E64AB9" w:rsidP="00A32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6320031"/>
      <w:docPartObj>
        <w:docPartGallery w:val="Page Numbers (Bottom of Page)"/>
        <w:docPartUnique/>
      </w:docPartObj>
    </w:sdtPr>
    <w:sdtEndPr>
      <w:rPr>
        <w:noProof/>
      </w:rPr>
    </w:sdtEndPr>
    <w:sdtContent>
      <w:p w:rsidR="00A32FC9" w:rsidRDefault="00A32FC9">
        <w:pPr>
          <w:pStyle w:val="Footer"/>
          <w:jc w:val="right"/>
        </w:pPr>
        <w:r>
          <w:fldChar w:fldCharType="begin"/>
        </w:r>
        <w:r>
          <w:instrText xml:space="preserve"> PAGE   \* MERGEFORMAT </w:instrText>
        </w:r>
        <w:r>
          <w:fldChar w:fldCharType="separate"/>
        </w:r>
        <w:r w:rsidR="00F85989">
          <w:rPr>
            <w:noProof/>
          </w:rPr>
          <w:t>5</w:t>
        </w:r>
        <w:r>
          <w:rPr>
            <w:noProof/>
          </w:rPr>
          <w:fldChar w:fldCharType="end"/>
        </w:r>
      </w:p>
    </w:sdtContent>
  </w:sdt>
  <w:p w:rsidR="00A32FC9" w:rsidRDefault="00A32FC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AB9" w:rsidRDefault="00E64AB9" w:rsidP="00A32FC9">
      <w:pPr>
        <w:spacing w:after="0" w:line="240" w:lineRule="auto"/>
      </w:pPr>
      <w:r>
        <w:separator/>
      </w:r>
    </w:p>
  </w:footnote>
  <w:footnote w:type="continuationSeparator" w:id="0">
    <w:p w:rsidR="00E64AB9" w:rsidRDefault="00E64AB9" w:rsidP="00A32F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75279"/>
    <w:multiLevelType w:val="hybridMultilevel"/>
    <w:tmpl w:val="E76E1C56"/>
    <w:lvl w:ilvl="0" w:tplc="852C82F2">
      <w:numFmt w:val="bullet"/>
      <w:lvlText w:val="-"/>
      <w:lvlJc w:val="left"/>
      <w:pPr>
        <w:ind w:left="1000" w:hanging="360"/>
      </w:pPr>
      <w:rPr>
        <w:rFonts w:ascii="Times New Roman" w:eastAsia="Times New Roman" w:hAnsi="Times New Roman" w:cs="Times New Roman" w:hint="default"/>
      </w:rPr>
    </w:lvl>
    <w:lvl w:ilvl="1" w:tplc="04020003" w:tentative="1">
      <w:start w:val="1"/>
      <w:numFmt w:val="bullet"/>
      <w:lvlText w:val="o"/>
      <w:lvlJc w:val="left"/>
      <w:pPr>
        <w:ind w:left="1720" w:hanging="360"/>
      </w:pPr>
      <w:rPr>
        <w:rFonts w:ascii="Courier New" w:hAnsi="Courier New" w:cs="Courier New" w:hint="default"/>
      </w:rPr>
    </w:lvl>
    <w:lvl w:ilvl="2" w:tplc="04020005" w:tentative="1">
      <w:start w:val="1"/>
      <w:numFmt w:val="bullet"/>
      <w:lvlText w:val=""/>
      <w:lvlJc w:val="left"/>
      <w:pPr>
        <w:ind w:left="2440" w:hanging="360"/>
      </w:pPr>
      <w:rPr>
        <w:rFonts w:ascii="Wingdings" w:hAnsi="Wingdings" w:hint="default"/>
      </w:rPr>
    </w:lvl>
    <w:lvl w:ilvl="3" w:tplc="04020001" w:tentative="1">
      <w:start w:val="1"/>
      <w:numFmt w:val="bullet"/>
      <w:lvlText w:val=""/>
      <w:lvlJc w:val="left"/>
      <w:pPr>
        <w:ind w:left="3160" w:hanging="360"/>
      </w:pPr>
      <w:rPr>
        <w:rFonts w:ascii="Symbol" w:hAnsi="Symbol" w:hint="default"/>
      </w:rPr>
    </w:lvl>
    <w:lvl w:ilvl="4" w:tplc="04020003" w:tentative="1">
      <w:start w:val="1"/>
      <w:numFmt w:val="bullet"/>
      <w:lvlText w:val="o"/>
      <w:lvlJc w:val="left"/>
      <w:pPr>
        <w:ind w:left="3880" w:hanging="360"/>
      </w:pPr>
      <w:rPr>
        <w:rFonts w:ascii="Courier New" w:hAnsi="Courier New" w:cs="Courier New" w:hint="default"/>
      </w:rPr>
    </w:lvl>
    <w:lvl w:ilvl="5" w:tplc="04020005" w:tentative="1">
      <w:start w:val="1"/>
      <w:numFmt w:val="bullet"/>
      <w:lvlText w:val=""/>
      <w:lvlJc w:val="left"/>
      <w:pPr>
        <w:ind w:left="4600" w:hanging="360"/>
      </w:pPr>
      <w:rPr>
        <w:rFonts w:ascii="Wingdings" w:hAnsi="Wingdings" w:hint="default"/>
      </w:rPr>
    </w:lvl>
    <w:lvl w:ilvl="6" w:tplc="04020001" w:tentative="1">
      <w:start w:val="1"/>
      <w:numFmt w:val="bullet"/>
      <w:lvlText w:val=""/>
      <w:lvlJc w:val="left"/>
      <w:pPr>
        <w:ind w:left="5320" w:hanging="360"/>
      </w:pPr>
      <w:rPr>
        <w:rFonts w:ascii="Symbol" w:hAnsi="Symbol" w:hint="default"/>
      </w:rPr>
    </w:lvl>
    <w:lvl w:ilvl="7" w:tplc="04020003" w:tentative="1">
      <w:start w:val="1"/>
      <w:numFmt w:val="bullet"/>
      <w:lvlText w:val="o"/>
      <w:lvlJc w:val="left"/>
      <w:pPr>
        <w:ind w:left="6040" w:hanging="360"/>
      </w:pPr>
      <w:rPr>
        <w:rFonts w:ascii="Courier New" w:hAnsi="Courier New" w:cs="Courier New" w:hint="default"/>
      </w:rPr>
    </w:lvl>
    <w:lvl w:ilvl="8" w:tplc="04020005" w:tentative="1">
      <w:start w:val="1"/>
      <w:numFmt w:val="bullet"/>
      <w:lvlText w:val=""/>
      <w:lvlJc w:val="left"/>
      <w:pPr>
        <w:ind w:left="6760" w:hanging="360"/>
      </w:pPr>
      <w:rPr>
        <w:rFonts w:ascii="Wingdings" w:hAnsi="Wingdings" w:hint="default"/>
      </w:rPr>
    </w:lvl>
  </w:abstractNum>
  <w:abstractNum w:abstractNumId="1" w15:restartNumberingAfterBreak="0">
    <w:nsid w:val="3A09260B"/>
    <w:multiLevelType w:val="hybridMultilevel"/>
    <w:tmpl w:val="FD507C6C"/>
    <w:lvl w:ilvl="0" w:tplc="09EE362E">
      <w:start w:val="1"/>
      <w:numFmt w:val="upperRoman"/>
      <w:lvlText w:val="%1."/>
      <w:lvlJc w:val="left"/>
      <w:pPr>
        <w:ind w:left="578" w:hanging="720"/>
      </w:pPr>
      <w:rPr>
        <w:rFonts w:cs="Times New Roman" w:hint="default"/>
      </w:rPr>
    </w:lvl>
    <w:lvl w:ilvl="1" w:tplc="04020019" w:tentative="1">
      <w:start w:val="1"/>
      <w:numFmt w:val="lowerLetter"/>
      <w:lvlText w:val="%2."/>
      <w:lvlJc w:val="left"/>
      <w:pPr>
        <w:ind w:left="938" w:hanging="360"/>
      </w:pPr>
      <w:rPr>
        <w:rFonts w:cs="Times New Roman"/>
      </w:rPr>
    </w:lvl>
    <w:lvl w:ilvl="2" w:tplc="0402001B" w:tentative="1">
      <w:start w:val="1"/>
      <w:numFmt w:val="lowerRoman"/>
      <w:lvlText w:val="%3."/>
      <w:lvlJc w:val="right"/>
      <w:pPr>
        <w:ind w:left="1658" w:hanging="180"/>
      </w:pPr>
      <w:rPr>
        <w:rFonts w:cs="Times New Roman"/>
      </w:rPr>
    </w:lvl>
    <w:lvl w:ilvl="3" w:tplc="0402000F" w:tentative="1">
      <w:start w:val="1"/>
      <w:numFmt w:val="decimal"/>
      <w:lvlText w:val="%4."/>
      <w:lvlJc w:val="left"/>
      <w:pPr>
        <w:ind w:left="2378" w:hanging="360"/>
      </w:pPr>
      <w:rPr>
        <w:rFonts w:cs="Times New Roman"/>
      </w:rPr>
    </w:lvl>
    <w:lvl w:ilvl="4" w:tplc="04020019" w:tentative="1">
      <w:start w:val="1"/>
      <w:numFmt w:val="lowerLetter"/>
      <w:lvlText w:val="%5."/>
      <w:lvlJc w:val="left"/>
      <w:pPr>
        <w:ind w:left="3098" w:hanging="360"/>
      </w:pPr>
      <w:rPr>
        <w:rFonts w:cs="Times New Roman"/>
      </w:rPr>
    </w:lvl>
    <w:lvl w:ilvl="5" w:tplc="0402001B" w:tentative="1">
      <w:start w:val="1"/>
      <w:numFmt w:val="lowerRoman"/>
      <w:lvlText w:val="%6."/>
      <w:lvlJc w:val="right"/>
      <w:pPr>
        <w:ind w:left="3818" w:hanging="180"/>
      </w:pPr>
      <w:rPr>
        <w:rFonts w:cs="Times New Roman"/>
      </w:rPr>
    </w:lvl>
    <w:lvl w:ilvl="6" w:tplc="0402000F" w:tentative="1">
      <w:start w:val="1"/>
      <w:numFmt w:val="decimal"/>
      <w:lvlText w:val="%7."/>
      <w:lvlJc w:val="left"/>
      <w:pPr>
        <w:ind w:left="4538" w:hanging="360"/>
      </w:pPr>
      <w:rPr>
        <w:rFonts w:cs="Times New Roman"/>
      </w:rPr>
    </w:lvl>
    <w:lvl w:ilvl="7" w:tplc="04020019" w:tentative="1">
      <w:start w:val="1"/>
      <w:numFmt w:val="lowerLetter"/>
      <w:lvlText w:val="%8."/>
      <w:lvlJc w:val="left"/>
      <w:pPr>
        <w:ind w:left="5258" w:hanging="360"/>
      </w:pPr>
      <w:rPr>
        <w:rFonts w:cs="Times New Roman"/>
      </w:rPr>
    </w:lvl>
    <w:lvl w:ilvl="8" w:tplc="0402001B" w:tentative="1">
      <w:start w:val="1"/>
      <w:numFmt w:val="lowerRoman"/>
      <w:lvlText w:val="%9."/>
      <w:lvlJc w:val="right"/>
      <w:pPr>
        <w:ind w:left="5978" w:hanging="180"/>
      </w:pPr>
      <w:rPr>
        <w:rFonts w:cs="Times New Roman"/>
      </w:rPr>
    </w:lvl>
  </w:abstractNum>
  <w:abstractNum w:abstractNumId="2" w15:restartNumberingAfterBreak="0">
    <w:nsid w:val="5D6711C5"/>
    <w:multiLevelType w:val="hybridMultilevel"/>
    <w:tmpl w:val="B74A2E32"/>
    <w:lvl w:ilvl="0" w:tplc="C1AA3C18">
      <w:start w:val="1"/>
      <w:numFmt w:val="bullet"/>
      <w:lvlText w:val=""/>
      <w:lvlJc w:val="left"/>
      <w:pPr>
        <w:tabs>
          <w:tab w:val="num" w:pos="720"/>
        </w:tabs>
        <w:ind w:left="720" w:hanging="360"/>
      </w:pPr>
      <w:rPr>
        <w:rFonts w:ascii="Wingdings" w:hAnsi="Wingdings" w:hint="default"/>
      </w:rPr>
    </w:lvl>
    <w:lvl w:ilvl="1" w:tplc="E984329A">
      <w:start w:val="171"/>
      <w:numFmt w:val="bullet"/>
      <w:lvlText w:val=""/>
      <w:lvlJc w:val="left"/>
      <w:pPr>
        <w:tabs>
          <w:tab w:val="num" w:pos="1440"/>
        </w:tabs>
        <w:ind w:left="1440" w:hanging="360"/>
      </w:pPr>
      <w:rPr>
        <w:rFonts w:ascii="Wingdings" w:hAnsi="Wingdings" w:hint="default"/>
      </w:rPr>
    </w:lvl>
    <w:lvl w:ilvl="2" w:tplc="B204DBD4">
      <w:start w:val="1"/>
      <w:numFmt w:val="decimal"/>
      <w:lvlText w:val="%3."/>
      <w:lvlJc w:val="left"/>
      <w:pPr>
        <w:tabs>
          <w:tab w:val="num" w:pos="2160"/>
        </w:tabs>
        <w:ind w:left="2160" w:hanging="360"/>
      </w:pPr>
    </w:lvl>
    <w:lvl w:ilvl="3" w:tplc="14C2CBC8">
      <w:start w:val="1"/>
      <w:numFmt w:val="decimal"/>
      <w:lvlText w:val="%4."/>
      <w:lvlJc w:val="left"/>
      <w:pPr>
        <w:tabs>
          <w:tab w:val="num" w:pos="2880"/>
        </w:tabs>
        <w:ind w:left="2880" w:hanging="360"/>
      </w:pPr>
    </w:lvl>
    <w:lvl w:ilvl="4" w:tplc="5B567C66">
      <w:start w:val="1"/>
      <w:numFmt w:val="decimal"/>
      <w:lvlText w:val="%5."/>
      <w:lvlJc w:val="left"/>
      <w:pPr>
        <w:tabs>
          <w:tab w:val="num" w:pos="3600"/>
        </w:tabs>
        <w:ind w:left="3600" w:hanging="360"/>
      </w:pPr>
    </w:lvl>
    <w:lvl w:ilvl="5" w:tplc="C780112A">
      <w:start w:val="1"/>
      <w:numFmt w:val="decimal"/>
      <w:lvlText w:val="%6."/>
      <w:lvlJc w:val="left"/>
      <w:pPr>
        <w:tabs>
          <w:tab w:val="num" w:pos="4320"/>
        </w:tabs>
        <w:ind w:left="4320" w:hanging="360"/>
      </w:pPr>
    </w:lvl>
    <w:lvl w:ilvl="6" w:tplc="D14854A6">
      <w:start w:val="1"/>
      <w:numFmt w:val="decimal"/>
      <w:lvlText w:val="%7."/>
      <w:lvlJc w:val="left"/>
      <w:pPr>
        <w:tabs>
          <w:tab w:val="num" w:pos="5040"/>
        </w:tabs>
        <w:ind w:left="5040" w:hanging="360"/>
      </w:pPr>
    </w:lvl>
    <w:lvl w:ilvl="7" w:tplc="BDEA6292">
      <w:start w:val="1"/>
      <w:numFmt w:val="decimal"/>
      <w:lvlText w:val="%8."/>
      <w:lvlJc w:val="left"/>
      <w:pPr>
        <w:tabs>
          <w:tab w:val="num" w:pos="5760"/>
        </w:tabs>
        <w:ind w:left="5760" w:hanging="360"/>
      </w:pPr>
    </w:lvl>
    <w:lvl w:ilvl="8" w:tplc="D8969560">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602"/>
    <w:rsid w:val="00011CD9"/>
    <w:rsid w:val="00014C59"/>
    <w:rsid w:val="00014CF7"/>
    <w:rsid w:val="00026650"/>
    <w:rsid w:val="00040A73"/>
    <w:rsid w:val="00041F5A"/>
    <w:rsid w:val="0004485F"/>
    <w:rsid w:val="00066C5A"/>
    <w:rsid w:val="000803E3"/>
    <w:rsid w:val="00080A2E"/>
    <w:rsid w:val="0008209E"/>
    <w:rsid w:val="00093674"/>
    <w:rsid w:val="000A064D"/>
    <w:rsid w:val="000A55AD"/>
    <w:rsid w:val="000B16C5"/>
    <w:rsid w:val="000B45F1"/>
    <w:rsid w:val="000C7924"/>
    <w:rsid w:val="000F3530"/>
    <w:rsid w:val="000F4DA1"/>
    <w:rsid w:val="00102BD1"/>
    <w:rsid w:val="00121C4D"/>
    <w:rsid w:val="001407ED"/>
    <w:rsid w:val="00161530"/>
    <w:rsid w:val="00164EF4"/>
    <w:rsid w:val="00176B32"/>
    <w:rsid w:val="001A44A8"/>
    <w:rsid w:val="001A79E8"/>
    <w:rsid w:val="00207E24"/>
    <w:rsid w:val="0022628C"/>
    <w:rsid w:val="00284042"/>
    <w:rsid w:val="00293713"/>
    <w:rsid w:val="002A0A7B"/>
    <w:rsid w:val="002A4C2A"/>
    <w:rsid w:val="002C58B8"/>
    <w:rsid w:val="002C7347"/>
    <w:rsid w:val="002C77A9"/>
    <w:rsid w:val="00333945"/>
    <w:rsid w:val="00360E34"/>
    <w:rsid w:val="00362FB2"/>
    <w:rsid w:val="00371247"/>
    <w:rsid w:val="00386B85"/>
    <w:rsid w:val="00393C64"/>
    <w:rsid w:val="00394DBE"/>
    <w:rsid w:val="003D4140"/>
    <w:rsid w:val="003F21C3"/>
    <w:rsid w:val="00417A3A"/>
    <w:rsid w:val="00447827"/>
    <w:rsid w:val="00447B6B"/>
    <w:rsid w:val="00450DA2"/>
    <w:rsid w:val="004570FA"/>
    <w:rsid w:val="0046614F"/>
    <w:rsid w:val="00493D60"/>
    <w:rsid w:val="004A0B87"/>
    <w:rsid w:val="004B1621"/>
    <w:rsid w:val="004C1EC4"/>
    <w:rsid w:val="004D012C"/>
    <w:rsid w:val="004E775E"/>
    <w:rsid w:val="00514844"/>
    <w:rsid w:val="005163B6"/>
    <w:rsid w:val="00546725"/>
    <w:rsid w:val="00561685"/>
    <w:rsid w:val="0056467A"/>
    <w:rsid w:val="00564765"/>
    <w:rsid w:val="00583634"/>
    <w:rsid w:val="005C3EBF"/>
    <w:rsid w:val="005C4EA0"/>
    <w:rsid w:val="005D7666"/>
    <w:rsid w:val="005F1A09"/>
    <w:rsid w:val="0062466C"/>
    <w:rsid w:val="006354EC"/>
    <w:rsid w:val="00641EEF"/>
    <w:rsid w:val="006525B9"/>
    <w:rsid w:val="00694D11"/>
    <w:rsid w:val="006A529D"/>
    <w:rsid w:val="00711602"/>
    <w:rsid w:val="00712854"/>
    <w:rsid w:val="0072030C"/>
    <w:rsid w:val="007270C8"/>
    <w:rsid w:val="007271F9"/>
    <w:rsid w:val="007504FC"/>
    <w:rsid w:val="00774E8F"/>
    <w:rsid w:val="00796472"/>
    <w:rsid w:val="007E1CA1"/>
    <w:rsid w:val="007F1BF1"/>
    <w:rsid w:val="007F31E7"/>
    <w:rsid w:val="007F58A8"/>
    <w:rsid w:val="00800A18"/>
    <w:rsid w:val="008151CC"/>
    <w:rsid w:val="00836518"/>
    <w:rsid w:val="00843895"/>
    <w:rsid w:val="00855F17"/>
    <w:rsid w:val="008617D2"/>
    <w:rsid w:val="008619DA"/>
    <w:rsid w:val="00881470"/>
    <w:rsid w:val="008A3599"/>
    <w:rsid w:val="008A7CB7"/>
    <w:rsid w:val="008B0C8D"/>
    <w:rsid w:val="008C3194"/>
    <w:rsid w:val="008C34B0"/>
    <w:rsid w:val="008F41FD"/>
    <w:rsid w:val="00904ED7"/>
    <w:rsid w:val="00912027"/>
    <w:rsid w:val="00962F75"/>
    <w:rsid w:val="0098191A"/>
    <w:rsid w:val="00982E5E"/>
    <w:rsid w:val="00994887"/>
    <w:rsid w:val="00994EBD"/>
    <w:rsid w:val="009A6963"/>
    <w:rsid w:val="009C0E4B"/>
    <w:rsid w:val="009E79F1"/>
    <w:rsid w:val="009F4181"/>
    <w:rsid w:val="009F504F"/>
    <w:rsid w:val="009F5BCD"/>
    <w:rsid w:val="00A01B1F"/>
    <w:rsid w:val="00A064C1"/>
    <w:rsid w:val="00A174BB"/>
    <w:rsid w:val="00A3106D"/>
    <w:rsid w:val="00A32FC9"/>
    <w:rsid w:val="00A43B70"/>
    <w:rsid w:val="00A66998"/>
    <w:rsid w:val="00A74E58"/>
    <w:rsid w:val="00A975C4"/>
    <w:rsid w:val="00AA4F1E"/>
    <w:rsid w:val="00AC19BE"/>
    <w:rsid w:val="00AF2A66"/>
    <w:rsid w:val="00B00FC3"/>
    <w:rsid w:val="00B07BB9"/>
    <w:rsid w:val="00B17019"/>
    <w:rsid w:val="00B239CC"/>
    <w:rsid w:val="00B324AB"/>
    <w:rsid w:val="00B378D1"/>
    <w:rsid w:val="00B772F7"/>
    <w:rsid w:val="00B7738A"/>
    <w:rsid w:val="00B90E09"/>
    <w:rsid w:val="00B93EC1"/>
    <w:rsid w:val="00BB0F87"/>
    <w:rsid w:val="00BB39AE"/>
    <w:rsid w:val="00BC775D"/>
    <w:rsid w:val="00BF74B2"/>
    <w:rsid w:val="00C04B02"/>
    <w:rsid w:val="00C20FCE"/>
    <w:rsid w:val="00C274DB"/>
    <w:rsid w:val="00C30E09"/>
    <w:rsid w:val="00C4071E"/>
    <w:rsid w:val="00C44B4A"/>
    <w:rsid w:val="00C5085C"/>
    <w:rsid w:val="00C60FEA"/>
    <w:rsid w:val="00C67F5F"/>
    <w:rsid w:val="00C73406"/>
    <w:rsid w:val="00C931AD"/>
    <w:rsid w:val="00C968C8"/>
    <w:rsid w:val="00CA11B8"/>
    <w:rsid w:val="00CA69F9"/>
    <w:rsid w:val="00CD5C3B"/>
    <w:rsid w:val="00CF57BB"/>
    <w:rsid w:val="00D02878"/>
    <w:rsid w:val="00D30F0B"/>
    <w:rsid w:val="00D61DD7"/>
    <w:rsid w:val="00D80EA2"/>
    <w:rsid w:val="00DA5C16"/>
    <w:rsid w:val="00DD7D7B"/>
    <w:rsid w:val="00DE25B1"/>
    <w:rsid w:val="00DE3CDA"/>
    <w:rsid w:val="00DE7E84"/>
    <w:rsid w:val="00E17829"/>
    <w:rsid w:val="00E225FF"/>
    <w:rsid w:val="00E22C11"/>
    <w:rsid w:val="00E30DB0"/>
    <w:rsid w:val="00E41114"/>
    <w:rsid w:val="00E45A84"/>
    <w:rsid w:val="00E55F39"/>
    <w:rsid w:val="00E64AB9"/>
    <w:rsid w:val="00E707F6"/>
    <w:rsid w:val="00E71D8B"/>
    <w:rsid w:val="00E87964"/>
    <w:rsid w:val="00E87B5A"/>
    <w:rsid w:val="00EA435A"/>
    <w:rsid w:val="00EB149B"/>
    <w:rsid w:val="00EC6AA6"/>
    <w:rsid w:val="00EE6AA7"/>
    <w:rsid w:val="00F01AF0"/>
    <w:rsid w:val="00F17825"/>
    <w:rsid w:val="00F21111"/>
    <w:rsid w:val="00F22E10"/>
    <w:rsid w:val="00F5037A"/>
    <w:rsid w:val="00F50A5F"/>
    <w:rsid w:val="00F61995"/>
    <w:rsid w:val="00F672FF"/>
    <w:rsid w:val="00F85989"/>
    <w:rsid w:val="00F87B8A"/>
    <w:rsid w:val="00F922F4"/>
    <w:rsid w:val="00FA407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03831B"/>
  <w15:docId w15:val="{0D4CE11C-7BFA-4FB4-B6C2-7B9AB1155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EA2"/>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D01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012C"/>
    <w:rPr>
      <w:rFonts w:ascii="Tahoma" w:hAnsi="Tahoma" w:cs="Tahoma"/>
      <w:sz w:val="16"/>
      <w:szCs w:val="16"/>
      <w:lang w:eastAsia="en-US"/>
    </w:rPr>
  </w:style>
  <w:style w:type="paragraph" w:styleId="Header">
    <w:name w:val="header"/>
    <w:basedOn w:val="Normal"/>
    <w:link w:val="HeaderChar"/>
    <w:uiPriority w:val="99"/>
    <w:unhideWhenUsed/>
    <w:rsid w:val="00A32FC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32FC9"/>
    <w:rPr>
      <w:lang w:eastAsia="en-US"/>
    </w:rPr>
  </w:style>
  <w:style w:type="paragraph" w:styleId="Footer">
    <w:name w:val="footer"/>
    <w:basedOn w:val="Normal"/>
    <w:link w:val="FooterChar"/>
    <w:uiPriority w:val="99"/>
    <w:unhideWhenUsed/>
    <w:rsid w:val="00A32FC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32FC9"/>
    <w:rPr>
      <w:lang w:eastAsia="en-US"/>
    </w:rPr>
  </w:style>
  <w:style w:type="paragraph" w:customStyle="1" w:styleId="firstline">
    <w:name w:val="firstline"/>
    <w:basedOn w:val="Normal"/>
    <w:rsid w:val="003D4140"/>
    <w:pPr>
      <w:spacing w:after="0" w:line="240" w:lineRule="atLeast"/>
      <w:ind w:firstLine="640"/>
      <w:jc w:val="both"/>
    </w:pPr>
    <w:rPr>
      <w:rFonts w:ascii="Times New Roman" w:eastAsia="Times New Roman" w:hAnsi="Times New Roman"/>
      <w:color w:val="000000"/>
      <w:sz w:val="24"/>
      <w:szCs w:val="24"/>
      <w:lang w:eastAsia="bg-BG"/>
    </w:rPr>
  </w:style>
  <w:style w:type="character" w:styleId="CommentReference">
    <w:name w:val="annotation reference"/>
    <w:basedOn w:val="DefaultParagraphFont"/>
    <w:uiPriority w:val="99"/>
    <w:semiHidden/>
    <w:unhideWhenUsed/>
    <w:rsid w:val="00333945"/>
    <w:rPr>
      <w:sz w:val="16"/>
      <w:szCs w:val="16"/>
    </w:rPr>
  </w:style>
  <w:style w:type="paragraph" w:styleId="CommentText">
    <w:name w:val="annotation text"/>
    <w:basedOn w:val="Normal"/>
    <w:link w:val="CommentTextChar"/>
    <w:uiPriority w:val="99"/>
    <w:semiHidden/>
    <w:unhideWhenUsed/>
    <w:rsid w:val="00333945"/>
    <w:pPr>
      <w:spacing w:line="240" w:lineRule="auto"/>
    </w:pPr>
    <w:rPr>
      <w:sz w:val="20"/>
      <w:szCs w:val="20"/>
    </w:rPr>
  </w:style>
  <w:style w:type="character" w:customStyle="1" w:styleId="CommentTextChar">
    <w:name w:val="Comment Text Char"/>
    <w:basedOn w:val="DefaultParagraphFont"/>
    <w:link w:val="CommentText"/>
    <w:uiPriority w:val="99"/>
    <w:semiHidden/>
    <w:rsid w:val="00333945"/>
    <w:rPr>
      <w:sz w:val="20"/>
      <w:szCs w:val="20"/>
      <w:lang w:eastAsia="en-US"/>
    </w:rPr>
  </w:style>
  <w:style w:type="paragraph" w:styleId="CommentSubject">
    <w:name w:val="annotation subject"/>
    <w:basedOn w:val="CommentText"/>
    <w:next w:val="CommentText"/>
    <w:link w:val="CommentSubjectChar"/>
    <w:uiPriority w:val="99"/>
    <w:semiHidden/>
    <w:unhideWhenUsed/>
    <w:rsid w:val="00333945"/>
    <w:rPr>
      <w:b/>
      <w:bCs/>
    </w:rPr>
  </w:style>
  <w:style w:type="character" w:customStyle="1" w:styleId="CommentSubjectChar">
    <w:name w:val="Comment Subject Char"/>
    <w:basedOn w:val="CommentTextChar"/>
    <w:link w:val="CommentSubject"/>
    <w:uiPriority w:val="99"/>
    <w:semiHidden/>
    <w:rsid w:val="00333945"/>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1772</Words>
  <Characters>10103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Приложение № 6</vt:lpstr>
    </vt:vector>
  </TitlesOfParts>
  <Company>MoF</Company>
  <LinksUpToDate>false</LinksUpToDate>
  <CharactersWithSpaces>11852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6</dc:title>
  <dc:creator>Петранка Кедикова</dc:creator>
  <cp:lastModifiedBy>Ана Василева</cp:lastModifiedBy>
  <cp:revision>17</cp:revision>
  <cp:lastPrinted>2015-09-25T08:22:00Z</cp:lastPrinted>
  <dcterms:created xsi:type="dcterms:W3CDTF">2019-01-07T11:53:00Z</dcterms:created>
  <dcterms:modified xsi:type="dcterms:W3CDTF">2019-01-07T12:32:00Z</dcterms:modified>
</cp:coreProperties>
</file>