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51" w:rsidRPr="001E6C2D" w:rsidRDefault="00F27BE0" w:rsidP="009A75DA">
      <w:pPr>
        <w:keepNext/>
        <w:spacing w:before="0" w:after="0"/>
        <w:ind w:firstLine="0"/>
        <w:jc w:val="center"/>
        <w:rPr>
          <w:b/>
          <w:bCs/>
          <w:caps/>
          <w:sz w:val="24"/>
          <w:szCs w:val="24"/>
        </w:rPr>
      </w:pPr>
      <w:bookmarkStart w:id="0" w:name="_GoBack"/>
      <w:bookmarkEnd w:id="0"/>
      <w:r w:rsidRPr="001E6C2D">
        <w:rPr>
          <w:b/>
          <w:bCs/>
          <w:caps/>
          <w:sz w:val="24"/>
          <w:szCs w:val="24"/>
        </w:rPr>
        <w:t xml:space="preserve">АНАЛИЗ НА ИЗПЪЛНЕНИЕТО НА УТВЪРДЕНИТЕ РАЗХОДИ ПО ОБЛАСТИ НА ПОЛИТИКИ И БЮДЖЕТНИ ПРОГРАМИ В ЗДБРБ ЗА 2017 Г. </w:t>
      </w:r>
    </w:p>
    <w:p w:rsidR="00710B51" w:rsidRPr="001E6C2D" w:rsidRDefault="00F27BE0" w:rsidP="009A75DA">
      <w:pPr>
        <w:keepNext/>
        <w:spacing w:before="0" w:after="0"/>
        <w:ind w:firstLine="0"/>
        <w:jc w:val="center"/>
        <w:rPr>
          <w:b/>
          <w:bCs/>
          <w:caps/>
          <w:sz w:val="24"/>
          <w:szCs w:val="24"/>
        </w:rPr>
      </w:pPr>
      <w:r w:rsidRPr="001E6C2D">
        <w:rPr>
          <w:b/>
          <w:bCs/>
          <w:caps/>
          <w:sz w:val="24"/>
          <w:szCs w:val="24"/>
        </w:rPr>
        <w:t xml:space="preserve">НА </w:t>
      </w:r>
      <w:r w:rsidR="001E6C2D" w:rsidRPr="001E6C2D">
        <w:rPr>
          <w:b/>
          <w:bCs/>
          <w:caps/>
          <w:sz w:val="24"/>
          <w:szCs w:val="24"/>
        </w:rPr>
        <w:t>Министерския съвет и министерствата</w:t>
      </w:r>
      <w:r w:rsidRPr="001E6C2D">
        <w:rPr>
          <w:b/>
          <w:bCs/>
          <w:caps/>
          <w:sz w:val="24"/>
          <w:szCs w:val="24"/>
        </w:rPr>
        <w:t xml:space="preserve">, </w:t>
      </w:r>
      <w:r w:rsidR="00B7046F">
        <w:rPr>
          <w:b/>
          <w:bCs/>
          <w:caps/>
          <w:sz w:val="24"/>
          <w:szCs w:val="24"/>
        </w:rPr>
        <w:t xml:space="preserve">ПРИЛАГАЩИ </w:t>
      </w:r>
      <w:r w:rsidRPr="001E6C2D">
        <w:rPr>
          <w:b/>
          <w:bCs/>
          <w:caps/>
          <w:sz w:val="24"/>
          <w:szCs w:val="24"/>
        </w:rPr>
        <w:t>ПРОГРАМЕН ФОРМАТ НА БЮДЖЕТ</w:t>
      </w:r>
      <w:r w:rsidR="005D41E3">
        <w:rPr>
          <w:b/>
          <w:bCs/>
          <w:caps/>
          <w:sz w:val="24"/>
          <w:szCs w:val="24"/>
        </w:rPr>
        <w:t>,</w:t>
      </w:r>
      <w:r w:rsidRPr="001E6C2D">
        <w:rPr>
          <w:b/>
          <w:bCs/>
          <w:caps/>
          <w:sz w:val="24"/>
          <w:szCs w:val="24"/>
        </w:rPr>
        <w:t xml:space="preserve"> С АКЦЕНТ ВЪРХУ ПОСТИГНАТИТЕ РЕЗУЛТАТИ</w:t>
      </w:r>
      <w:r w:rsidR="00710B51" w:rsidRPr="001E6C2D">
        <w:rPr>
          <w:b/>
          <w:bCs/>
          <w:caps/>
          <w:sz w:val="24"/>
          <w:szCs w:val="24"/>
        </w:rPr>
        <w:t xml:space="preserve"> </w:t>
      </w:r>
    </w:p>
    <w:p w:rsidR="00710B51" w:rsidRDefault="00710B51" w:rsidP="009A75DA">
      <w:pPr>
        <w:pStyle w:val="ListParagraph"/>
        <w:ind w:left="0" w:right="193" w:firstLine="567"/>
        <w:jc w:val="center"/>
        <w:rPr>
          <w:rFonts w:ascii="Times New Roman" w:hAnsi="Times New Roman"/>
          <w:lang w:val="bg-BG"/>
        </w:rPr>
      </w:pPr>
    </w:p>
    <w:p w:rsidR="00855A7E" w:rsidRPr="009A75DA" w:rsidRDefault="00855A7E" w:rsidP="00855A7E">
      <w:pPr>
        <w:keepNext/>
        <w:keepLines/>
        <w:spacing w:before="480" w:after="0" w:line="276" w:lineRule="auto"/>
        <w:ind w:firstLine="0"/>
        <w:jc w:val="center"/>
        <w:rPr>
          <w:rFonts w:eastAsia="MS Gothic"/>
          <w:b/>
          <w:bCs/>
          <w:sz w:val="28"/>
          <w:szCs w:val="28"/>
          <w:lang w:eastAsia="ja-JP"/>
        </w:rPr>
      </w:pPr>
      <w:r w:rsidRPr="009A75DA">
        <w:rPr>
          <w:rFonts w:eastAsia="MS Gothic"/>
          <w:b/>
          <w:bCs/>
          <w:sz w:val="28"/>
          <w:szCs w:val="28"/>
          <w:lang w:eastAsia="ja-JP"/>
        </w:rPr>
        <w:t>СЪДЪРЖАНИЕ</w:t>
      </w:r>
    </w:p>
    <w:sdt>
      <w:sdtPr>
        <w:rPr>
          <w:rFonts w:ascii="Times New Roman" w:eastAsia="Batang" w:hAnsi="Times New Roman" w:cs="Times New Roman"/>
          <w:caps/>
          <w:noProof/>
          <w:color w:val="auto"/>
          <w:sz w:val="24"/>
          <w:szCs w:val="24"/>
          <w:lang w:val="bg-BG" w:eastAsia="ko-KR"/>
        </w:rPr>
        <w:id w:val="-298300007"/>
        <w:docPartObj>
          <w:docPartGallery w:val="Table of Contents"/>
          <w:docPartUnique/>
        </w:docPartObj>
      </w:sdtPr>
      <w:sdtEndPr/>
      <w:sdtContent>
        <w:p w:rsidR="009A75DA" w:rsidRDefault="009A75DA">
          <w:pPr>
            <w:pStyle w:val="TOCHeading"/>
          </w:pPr>
        </w:p>
        <w:p w:rsidR="00300FE8" w:rsidRDefault="009A75DA">
          <w:pPr>
            <w:pStyle w:val="TOC1"/>
            <w:rPr>
              <w:rFonts w:asciiTheme="minorHAnsi" w:eastAsiaTheme="minorEastAsia" w:hAnsiTheme="minorHAnsi" w:cstheme="minorBidi"/>
              <w:b w:val="0"/>
              <w:bCs w:val="0"/>
              <w:caps w:val="0"/>
              <w:sz w:val="22"/>
              <w:szCs w:val="22"/>
              <w:lang w:eastAsia="bg-BG"/>
            </w:rPr>
          </w:pPr>
          <w:r w:rsidRPr="003029A9">
            <w:rPr>
              <w:rStyle w:val="Hyperlink"/>
              <w:b w:val="0"/>
              <w:bCs w:val="0"/>
              <w:caps w:val="0"/>
              <w:color w:val="auto"/>
            </w:rPr>
            <w:fldChar w:fldCharType="begin"/>
          </w:r>
          <w:r w:rsidRPr="003029A9">
            <w:rPr>
              <w:rStyle w:val="Hyperlink"/>
              <w:b w:val="0"/>
              <w:bCs w:val="0"/>
              <w:caps w:val="0"/>
              <w:color w:val="auto"/>
            </w:rPr>
            <w:instrText xml:space="preserve"> TOC \o "1-3" \h \z \u </w:instrText>
          </w:r>
          <w:r w:rsidRPr="003029A9">
            <w:rPr>
              <w:rStyle w:val="Hyperlink"/>
              <w:b w:val="0"/>
              <w:bCs w:val="0"/>
              <w:caps w:val="0"/>
              <w:color w:val="auto"/>
            </w:rPr>
            <w:fldChar w:fldCharType="separate"/>
          </w:r>
          <w:hyperlink w:anchor="_Toc523492623" w:history="1">
            <w:r w:rsidR="00300FE8" w:rsidRPr="005935F0">
              <w:rPr>
                <w:rStyle w:val="Hyperlink"/>
              </w:rPr>
              <w:t>1.</w:t>
            </w:r>
            <w:r w:rsidR="00300FE8">
              <w:rPr>
                <w:rFonts w:asciiTheme="minorHAnsi" w:eastAsiaTheme="minorEastAsia" w:hAnsiTheme="minorHAnsi" w:cstheme="minorBidi"/>
                <w:b w:val="0"/>
                <w:bCs w:val="0"/>
                <w:caps w:val="0"/>
                <w:sz w:val="22"/>
                <w:szCs w:val="22"/>
                <w:lang w:eastAsia="bg-BG"/>
              </w:rPr>
              <w:tab/>
            </w:r>
            <w:r w:rsidR="00300FE8" w:rsidRPr="005935F0">
              <w:rPr>
                <w:rStyle w:val="Hyperlink"/>
              </w:rPr>
              <w:t>Министерски съвет</w:t>
            </w:r>
            <w:r w:rsidR="00300FE8">
              <w:rPr>
                <w:webHidden/>
              </w:rPr>
              <w:tab/>
            </w:r>
            <w:r w:rsidR="00300FE8">
              <w:rPr>
                <w:webHidden/>
              </w:rPr>
              <w:fldChar w:fldCharType="begin"/>
            </w:r>
            <w:r w:rsidR="00300FE8">
              <w:rPr>
                <w:webHidden/>
              </w:rPr>
              <w:instrText xml:space="preserve"> PAGEREF _Toc523492623 \h </w:instrText>
            </w:r>
            <w:r w:rsidR="00300FE8">
              <w:rPr>
                <w:webHidden/>
              </w:rPr>
            </w:r>
            <w:r w:rsidR="00300FE8">
              <w:rPr>
                <w:webHidden/>
              </w:rPr>
              <w:fldChar w:fldCharType="separate"/>
            </w:r>
            <w:r w:rsidR="00300FE8">
              <w:rPr>
                <w:webHidden/>
              </w:rPr>
              <w:t>2</w:t>
            </w:r>
            <w:r w:rsidR="00300FE8">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4" w:history="1">
            <w:r w:rsidRPr="005935F0">
              <w:rPr>
                <w:rStyle w:val="Hyperlink"/>
              </w:rPr>
              <w:t>2.</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финансите</w:t>
            </w:r>
            <w:r>
              <w:rPr>
                <w:webHidden/>
              </w:rPr>
              <w:tab/>
            </w:r>
            <w:r>
              <w:rPr>
                <w:webHidden/>
              </w:rPr>
              <w:fldChar w:fldCharType="begin"/>
            </w:r>
            <w:r>
              <w:rPr>
                <w:webHidden/>
              </w:rPr>
              <w:instrText xml:space="preserve"> PAGEREF _Toc523492624 \h </w:instrText>
            </w:r>
            <w:r>
              <w:rPr>
                <w:webHidden/>
              </w:rPr>
            </w:r>
            <w:r>
              <w:rPr>
                <w:webHidden/>
              </w:rPr>
              <w:fldChar w:fldCharType="separate"/>
            </w:r>
            <w:r>
              <w:rPr>
                <w:webHidden/>
              </w:rPr>
              <w:t>5</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5" w:history="1">
            <w:r w:rsidRPr="005935F0">
              <w:rPr>
                <w:rStyle w:val="Hyperlink"/>
              </w:rPr>
              <w:t>3.</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външните работи</w:t>
            </w:r>
            <w:r>
              <w:rPr>
                <w:webHidden/>
              </w:rPr>
              <w:tab/>
            </w:r>
            <w:r>
              <w:rPr>
                <w:webHidden/>
              </w:rPr>
              <w:fldChar w:fldCharType="begin"/>
            </w:r>
            <w:r>
              <w:rPr>
                <w:webHidden/>
              </w:rPr>
              <w:instrText xml:space="preserve"> PAGEREF _Toc523492625 \h </w:instrText>
            </w:r>
            <w:r>
              <w:rPr>
                <w:webHidden/>
              </w:rPr>
            </w:r>
            <w:r>
              <w:rPr>
                <w:webHidden/>
              </w:rPr>
              <w:fldChar w:fldCharType="separate"/>
            </w:r>
            <w:r>
              <w:rPr>
                <w:webHidden/>
              </w:rPr>
              <w:t>11</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6" w:history="1">
            <w:r w:rsidRPr="005935F0">
              <w:rPr>
                <w:rStyle w:val="Hyperlink"/>
              </w:rPr>
              <w:t>4.</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отбраната</w:t>
            </w:r>
            <w:r>
              <w:rPr>
                <w:webHidden/>
              </w:rPr>
              <w:tab/>
            </w:r>
            <w:r>
              <w:rPr>
                <w:webHidden/>
              </w:rPr>
              <w:fldChar w:fldCharType="begin"/>
            </w:r>
            <w:r>
              <w:rPr>
                <w:webHidden/>
              </w:rPr>
              <w:instrText xml:space="preserve"> PAGEREF _Toc523492626 \h </w:instrText>
            </w:r>
            <w:r>
              <w:rPr>
                <w:webHidden/>
              </w:rPr>
            </w:r>
            <w:r>
              <w:rPr>
                <w:webHidden/>
              </w:rPr>
              <w:fldChar w:fldCharType="separate"/>
            </w:r>
            <w:r>
              <w:rPr>
                <w:webHidden/>
              </w:rPr>
              <w:t>17</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7" w:history="1">
            <w:r w:rsidRPr="005935F0">
              <w:rPr>
                <w:rStyle w:val="Hyperlink"/>
              </w:rPr>
              <w:t>5.</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вътрешните работи</w:t>
            </w:r>
            <w:r>
              <w:rPr>
                <w:webHidden/>
              </w:rPr>
              <w:tab/>
            </w:r>
            <w:r>
              <w:rPr>
                <w:webHidden/>
              </w:rPr>
              <w:fldChar w:fldCharType="begin"/>
            </w:r>
            <w:r>
              <w:rPr>
                <w:webHidden/>
              </w:rPr>
              <w:instrText xml:space="preserve"> PAGEREF _Toc523492627 \h </w:instrText>
            </w:r>
            <w:r>
              <w:rPr>
                <w:webHidden/>
              </w:rPr>
            </w:r>
            <w:r>
              <w:rPr>
                <w:webHidden/>
              </w:rPr>
              <w:fldChar w:fldCharType="separate"/>
            </w:r>
            <w:r>
              <w:rPr>
                <w:webHidden/>
              </w:rPr>
              <w:t>23</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8" w:history="1">
            <w:r w:rsidRPr="005935F0">
              <w:rPr>
                <w:rStyle w:val="Hyperlink"/>
              </w:rPr>
              <w:t>6.</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правосъдието</w:t>
            </w:r>
            <w:r>
              <w:rPr>
                <w:webHidden/>
              </w:rPr>
              <w:tab/>
            </w:r>
            <w:r>
              <w:rPr>
                <w:webHidden/>
              </w:rPr>
              <w:fldChar w:fldCharType="begin"/>
            </w:r>
            <w:r>
              <w:rPr>
                <w:webHidden/>
              </w:rPr>
              <w:instrText xml:space="preserve"> PAGEREF _Toc523492628 \h </w:instrText>
            </w:r>
            <w:r>
              <w:rPr>
                <w:webHidden/>
              </w:rPr>
            </w:r>
            <w:r>
              <w:rPr>
                <w:webHidden/>
              </w:rPr>
              <w:fldChar w:fldCharType="separate"/>
            </w:r>
            <w:r>
              <w:rPr>
                <w:webHidden/>
              </w:rPr>
              <w:t>31</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29" w:history="1">
            <w:r w:rsidRPr="005935F0">
              <w:rPr>
                <w:rStyle w:val="Hyperlink"/>
              </w:rPr>
              <w:t>7.</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труда и социалната политика</w:t>
            </w:r>
            <w:r>
              <w:rPr>
                <w:webHidden/>
              </w:rPr>
              <w:tab/>
            </w:r>
            <w:r>
              <w:rPr>
                <w:webHidden/>
              </w:rPr>
              <w:fldChar w:fldCharType="begin"/>
            </w:r>
            <w:r>
              <w:rPr>
                <w:webHidden/>
              </w:rPr>
              <w:instrText xml:space="preserve"> PAGEREF _Toc523492629 \h </w:instrText>
            </w:r>
            <w:r>
              <w:rPr>
                <w:webHidden/>
              </w:rPr>
            </w:r>
            <w:r>
              <w:rPr>
                <w:webHidden/>
              </w:rPr>
              <w:fldChar w:fldCharType="separate"/>
            </w:r>
            <w:r>
              <w:rPr>
                <w:webHidden/>
              </w:rPr>
              <w:t>39</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0" w:history="1">
            <w:r w:rsidRPr="005935F0">
              <w:rPr>
                <w:rStyle w:val="Hyperlink"/>
              </w:rPr>
              <w:t>8.</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здравеопазването</w:t>
            </w:r>
            <w:r>
              <w:rPr>
                <w:webHidden/>
              </w:rPr>
              <w:tab/>
            </w:r>
            <w:r>
              <w:rPr>
                <w:webHidden/>
              </w:rPr>
              <w:fldChar w:fldCharType="begin"/>
            </w:r>
            <w:r>
              <w:rPr>
                <w:webHidden/>
              </w:rPr>
              <w:instrText xml:space="preserve"> PAGEREF _Toc523492630 \h </w:instrText>
            </w:r>
            <w:r>
              <w:rPr>
                <w:webHidden/>
              </w:rPr>
            </w:r>
            <w:r>
              <w:rPr>
                <w:webHidden/>
              </w:rPr>
              <w:fldChar w:fldCharType="separate"/>
            </w:r>
            <w:r>
              <w:rPr>
                <w:webHidden/>
              </w:rPr>
              <w:t>43</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1" w:history="1">
            <w:r w:rsidRPr="005935F0">
              <w:rPr>
                <w:rStyle w:val="Hyperlink"/>
              </w:rPr>
              <w:t>9.</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културата</w:t>
            </w:r>
            <w:r>
              <w:rPr>
                <w:webHidden/>
              </w:rPr>
              <w:tab/>
            </w:r>
            <w:r>
              <w:rPr>
                <w:webHidden/>
              </w:rPr>
              <w:fldChar w:fldCharType="begin"/>
            </w:r>
            <w:r>
              <w:rPr>
                <w:webHidden/>
              </w:rPr>
              <w:instrText xml:space="preserve"> PAGEREF _Toc523492631 \h </w:instrText>
            </w:r>
            <w:r>
              <w:rPr>
                <w:webHidden/>
              </w:rPr>
            </w:r>
            <w:r>
              <w:rPr>
                <w:webHidden/>
              </w:rPr>
              <w:fldChar w:fldCharType="separate"/>
            </w:r>
            <w:r>
              <w:rPr>
                <w:webHidden/>
              </w:rPr>
              <w:t>49</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2" w:history="1">
            <w:r w:rsidRPr="005935F0">
              <w:rPr>
                <w:rStyle w:val="Hyperlink"/>
              </w:rPr>
              <w:t>10.</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образованието и науката</w:t>
            </w:r>
            <w:r>
              <w:rPr>
                <w:webHidden/>
              </w:rPr>
              <w:tab/>
            </w:r>
            <w:r>
              <w:rPr>
                <w:webHidden/>
              </w:rPr>
              <w:fldChar w:fldCharType="begin"/>
            </w:r>
            <w:r>
              <w:rPr>
                <w:webHidden/>
              </w:rPr>
              <w:instrText xml:space="preserve"> PAGEREF _Toc523492632 \h </w:instrText>
            </w:r>
            <w:r>
              <w:rPr>
                <w:webHidden/>
              </w:rPr>
            </w:r>
            <w:r>
              <w:rPr>
                <w:webHidden/>
              </w:rPr>
              <w:fldChar w:fldCharType="separate"/>
            </w:r>
            <w:r>
              <w:rPr>
                <w:webHidden/>
              </w:rPr>
              <w:t>55</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3" w:history="1">
            <w:r w:rsidRPr="005935F0">
              <w:rPr>
                <w:rStyle w:val="Hyperlink"/>
              </w:rPr>
              <w:t>11.</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околната среда и водите</w:t>
            </w:r>
            <w:r>
              <w:rPr>
                <w:webHidden/>
              </w:rPr>
              <w:tab/>
            </w:r>
            <w:r>
              <w:rPr>
                <w:webHidden/>
              </w:rPr>
              <w:fldChar w:fldCharType="begin"/>
            </w:r>
            <w:r>
              <w:rPr>
                <w:webHidden/>
              </w:rPr>
              <w:instrText xml:space="preserve"> PAGEREF _Toc523492633 \h </w:instrText>
            </w:r>
            <w:r>
              <w:rPr>
                <w:webHidden/>
              </w:rPr>
            </w:r>
            <w:r>
              <w:rPr>
                <w:webHidden/>
              </w:rPr>
              <w:fldChar w:fldCharType="separate"/>
            </w:r>
            <w:r>
              <w:rPr>
                <w:webHidden/>
              </w:rPr>
              <w:t>58</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4" w:history="1">
            <w:r w:rsidRPr="005935F0">
              <w:rPr>
                <w:rStyle w:val="Hyperlink"/>
              </w:rPr>
              <w:t>12.</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енергетиката</w:t>
            </w:r>
            <w:r>
              <w:rPr>
                <w:webHidden/>
              </w:rPr>
              <w:tab/>
            </w:r>
            <w:r>
              <w:rPr>
                <w:webHidden/>
              </w:rPr>
              <w:fldChar w:fldCharType="begin"/>
            </w:r>
            <w:r>
              <w:rPr>
                <w:webHidden/>
              </w:rPr>
              <w:instrText xml:space="preserve"> PAGEREF _Toc523492634 \h </w:instrText>
            </w:r>
            <w:r>
              <w:rPr>
                <w:webHidden/>
              </w:rPr>
            </w:r>
            <w:r>
              <w:rPr>
                <w:webHidden/>
              </w:rPr>
              <w:fldChar w:fldCharType="separate"/>
            </w:r>
            <w:r>
              <w:rPr>
                <w:webHidden/>
              </w:rPr>
              <w:t>63</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5" w:history="1">
            <w:r w:rsidRPr="005935F0">
              <w:rPr>
                <w:rStyle w:val="Hyperlink"/>
              </w:rPr>
              <w:t>13.</w:t>
            </w:r>
            <w:r>
              <w:rPr>
                <w:rFonts w:asciiTheme="minorHAnsi" w:eastAsiaTheme="minorEastAsia" w:hAnsiTheme="minorHAnsi" w:cstheme="minorBidi"/>
                <w:b w:val="0"/>
                <w:bCs w:val="0"/>
                <w:caps w:val="0"/>
                <w:sz w:val="22"/>
                <w:szCs w:val="22"/>
                <w:lang w:eastAsia="bg-BG"/>
              </w:rPr>
              <w:tab/>
            </w:r>
            <w:r w:rsidRPr="005935F0">
              <w:rPr>
                <w:rStyle w:val="Hyperlink"/>
              </w:rPr>
              <w:t>Министерс</w:t>
            </w:r>
            <w:r w:rsidRPr="005935F0">
              <w:rPr>
                <w:rStyle w:val="Hyperlink"/>
              </w:rPr>
              <w:t>т</w:t>
            </w:r>
            <w:r w:rsidRPr="005935F0">
              <w:rPr>
                <w:rStyle w:val="Hyperlink"/>
              </w:rPr>
              <w:t>во на икономиката</w:t>
            </w:r>
            <w:r>
              <w:rPr>
                <w:webHidden/>
              </w:rPr>
              <w:tab/>
            </w:r>
            <w:r>
              <w:rPr>
                <w:webHidden/>
              </w:rPr>
              <w:fldChar w:fldCharType="begin"/>
            </w:r>
            <w:r>
              <w:rPr>
                <w:webHidden/>
              </w:rPr>
              <w:instrText xml:space="preserve"> PAGEREF _Toc523492635 \h </w:instrText>
            </w:r>
            <w:r>
              <w:rPr>
                <w:webHidden/>
              </w:rPr>
            </w:r>
            <w:r>
              <w:rPr>
                <w:webHidden/>
              </w:rPr>
              <w:fldChar w:fldCharType="separate"/>
            </w:r>
            <w:r>
              <w:rPr>
                <w:webHidden/>
              </w:rPr>
              <w:t>70</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6" w:history="1">
            <w:r w:rsidRPr="005935F0">
              <w:rPr>
                <w:rStyle w:val="Hyperlink"/>
              </w:rPr>
              <w:t>14.</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туризма</w:t>
            </w:r>
            <w:r>
              <w:rPr>
                <w:webHidden/>
              </w:rPr>
              <w:tab/>
            </w:r>
            <w:r>
              <w:rPr>
                <w:webHidden/>
              </w:rPr>
              <w:fldChar w:fldCharType="begin"/>
            </w:r>
            <w:r>
              <w:rPr>
                <w:webHidden/>
              </w:rPr>
              <w:instrText xml:space="preserve"> PAGEREF _Toc523492636 \h </w:instrText>
            </w:r>
            <w:r>
              <w:rPr>
                <w:webHidden/>
              </w:rPr>
            </w:r>
            <w:r>
              <w:rPr>
                <w:webHidden/>
              </w:rPr>
              <w:fldChar w:fldCharType="separate"/>
            </w:r>
            <w:r>
              <w:rPr>
                <w:webHidden/>
              </w:rPr>
              <w:t>76</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7" w:history="1">
            <w:r w:rsidRPr="005935F0">
              <w:rPr>
                <w:rStyle w:val="Hyperlink"/>
              </w:rPr>
              <w:t>15.</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земеделието, храните и горите</w:t>
            </w:r>
            <w:r>
              <w:rPr>
                <w:webHidden/>
              </w:rPr>
              <w:tab/>
            </w:r>
            <w:r>
              <w:rPr>
                <w:webHidden/>
              </w:rPr>
              <w:fldChar w:fldCharType="begin"/>
            </w:r>
            <w:r>
              <w:rPr>
                <w:webHidden/>
              </w:rPr>
              <w:instrText xml:space="preserve"> PAGEREF _Toc523492637 \h </w:instrText>
            </w:r>
            <w:r>
              <w:rPr>
                <w:webHidden/>
              </w:rPr>
            </w:r>
            <w:r>
              <w:rPr>
                <w:webHidden/>
              </w:rPr>
              <w:fldChar w:fldCharType="separate"/>
            </w:r>
            <w:r>
              <w:rPr>
                <w:webHidden/>
              </w:rPr>
              <w:t>79</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8" w:history="1">
            <w:r w:rsidRPr="005935F0">
              <w:rPr>
                <w:rStyle w:val="Hyperlink"/>
              </w:rPr>
              <w:t>16.</w:t>
            </w:r>
            <w:r>
              <w:rPr>
                <w:rFonts w:asciiTheme="minorHAnsi" w:eastAsiaTheme="minorEastAsia" w:hAnsiTheme="minorHAnsi" w:cstheme="minorBidi"/>
                <w:b w:val="0"/>
                <w:bCs w:val="0"/>
                <w:caps w:val="0"/>
                <w:sz w:val="22"/>
                <w:szCs w:val="22"/>
                <w:lang w:eastAsia="bg-BG"/>
              </w:rPr>
              <w:tab/>
            </w:r>
            <w:r w:rsidRPr="005935F0">
              <w:rPr>
                <w:rStyle w:val="Hyperlink"/>
              </w:rPr>
              <w:t>Министерството на регионалното развитие и  благоустройството</w:t>
            </w:r>
            <w:r>
              <w:rPr>
                <w:webHidden/>
              </w:rPr>
              <w:tab/>
            </w:r>
            <w:r>
              <w:rPr>
                <w:webHidden/>
              </w:rPr>
              <w:fldChar w:fldCharType="begin"/>
            </w:r>
            <w:r>
              <w:rPr>
                <w:webHidden/>
              </w:rPr>
              <w:instrText xml:space="preserve"> PAGEREF _Toc523492638 \h </w:instrText>
            </w:r>
            <w:r>
              <w:rPr>
                <w:webHidden/>
              </w:rPr>
            </w:r>
            <w:r>
              <w:rPr>
                <w:webHidden/>
              </w:rPr>
              <w:fldChar w:fldCharType="separate"/>
            </w:r>
            <w:r>
              <w:rPr>
                <w:webHidden/>
              </w:rPr>
              <w:t>86</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39" w:history="1">
            <w:r w:rsidRPr="005935F0">
              <w:rPr>
                <w:rStyle w:val="Hyperlink"/>
              </w:rPr>
              <w:t>17.</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транспорта, информационните технологии и съобщенията</w:t>
            </w:r>
            <w:r>
              <w:rPr>
                <w:webHidden/>
              </w:rPr>
              <w:tab/>
            </w:r>
            <w:r>
              <w:rPr>
                <w:webHidden/>
              </w:rPr>
              <w:fldChar w:fldCharType="begin"/>
            </w:r>
            <w:r>
              <w:rPr>
                <w:webHidden/>
              </w:rPr>
              <w:instrText xml:space="preserve"> PAGEREF _Toc523492639 \h </w:instrText>
            </w:r>
            <w:r>
              <w:rPr>
                <w:webHidden/>
              </w:rPr>
            </w:r>
            <w:r>
              <w:rPr>
                <w:webHidden/>
              </w:rPr>
              <w:fldChar w:fldCharType="separate"/>
            </w:r>
            <w:r>
              <w:rPr>
                <w:webHidden/>
              </w:rPr>
              <w:t>93</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40" w:history="1">
            <w:r w:rsidRPr="005935F0">
              <w:rPr>
                <w:rStyle w:val="Hyperlink"/>
              </w:rPr>
              <w:t>18.</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на младежта и спорта</w:t>
            </w:r>
            <w:r>
              <w:rPr>
                <w:webHidden/>
              </w:rPr>
              <w:tab/>
            </w:r>
            <w:r>
              <w:rPr>
                <w:webHidden/>
              </w:rPr>
              <w:fldChar w:fldCharType="begin"/>
            </w:r>
            <w:r>
              <w:rPr>
                <w:webHidden/>
              </w:rPr>
              <w:instrText xml:space="preserve"> PAGEREF _Toc523492640 \h </w:instrText>
            </w:r>
            <w:r>
              <w:rPr>
                <w:webHidden/>
              </w:rPr>
            </w:r>
            <w:r>
              <w:rPr>
                <w:webHidden/>
              </w:rPr>
              <w:fldChar w:fldCharType="separate"/>
            </w:r>
            <w:r>
              <w:rPr>
                <w:webHidden/>
              </w:rPr>
              <w:t>97</w:t>
            </w:r>
            <w:r>
              <w:rPr>
                <w:webHidden/>
              </w:rPr>
              <w:fldChar w:fldCharType="end"/>
            </w:r>
          </w:hyperlink>
        </w:p>
        <w:p w:rsidR="00300FE8" w:rsidRDefault="00300FE8">
          <w:pPr>
            <w:pStyle w:val="TOC1"/>
            <w:rPr>
              <w:rFonts w:asciiTheme="minorHAnsi" w:eastAsiaTheme="minorEastAsia" w:hAnsiTheme="minorHAnsi" w:cstheme="minorBidi"/>
              <w:b w:val="0"/>
              <w:bCs w:val="0"/>
              <w:caps w:val="0"/>
              <w:sz w:val="22"/>
              <w:szCs w:val="22"/>
              <w:lang w:eastAsia="bg-BG"/>
            </w:rPr>
          </w:pPr>
          <w:hyperlink w:anchor="_Toc523492641" w:history="1">
            <w:r w:rsidRPr="005935F0">
              <w:rPr>
                <w:rStyle w:val="Hyperlink"/>
              </w:rPr>
              <w:t>19.</w:t>
            </w:r>
            <w:r>
              <w:rPr>
                <w:rFonts w:asciiTheme="minorHAnsi" w:eastAsiaTheme="minorEastAsia" w:hAnsiTheme="minorHAnsi" w:cstheme="minorBidi"/>
                <w:b w:val="0"/>
                <w:bCs w:val="0"/>
                <w:caps w:val="0"/>
                <w:sz w:val="22"/>
                <w:szCs w:val="22"/>
                <w:lang w:eastAsia="bg-BG"/>
              </w:rPr>
              <w:tab/>
            </w:r>
            <w:r w:rsidRPr="005935F0">
              <w:rPr>
                <w:rStyle w:val="Hyperlink"/>
              </w:rPr>
              <w:t>Министерство за Българското председателство на Съвета на Европейския съюз 2018</w:t>
            </w:r>
            <w:r>
              <w:rPr>
                <w:webHidden/>
              </w:rPr>
              <w:tab/>
            </w:r>
            <w:r>
              <w:rPr>
                <w:webHidden/>
              </w:rPr>
              <w:fldChar w:fldCharType="begin"/>
            </w:r>
            <w:r>
              <w:rPr>
                <w:webHidden/>
              </w:rPr>
              <w:instrText xml:space="preserve"> PAGEREF _Toc523492641 \h </w:instrText>
            </w:r>
            <w:r>
              <w:rPr>
                <w:webHidden/>
              </w:rPr>
            </w:r>
            <w:r>
              <w:rPr>
                <w:webHidden/>
              </w:rPr>
              <w:fldChar w:fldCharType="separate"/>
            </w:r>
            <w:r>
              <w:rPr>
                <w:webHidden/>
              </w:rPr>
              <w:t>103</w:t>
            </w:r>
            <w:r>
              <w:rPr>
                <w:webHidden/>
              </w:rPr>
              <w:fldChar w:fldCharType="end"/>
            </w:r>
          </w:hyperlink>
        </w:p>
        <w:p w:rsidR="009A75DA" w:rsidRPr="003029A9" w:rsidRDefault="009A75DA" w:rsidP="003029A9">
          <w:pPr>
            <w:pStyle w:val="TOC1"/>
          </w:pPr>
          <w:r w:rsidRPr="003029A9">
            <w:rPr>
              <w:rStyle w:val="Hyperlink"/>
              <w:caps w:val="0"/>
              <w:color w:val="auto"/>
            </w:rPr>
            <w:fldChar w:fldCharType="end"/>
          </w:r>
        </w:p>
      </w:sdtContent>
    </w:sdt>
    <w:p w:rsidR="009001A6" w:rsidRPr="001B5824" w:rsidRDefault="009001A6" w:rsidP="001B5824">
      <w:pPr>
        <w:keepNext/>
        <w:ind w:left="357" w:firstLine="0"/>
        <w:outlineLvl w:val="0"/>
        <w:rPr>
          <w:rFonts w:eastAsia="Batang"/>
          <w:b/>
          <w:bCs/>
          <w:caps/>
          <w:lang w:eastAsia="ko-KR"/>
        </w:rPr>
      </w:pPr>
    </w:p>
    <w:p w:rsidR="008D5610" w:rsidRDefault="008D5610">
      <w:pPr>
        <w:spacing w:before="0" w:after="200" w:line="276" w:lineRule="auto"/>
        <w:ind w:firstLine="0"/>
        <w:rPr>
          <w:rFonts w:eastAsia="Batang"/>
          <w:b/>
          <w:bCs/>
          <w:color w:val="000000"/>
          <w:sz w:val="24"/>
          <w:szCs w:val="24"/>
          <w:lang w:eastAsia="ja-JP"/>
        </w:rPr>
      </w:pPr>
      <w:r>
        <w:rPr>
          <w:rFonts w:eastAsia="Batang"/>
          <w:b/>
          <w:bCs/>
          <w:color w:val="000000"/>
          <w:sz w:val="24"/>
          <w:szCs w:val="24"/>
          <w:lang w:eastAsia="ja-JP"/>
        </w:rPr>
        <w:br w:type="page"/>
      </w:r>
    </w:p>
    <w:p w:rsidR="00661A75" w:rsidRPr="00FD4AED" w:rsidRDefault="00661A75" w:rsidP="007E4882">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1" w:name="_Toc523492623"/>
      <w:r w:rsidRPr="00FD4AED">
        <w:rPr>
          <w:rFonts w:ascii="Times New Roman" w:eastAsia="Batang" w:hAnsi="Times New Roman" w:cs="Times New Roman"/>
          <w:b/>
          <w:bCs/>
          <w:caps/>
          <w:lang w:val="bg-BG" w:eastAsia="ko-KR"/>
        </w:rPr>
        <w:lastRenderedPageBreak/>
        <w:t>М</w:t>
      </w:r>
      <w:r w:rsidR="00056DFA" w:rsidRPr="00FD4AED">
        <w:rPr>
          <w:rFonts w:ascii="Times New Roman" w:eastAsia="Batang" w:hAnsi="Times New Roman" w:cs="Times New Roman"/>
          <w:b/>
          <w:bCs/>
          <w:caps/>
          <w:lang w:val="bg-BG" w:eastAsia="ko-KR"/>
        </w:rPr>
        <w:t>инистерски съвет</w:t>
      </w:r>
      <w:bookmarkEnd w:id="1"/>
    </w:p>
    <w:p w:rsidR="00661A75" w:rsidRPr="000E70B9" w:rsidRDefault="007E4882" w:rsidP="00056DFA">
      <w:pPr>
        <w:spacing w:before="0" w:after="0"/>
        <w:jc w:val="both"/>
        <w:rPr>
          <w:b/>
          <w:bCs/>
          <w:iCs/>
          <w:sz w:val="24"/>
          <w:szCs w:val="24"/>
        </w:rPr>
      </w:pPr>
      <w:r w:rsidRPr="000E70B9">
        <w:rPr>
          <w:b/>
          <w:bCs/>
          <w:iCs/>
          <w:sz w:val="24"/>
          <w:szCs w:val="24"/>
        </w:rPr>
        <w:t xml:space="preserve">Област </w:t>
      </w:r>
      <w:r w:rsidR="00661A75" w:rsidRPr="000E70B9">
        <w:rPr>
          <w:b/>
          <w:bCs/>
          <w:iCs/>
          <w:sz w:val="24"/>
          <w:szCs w:val="24"/>
        </w:rPr>
        <w:t>“Осигуряване дейността и организацията на работата на Министерския съвет” /МС/.</w:t>
      </w:r>
    </w:p>
    <w:p w:rsidR="00661A75" w:rsidRPr="000E70B9" w:rsidRDefault="00661A75" w:rsidP="00056DFA">
      <w:pPr>
        <w:spacing w:before="0" w:after="0"/>
        <w:jc w:val="both"/>
        <w:rPr>
          <w:bCs/>
          <w:iCs/>
          <w:sz w:val="24"/>
          <w:szCs w:val="24"/>
        </w:rPr>
      </w:pPr>
      <w:r w:rsidRPr="000E70B9">
        <w:rPr>
          <w:bCs/>
          <w:iCs/>
          <w:sz w:val="24"/>
          <w:szCs w:val="24"/>
        </w:rPr>
        <w:t>В тази област са планирани и отчетени дейностите на структурните звена в администрацията на МС, свързани с осигуряване на дейността на МС и необходимите за това финансови, материални и човешки ресурси.</w:t>
      </w:r>
    </w:p>
    <w:p w:rsidR="00661A75" w:rsidRPr="000E70B9" w:rsidRDefault="00661A75" w:rsidP="00056DFA">
      <w:pPr>
        <w:spacing w:before="0" w:after="0"/>
        <w:jc w:val="both"/>
        <w:rPr>
          <w:bCs/>
          <w:iCs/>
          <w:sz w:val="24"/>
          <w:szCs w:val="24"/>
        </w:rPr>
      </w:pPr>
      <w:r w:rsidRPr="000E70B9">
        <w:rPr>
          <w:bCs/>
          <w:iCs/>
          <w:sz w:val="24"/>
          <w:szCs w:val="24"/>
        </w:rPr>
        <w:t>Отчетът включва изпълнението на бюджетна програма “Министерски съвет и организация на дейността му” и бюджетна програма “Координация и мониторинг на хоризонтални политики”:</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“Министерски съвет и организация на дейността му”.</w:t>
      </w:r>
    </w:p>
    <w:p w:rsidR="00661A75" w:rsidRPr="000E70B9" w:rsidRDefault="00661A75" w:rsidP="00056DFA">
      <w:pPr>
        <w:spacing w:before="0" w:after="0"/>
        <w:jc w:val="both"/>
        <w:rPr>
          <w:bCs/>
          <w:iCs/>
          <w:sz w:val="24"/>
          <w:szCs w:val="24"/>
        </w:rPr>
      </w:pPr>
      <w:r w:rsidRPr="000E70B9">
        <w:rPr>
          <w:bCs/>
          <w:iCs/>
          <w:sz w:val="24"/>
          <w:szCs w:val="24"/>
        </w:rPr>
        <w:t>Основната цел на програмата е да осигури организацията на дейността на Министерския съвет в съответствие с приоритетите на правителството.</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През годината са изготвени правни становища по проектите на актове на МС</w:t>
      </w:r>
    </w:p>
    <w:p w:rsidR="00661A75" w:rsidRPr="000E70B9" w:rsidRDefault="00661A75" w:rsidP="00056DFA">
      <w:pPr>
        <w:spacing w:before="0" w:after="0"/>
        <w:jc w:val="both"/>
        <w:rPr>
          <w:bCs/>
          <w:iCs/>
          <w:sz w:val="24"/>
          <w:szCs w:val="24"/>
        </w:rPr>
      </w:pPr>
      <w:r w:rsidRPr="000E70B9">
        <w:rPr>
          <w:bCs/>
          <w:iCs/>
          <w:sz w:val="24"/>
          <w:szCs w:val="24"/>
        </w:rPr>
        <w:t>и на министър-председателя. С осъществяването на тази дейност е постигнат резултат осигуряване на законосъобразност в работата на МС и на министър-председателя.</w:t>
      </w:r>
    </w:p>
    <w:p w:rsidR="00661A75" w:rsidRPr="000E70B9" w:rsidRDefault="00661A75" w:rsidP="00056DFA">
      <w:pPr>
        <w:spacing w:before="0" w:after="0"/>
        <w:jc w:val="both"/>
        <w:rPr>
          <w:bCs/>
          <w:iCs/>
          <w:sz w:val="24"/>
          <w:szCs w:val="24"/>
        </w:rPr>
      </w:pPr>
      <w:r w:rsidRPr="000E70B9">
        <w:rPr>
          <w:bCs/>
          <w:iCs/>
          <w:sz w:val="24"/>
          <w:szCs w:val="24"/>
        </w:rPr>
        <w:t>Реализирани вътрешно и външнополитически мероприятия, заложени в</w:t>
      </w:r>
    </w:p>
    <w:p w:rsidR="00661A75" w:rsidRPr="000E70B9" w:rsidRDefault="00661A75" w:rsidP="00056DFA">
      <w:pPr>
        <w:spacing w:before="0" w:after="0"/>
        <w:jc w:val="both"/>
        <w:rPr>
          <w:bCs/>
          <w:iCs/>
          <w:sz w:val="24"/>
          <w:szCs w:val="24"/>
        </w:rPr>
      </w:pPr>
      <w:r w:rsidRPr="000E70B9">
        <w:rPr>
          <w:bCs/>
          <w:iCs/>
          <w:sz w:val="24"/>
          <w:szCs w:val="24"/>
        </w:rPr>
        <w:t>индивидуалната програма на министър-председателя и заместник министър-председателите.</w:t>
      </w:r>
    </w:p>
    <w:p w:rsidR="00661A75" w:rsidRPr="000E70B9" w:rsidRDefault="00661A75" w:rsidP="00056DFA">
      <w:pPr>
        <w:spacing w:before="0" w:after="0"/>
        <w:jc w:val="both"/>
        <w:rPr>
          <w:bCs/>
          <w:iCs/>
          <w:sz w:val="24"/>
          <w:szCs w:val="24"/>
        </w:rPr>
      </w:pPr>
      <w:r w:rsidRPr="000E70B9">
        <w:rPr>
          <w:bCs/>
          <w:iCs/>
          <w:sz w:val="24"/>
          <w:szCs w:val="24"/>
        </w:rPr>
        <w:t>Постигнат добър синхрон в работата с останалите институции и служби отговорни за осъществяването на вътрешната и външна политика на страната.</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“Координация и мониторинг на хоризонтални политики”.</w:t>
      </w:r>
    </w:p>
    <w:p w:rsidR="00661A75" w:rsidRPr="000E70B9" w:rsidRDefault="00661A75" w:rsidP="00056DFA">
      <w:pPr>
        <w:spacing w:before="0" w:after="0"/>
        <w:jc w:val="both"/>
        <w:rPr>
          <w:bCs/>
          <w:iCs/>
          <w:sz w:val="24"/>
          <w:szCs w:val="24"/>
        </w:rPr>
      </w:pPr>
      <w:r w:rsidRPr="000E70B9">
        <w:rPr>
          <w:bCs/>
          <w:iCs/>
          <w:sz w:val="24"/>
          <w:szCs w:val="24"/>
        </w:rPr>
        <w:t>Основната цел на програмата е да ръководи и осъществява мониторинг на изпълнението на ключови хоризонтални политики. Да гарантира изпълнението на политиката на правителството, да подобрява взаимодействието и координацията между администрациите и улеснява процеса на вземане на колективни решения от МС.</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Подпомагане на процеса за оптимизиране на функционалната компетентност на</w:t>
      </w:r>
    </w:p>
    <w:p w:rsidR="00661A75" w:rsidRPr="000E70B9" w:rsidRDefault="00661A75" w:rsidP="00056DFA">
      <w:pPr>
        <w:spacing w:before="0" w:after="0"/>
        <w:jc w:val="both"/>
        <w:rPr>
          <w:bCs/>
          <w:iCs/>
          <w:sz w:val="24"/>
          <w:szCs w:val="24"/>
        </w:rPr>
      </w:pPr>
      <w:r w:rsidRPr="000E70B9">
        <w:rPr>
          <w:bCs/>
          <w:iCs/>
          <w:sz w:val="24"/>
          <w:szCs w:val="24"/>
        </w:rPr>
        <w:t>областните управители и подобряване на координацията и диалога между тях и централната и местната власт и неправителствения сектор.Осигуряване на процеса на организационно-техническа подготовка и произвеждане на избори за държавни и местни органи на власт.</w:t>
      </w:r>
    </w:p>
    <w:p w:rsidR="00661A75" w:rsidRPr="000E70B9" w:rsidRDefault="00661A75" w:rsidP="00056DFA">
      <w:pPr>
        <w:spacing w:before="0" w:after="0"/>
        <w:jc w:val="both"/>
        <w:rPr>
          <w:bCs/>
          <w:iCs/>
          <w:sz w:val="24"/>
          <w:szCs w:val="24"/>
        </w:rPr>
      </w:pPr>
      <w:r w:rsidRPr="000E70B9">
        <w:rPr>
          <w:bCs/>
          <w:iCs/>
          <w:sz w:val="24"/>
          <w:szCs w:val="24"/>
        </w:rPr>
        <w:tab/>
        <w:t>Изготвени са становища, както и участия в работни групи и комисии, при разработване и обсъждане на нормативни актове, свързани с изборното законодателство, вкл. и за транспонирането на европейските директиви в тази област.</w:t>
      </w:r>
    </w:p>
    <w:p w:rsidR="00661A75" w:rsidRPr="000E70B9" w:rsidRDefault="00661A75" w:rsidP="00056DFA">
      <w:pPr>
        <w:spacing w:before="0" w:after="0"/>
        <w:jc w:val="both"/>
        <w:rPr>
          <w:bCs/>
          <w:iCs/>
          <w:sz w:val="24"/>
          <w:szCs w:val="24"/>
        </w:rPr>
      </w:pPr>
      <w:r w:rsidRPr="000E70B9">
        <w:rPr>
          <w:bCs/>
          <w:iCs/>
          <w:sz w:val="24"/>
          <w:szCs w:val="24"/>
        </w:rPr>
        <w:tab/>
        <w:t>Извършен е преглед и актуализация на въпросите, включени в обхвата на доклад за състоянието на администрацията за 2017 г. – обновени са формите в електронната система и е създадена организация за набиране на информацията.</w:t>
      </w:r>
    </w:p>
    <w:p w:rsidR="00661A75" w:rsidRPr="000E70B9" w:rsidRDefault="00661A75" w:rsidP="00056DFA">
      <w:pPr>
        <w:spacing w:before="0" w:after="0"/>
        <w:jc w:val="both"/>
        <w:rPr>
          <w:bCs/>
          <w:iCs/>
          <w:sz w:val="24"/>
          <w:szCs w:val="24"/>
        </w:rPr>
      </w:pPr>
      <w:r w:rsidRPr="000E70B9">
        <w:rPr>
          <w:bCs/>
          <w:iCs/>
          <w:sz w:val="24"/>
          <w:szCs w:val="24"/>
        </w:rPr>
        <w:t>Подобряване на експертизата и координацията при обсъждане на проекти на</w:t>
      </w:r>
    </w:p>
    <w:p w:rsidR="00661A75" w:rsidRPr="000E70B9" w:rsidRDefault="00661A75" w:rsidP="00056DFA">
      <w:pPr>
        <w:spacing w:before="0" w:after="0"/>
        <w:jc w:val="both"/>
        <w:rPr>
          <w:bCs/>
          <w:iCs/>
          <w:sz w:val="24"/>
          <w:szCs w:val="24"/>
        </w:rPr>
      </w:pPr>
      <w:r w:rsidRPr="000E70B9">
        <w:rPr>
          <w:bCs/>
          <w:iCs/>
          <w:sz w:val="24"/>
          <w:szCs w:val="24"/>
        </w:rPr>
        <w:t>стратегически документи и нормативни актове относно тяхната законосъобразност и икономическа целесъобразност.</w:t>
      </w:r>
    </w:p>
    <w:p w:rsidR="00661A75" w:rsidRPr="000E70B9" w:rsidRDefault="00661A75" w:rsidP="00056DFA">
      <w:pPr>
        <w:spacing w:before="0" w:after="0"/>
        <w:jc w:val="both"/>
        <w:rPr>
          <w:b/>
          <w:bCs/>
          <w:iCs/>
          <w:sz w:val="24"/>
          <w:szCs w:val="24"/>
        </w:rPr>
      </w:pPr>
      <w:r w:rsidRPr="000E70B9">
        <w:rPr>
          <w:bCs/>
          <w:iCs/>
          <w:sz w:val="24"/>
          <w:szCs w:val="24"/>
        </w:rPr>
        <w:tab/>
      </w:r>
      <w:r w:rsidRPr="000E70B9">
        <w:rPr>
          <w:b/>
          <w:bCs/>
          <w:iCs/>
          <w:sz w:val="24"/>
          <w:szCs w:val="24"/>
        </w:rPr>
        <w:t>Бюджетна програма “Координация при управление на средствата от ЕС“.</w:t>
      </w:r>
    </w:p>
    <w:p w:rsidR="00661A75" w:rsidRPr="000E70B9" w:rsidRDefault="00661A75" w:rsidP="00056DFA">
      <w:pPr>
        <w:spacing w:before="0" w:after="0"/>
        <w:jc w:val="both"/>
        <w:rPr>
          <w:bCs/>
          <w:iCs/>
          <w:sz w:val="24"/>
          <w:szCs w:val="24"/>
        </w:rPr>
      </w:pPr>
      <w:r w:rsidRPr="000E70B9">
        <w:rPr>
          <w:b/>
          <w:bCs/>
          <w:iCs/>
          <w:sz w:val="24"/>
          <w:szCs w:val="24"/>
        </w:rPr>
        <w:tab/>
      </w:r>
      <w:r w:rsidRPr="000E70B9">
        <w:rPr>
          <w:bCs/>
          <w:iCs/>
          <w:sz w:val="24"/>
          <w:szCs w:val="24"/>
        </w:rPr>
        <w:t>По отношение на част от показателите за изпълнение е констатирано преизпълнение на заложените цели, като същите са в пряка връзка от стартирането на програмите за период 2014-2020 г., изграждането на системите за управление и контрол, обявяването на процедури по програмите, инициативността на бенефициентите, която значително надвишава предварителните очаквания, законодателните инициативи на ЕС.</w:t>
      </w:r>
    </w:p>
    <w:p w:rsidR="00661A75" w:rsidRPr="000E70B9" w:rsidRDefault="00661A75" w:rsidP="00056DFA">
      <w:pPr>
        <w:spacing w:before="0" w:after="0"/>
        <w:jc w:val="both"/>
        <w:rPr>
          <w:bCs/>
          <w:iCs/>
          <w:sz w:val="24"/>
          <w:szCs w:val="24"/>
        </w:rPr>
      </w:pPr>
      <w:r w:rsidRPr="000E70B9">
        <w:rPr>
          <w:bCs/>
          <w:iCs/>
          <w:sz w:val="24"/>
          <w:szCs w:val="24"/>
        </w:rPr>
        <w:lastRenderedPageBreak/>
        <w:t xml:space="preserve">Изпълнените дейности по програмата и постигнатите целеви стойности за отчетния период демонстрират наличието на ефективна координация на изпълнението, оценката и наблюдението на Споразумението за партньорство за периода 2014-2020 г. и програмите в съответствие с целите на </w:t>
      </w:r>
      <w:proofErr w:type="spellStart"/>
      <w:r w:rsidRPr="000E70B9">
        <w:rPr>
          <w:bCs/>
          <w:iCs/>
          <w:sz w:val="24"/>
          <w:szCs w:val="24"/>
        </w:rPr>
        <w:t>Кохезионната</w:t>
      </w:r>
      <w:proofErr w:type="spellEnd"/>
      <w:r w:rsidRPr="000E70B9">
        <w:rPr>
          <w:bCs/>
          <w:iCs/>
          <w:sz w:val="24"/>
          <w:szCs w:val="24"/>
        </w:rPr>
        <w:t xml:space="preserve"> политика, Общата селскостопанска политика и Общата политика по рибарство и изискванията на националното законодателство и приложимото законодателство на ЕС.</w:t>
      </w:r>
    </w:p>
    <w:p w:rsidR="00661A75" w:rsidRPr="000E70B9" w:rsidRDefault="00661A75" w:rsidP="00056DFA">
      <w:pPr>
        <w:spacing w:before="0" w:after="0"/>
        <w:jc w:val="both"/>
        <w:rPr>
          <w:bCs/>
          <w:iCs/>
          <w:sz w:val="24"/>
          <w:szCs w:val="24"/>
        </w:rPr>
      </w:pPr>
      <w:r w:rsidRPr="000E70B9">
        <w:rPr>
          <w:bCs/>
          <w:iCs/>
          <w:sz w:val="24"/>
          <w:szCs w:val="24"/>
        </w:rPr>
        <w:t xml:space="preserve">Ефективната координация се постига чрез осигуряване на ефективна нормативна уредба и методическа помощ при изпълнението на програмите, провеждане на регулярни срещи и предприемане на необходимите мерки за засилване капацитета на бенефициентите, и чрез популяризиране на ефектите от изпълнението на </w:t>
      </w:r>
      <w:proofErr w:type="spellStart"/>
      <w:r w:rsidRPr="000E70B9">
        <w:rPr>
          <w:bCs/>
          <w:iCs/>
          <w:sz w:val="24"/>
          <w:szCs w:val="24"/>
        </w:rPr>
        <w:t>Кохезионната</w:t>
      </w:r>
      <w:proofErr w:type="spellEnd"/>
      <w:r w:rsidRPr="000E70B9">
        <w:rPr>
          <w:bCs/>
          <w:iCs/>
          <w:sz w:val="24"/>
          <w:szCs w:val="24"/>
        </w:rPr>
        <w:t xml:space="preserve"> политика в България. Осигурено е активно сътрудничество с всички компетентни ведомства и представителите на различните партньори и ефективна комуникация и сътрудничество с ЕК.</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“Осъществяване на държавната политика на областно ниво”.</w:t>
      </w:r>
    </w:p>
    <w:p w:rsidR="00661A75" w:rsidRPr="000E70B9" w:rsidRDefault="00661A75" w:rsidP="00056DFA">
      <w:pPr>
        <w:spacing w:before="0" w:after="0"/>
        <w:jc w:val="both"/>
        <w:rPr>
          <w:bCs/>
          <w:iCs/>
          <w:sz w:val="24"/>
          <w:szCs w:val="24"/>
        </w:rPr>
      </w:pPr>
      <w:r w:rsidRPr="000E70B9">
        <w:rPr>
          <w:bCs/>
          <w:iCs/>
          <w:sz w:val="24"/>
          <w:szCs w:val="24"/>
        </w:rPr>
        <w:t>Основната цел на програмата е постигане на по-добро управление на областите при провеждане на държавната политика, защитата на националните интереси, на законността и на обществения ред и осъществяване на административен контрол.</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Осъществен е непрекъснат административен контрол по изпълнението на административните актове и спазването на законността на територията на областите. Постигната е координация в работата с органите на местно самоуправление и местна администрация.</w:t>
      </w:r>
    </w:p>
    <w:p w:rsidR="00661A75" w:rsidRPr="000E70B9" w:rsidRDefault="00661A75" w:rsidP="00056DFA">
      <w:pPr>
        <w:spacing w:before="0" w:after="0"/>
        <w:jc w:val="both"/>
        <w:rPr>
          <w:bCs/>
          <w:iCs/>
          <w:sz w:val="24"/>
          <w:szCs w:val="24"/>
        </w:rPr>
      </w:pPr>
      <w:r w:rsidRPr="000E70B9">
        <w:rPr>
          <w:bCs/>
          <w:iCs/>
          <w:sz w:val="24"/>
          <w:szCs w:val="24"/>
        </w:rPr>
        <w:t xml:space="preserve">Конкретно, отчетен е напредък в изпълнение на дейностите по изработването на земеделски планове по § 4 от Закона за стопанисването и ползването на земеделските земи, организацията на отбранително-мобилизационната подготовка на населението, защитата му при бедствия и аварии и спазване на обществения ред. Увеличени са капацитета и възможностите на областните администрации за разработване и изпълнение на проекти по програми. Повишена е ефективността при управление на държавната собственост. </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“Вероизповедания”.</w:t>
      </w:r>
    </w:p>
    <w:p w:rsidR="00661A75" w:rsidRPr="000E70B9" w:rsidRDefault="00661A75" w:rsidP="00056DFA">
      <w:pPr>
        <w:spacing w:before="0" w:after="0"/>
        <w:jc w:val="both"/>
        <w:rPr>
          <w:bCs/>
          <w:iCs/>
          <w:sz w:val="24"/>
          <w:szCs w:val="24"/>
        </w:rPr>
      </w:pPr>
      <w:r w:rsidRPr="000E70B9">
        <w:rPr>
          <w:bCs/>
          <w:iCs/>
          <w:sz w:val="24"/>
          <w:szCs w:val="24"/>
        </w:rPr>
        <w:t>Основната цел на програмата е координиране на отношенията между изпълнителната власт и вероизповеданията.</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Дирекция „Вероизповедания“ е осъществила първоначални проверки на място, за да установи нуждите от субсидии за различните вероизповедания. Въз основа на това са направени предложения пред МС по проекта на държавен бюджет за 2018 г. за размера на държавната субсидия за подпомагане на вероизповеданията. Осъществен е необходимия контрол /на случаен принцип/ или по сигнал на място по усвояването на субсидията. Проверени са сигнали и жалби за нарушаване на религиозните права и свободи и извършването на незаконосъобразна религиозна дейност.</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„Национален архивен фонд“/НАФ/.</w:t>
      </w:r>
    </w:p>
    <w:p w:rsidR="00661A75" w:rsidRPr="000E70B9" w:rsidRDefault="00661A75" w:rsidP="00056DFA">
      <w:pPr>
        <w:spacing w:before="0" w:after="0"/>
        <w:jc w:val="both"/>
        <w:rPr>
          <w:b/>
          <w:bCs/>
          <w:iCs/>
          <w:sz w:val="24"/>
          <w:szCs w:val="24"/>
        </w:rPr>
      </w:pPr>
      <w:r w:rsidRPr="000E70B9">
        <w:rPr>
          <w:bCs/>
          <w:iCs/>
          <w:sz w:val="24"/>
          <w:szCs w:val="24"/>
        </w:rPr>
        <w:t xml:space="preserve">Основната цел на програмата е съхранение, опазване, обогатяване и популяризиране на НАФ. Той е съвкупност от ценни документи, които са създадени от дейността на </w:t>
      </w:r>
      <w:proofErr w:type="spellStart"/>
      <w:r w:rsidRPr="000E70B9">
        <w:rPr>
          <w:bCs/>
          <w:iCs/>
          <w:sz w:val="24"/>
          <w:szCs w:val="24"/>
        </w:rPr>
        <w:t>учрежденията</w:t>
      </w:r>
      <w:proofErr w:type="spellEnd"/>
      <w:r w:rsidRPr="000E70B9">
        <w:rPr>
          <w:bCs/>
          <w:iCs/>
          <w:sz w:val="24"/>
          <w:szCs w:val="24"/>
        </w:rPr>
        <w:t>, научните, стопанските, обществени и други организации, независимо от времето, мястото и начина на създаването им.</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Гарантиране на наличието и физическата цялост на архивните документи и увеличаване на жизнения цикъл на оригиналите.</w:t>
      </w:r>
    </w:p>
    <w:p w:rsidR="00661A75" w:rsidRPr="000E70B9" w:rsidRDefault="00661A75" w:rsidP="00056DFA">
      <w:pPr>
        <w:spacing w:before="0" w:after="0"/>
        <w:jc w:val="both"/>
        <w:rPr>
          <w:bCs/>
          <w:iCs/>
          <w:sz w:val="24"/>
          <w:szCs w:val="24"/>
        </w:rPr>
      </w:pPr>
      <w:r w:rsidRPr="000E70B9">
        <w:rPr>
          <w:bCs/>
          <w:iCs/>
          <w:sz w:val="24"/>
          <w:szCs w:val="24"/>
        </w:rPr>
        <w:lastRenderedPageBreak/>
        <w:t>През 2017 г. държавните архиви извършиха контрол и научно-методическо ръководство по организацията на работата с документите, тяхното опазване и използване в учрежденските архиви на държавните и общинските институции. По този начин Държавната агенция „Архиви“ /ДАА/ гарантира запазването на ценните документи от НАФ.</w:t>
      </w:r>
    </w:p>
    <w:p w:rsidR="00661A75" w:rsidRPr="000E70B9" w:rsidRDefault="00661A75" w:rsidP="00056DFA">
      <w:pPr>
        <w:spacing w:before="0" w:after="0"/>
        <w:jc w:val="both"/>
        <w:rPr>
          <w:bCs/>
          <w:iCs/>
          <w:sz w:val="24"/>
          <w:szCs w:val="24"/>
        </w:rPr>
      </w:pPr>
      <w:r w:rsidRPr="000E70B9">
        <w:rPr>
          <w:bCs/>
          <w:iCs/>
          <w:sz w:val="24"/>
          <w:szCs w:val="24"/>
        </w:rPr>
        <w:t>Продължава обогатяването на състава и съдържанието на НАФ, като съставна част от националното културно-историческо наследство.</w:t>
      </w:r>
    </w:p>
    <w:p w:rsidR="00661A75" w:rsidRPr="000E70B9" w:rsidRDefault="00661A75" w:rsidP="00056DFA">
      <w:pPr>
        <w:spacing w:before="0" w:after="0"/>
        <w:jc w:val="both"/>
        <w:rPr>
          <w:bCs/>
          <w:iCs/>
          <w:sz w:val="24"/>
          <w:szCs w:val="24"/>
        </w:rPr>
      </w:pPr>
      <w:r w:rsidRPr="000E70B9">
        <w:rPr>
          <w:bCs/>
          <w:iCs/>
          <w:sz w:val="24"/>
          <w:szCs w:val="24"/>
        </w:rPr>
        <w:t xml:space="preserve">В изпълнение на една от стратегическите цели на ДАА, продължи изграждането на дигиталния архив на ДАА като централизирана база. През 2017 г. в базата на дигиталния архив бяха добавени общо 15 640 дигитални </w:t>
      </w:r>
      <w:proofErr w:type="spellStart"/>
      <w:r w:rsidRPr="000E70B9">
        <w:rPr>
          <w:bCs/>
          <w:iCs/>
          <w:sz w:val="24"/>
          <w:szCs w:val="24"/>
        </w:rPr>
        <w:t>мастер</w:t>
      </w:r>
      <w:proofErr w:type="spellEnd"/>
      <w:r w:rsidRPr="000E70B9">
        <w:rPr>
          <w:bCs/>
          <w:iCs/>
          <w:sz w:val="24"/>
          <w:szCs w:val="24"/>
        </w:rPr>
        <w:t xml:space="preserve"> обекта (</w:t>
      </w:r>
      <w:proofErr w:type="spellStart"/>
      <w:r w:rsidRPr="000E70B9">
        <w:rPr>
          <w:bCs/>
          <w:iCs/>
          <w:sz w:val="24"/>
          <w:szCs w:val="24"/>
        </w:rPr>
        <w:t>дигитализирани</w:t>
      </w:r>
      <w:proofErr w:type="spellEnd"/>
      <w:r w:rsidRPr="000E70B9">
        <w:rPr>
          <w:bCs/>
          <w:iCs/>
          <w:sz w:val="24"/>
          <w:szCs w:val="24"/>
        </w:rPr>
        <w:t xml:space="preserve"> архивни документи в тяхната цялост), съдържащи 46 558 дигитални </w:t>
      </w:r>
      <w:proofErr w:type="spellStart"/>
      <w:r w:rsidRPr="000E70B9">
        <w:rPr>
          <w:bCs/>
          <w:iCs/>
          <w:sz w:val="24"/>
          <w:szCs w:val="24"/>
        </w:rPr>
        <w:t>мастер</w:t>
      </w:r>
      <w:proofErr w:type="spellEnd"/>
      <w:r w:rsidRPr="000E70B9">
        <w:rPr>
          <w:bCs/>
          <w:iCs/>
          <w:sz w:val="24"/>
          <w:szCs w:val="24"/>
        </w:rPr>
        <w:t xml:space="preserve"> образи (отделни части/страници от документи).</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“Администрация”.</w:t>
      </w:r>
    </w:p>
    <w:p w:rsidR="00661A75" w:rsidRPr="000E70B9" w:rsidRDefault="00661A75" w:rsidP="00056DFA">
      <w:pPr>
        <w:spacing w:before="0" w:after="0"/>
        <w:jc w:val="both"/>
        <w:rPr>
          <w:bCs/>
          <w:iCs/>
          <w:sz w:val="24"/>
          <w:szCs w:val="24"/>
        </w:rPr>
      </w:pPr>
      <w:r w:rsidRPr="000E70B9">
        <w:rPr>
          <w:bCs/>
          <w:iCs/>
          <w:sz w:val="24"/>
          <w:szCs w:val="24"/>
        </w:rPr>
        <w:t>Основната цел на програмата е осигуряване на подходящи условия за работа на правителството и на администрацията на МС.</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Разпределен е утвърдения със Закона за държавния бюджет за 2017 г. бюджет на Администрацията на МС и второстепенните разпоредители с бюджет. Утвърдени са индивидуални бюджети на второстепенните разпоредители.</w:t>
      </w:r>
    </w:p>
    <w:p w:rsidR="00661A75" w:rsidRPr="000E70B9" w:rsidRDefault="00661A75" w:rsidP="00056DFA">
      <w:pPr>
        <w:spacing w:before="0" w:after="0"/>
        <w:jc w:val="both"/>
        <w:rPr>
          <w:bCs/>
          <w:iCs/>
          <w:sz w:val="24"/>
          <w:szCs w:val="24"/>
        </w:rPr>
      </w:pPr>
      <w:r w:rsidRPr="000E70B9">
        <w:rPr>
          <w:bCs/>
          <w:iCs/>
          <w:sz w:val="24"/>
          <w:szCs w:val="24"/>
        </w:rPr>
        <w:t>Крайният резултат от предоставяния продукт/услуга е финансово осигурени дейности и мероприятия за подготовката и произвеждането на избори.</w:t>
      </w:r>
    </w:p>
    <w:p w:rsidR="00661A75" w:rsidRPr="000E70B9" w:rsidRDefault="00661A75" w:rsidP="00056DFA">
      <w:pPr>
        <w:spacing w:before="0" w:after="0"/>
        <w:jc w:val="both"/>
        <w:rPr>
          <w:bCs/>
          <w:iCs/>
          <w:sz w:val="24"/>
          <w:szCs w:val="24"/>
        </w:rPr>
      </w:pPr>
      <w:r w:rsidRPr="000E70B9">
        <w:rPr>
          <w:bCs/>
          <w:iCs/>
          <w:sz w:val="24"/>
          <w:szCs w:val="24"/>
        </w:rPr>
        <w:t xml:space="preserve">Осъществено процесуално представителство и правна защита по възникнали спорове по над 70 дела, 62 от които висящи пред различни съдилища в страната (София, Варна, Бургас, Перник, Видин, Смолян, Пловдив и </w:t>
      </w:r>
      <w:proofErr w:type="spellStart"/>
      <w:r w:rsidRPr="000E70B9">
        <w:rPr>
          <w:bCs/>
          <w:iCs/>
          <w:sz w:val="24"/>
          <w:szCs w:val="24"/>
        </w:rPr>
        <w:t>др</w:t>
      </w:r>
      <w:proofErr w:type="spellEnd"/>
      <w:r w:rsidRPr="000E70B9">
        <w:rPr>
          <w:bCs/>
          <w:iCs/>
          <w:sz w:val="24"/>
          <w:szCs w:val="24"/>
        </w:rPr>
        <w:t>).</w:t>
      </w:r>
    </w:p>
    <w:p w:rsidR="00661A75" w:rsidRPr="000E70B9" w:rsidRDefault="00661A75" w:rsidP="00056DFA">
      <w:pPr>
        <w:spacing w:before="0" w:after="0"/>
        <w:jc w:val="both"/>
        <w:rPr>
          <w:bCs/>
          <w:iCs/>
          <w:sz w:val="24"/>
          <w:szCs w:val="24"/>
        </w:rPr>
      </w:pPr>
      <w:r w:rsidRPr="000E70B9">
        <w:rPr>
          <w:bCs/>
          <w:iCs/>
          <w:sz w:val="24"/>
          <w:szCs w:val="24"/>
        </w:rPr>
        <w:t>Процедури за възлагане на обществени поръчки по реда на Закона за обществените поръчки в Администрацията на МС, открити през 2017 г. – 31 бр.</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„Други дейности и услуги“.</w:t>
      </w:r>
    </w:p>
    <w:p w:rsidR="00661A75" w:rsidRPr="000E70B9" w:rsidRDefault="00661A75" w:rsidP="00056DFA">
      <w:pPr>
        <w:spacing w:before="0" w:after="0"/>
        <w:jc w:val="both"/>
        <w:rPr>
          <w:bCs/>
          <w:iCs/>
          <w:sz w:val="24"/>
          <w:szCs w:val="24"/>
        </w:rPr>
      </w:pPr>
      <w:r w:rsidRPr="000E70B9">
        <w:rPr>
          <w:bCs/>
          <w:iCs/>
          <w:sz w:val="24"/>
          <w:szCs w:val="24"/>
        </w:rPr>
        <w:t>Основните цели на програмата са:</w:t>
      </w:r>
    </w:p>
    <w:p w:rsidR="00661A75" w:rsidRPr="000E70B9" w:rsidRDefault="00661A75" w:rsidP="00056DFA">
      <w:pPr>
        <w:spacing w:before="0" w:after="0"/>
        <w:jc w:val="both"/>
        <w:rPr>
          <w:bCs/>
          <w:iCs/>
          <w:sz w:val="24"/>
          <w:szCs w:val="24"/>
        </w:rPr>
      </w:pPr>
      <w:r w:rsidRPr="000E70B9">
        <w:rPr>
          <w:bCs/>
          <w:iCs/>
          <w:sz w:val="24"/>
          <w:szCs w:val="24"/>
        </w:rPr>
        <w:t>Ефективна борба с трафика на хора, с корупцията и организираната престъпност.</w:t>
      </w:r>
    </w:p>
    <w:p w:rsidR="00661A75" w:rsidRPr="000E70B9" w:rsidRDefault="00661A75" w:rsidP="00056DFA">
      <w:pPr>
        <w:spacing w:before="0" w:after="0"/>
        <w:jc w:val="both"/>
        <w:rPr>
          <w:bCs/>
          <w:iCs/>
          <w:sz w:val="24"/>
          <w:szCs w:val="24"/>
        </w:rPr>
      </w:pPr>
      <w:r w:rsidRPr="000E70B9">
        <w:rPr>
          <w:bCs/>
          <w:iCs/>
          <w:sz w:val="24"/>
          <w:szCs w:val="24"/>
        </w:rPr>
        <w:t>Съхраняване на българското етнокултурно пространство, духовно единение на всички българи в страната и по света, изграждане на български лобита в чужбина.</w:t>
      </w:r>
    </w:p>
    <w:p w:rsidR="00661A75" w:rsidRPr="000E70B9" w:rsidRDefault="00661A75" w:rsidP="00056DFA">
      <w:pPr>
        <w:spacing w:before="0" w:after="0"/>
        <w:jc w:val="both"/>
        <w:rPr>
          <w:bCs/>
          <w:iCs/>
          <w:sz w:val="24"/>
          <w:szCs w:val="24"/>
        </w:rPr>
      </w:pPr>
      <w:r w:rsidRPr="000E70B9">
        <w:rPr>
          <w:bCs/>
          <w:iCs/>
          <w:sz w:val="24"/>
          <w:szCs w:val="24"/>
        </w:rPr>
        <w:t>Повишаване квалификацията на ръководните кадри и експертите в централната и териториалните администрации за ефективна и ефикасна работа.</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 xml:space="preserve">Относно ефективна борба с трафика на хора - в подкрепа на администрацията на Националната комисия за борба с трафика на хора, продължава работата на екипа по проект Швейцарско-българско сътрудничество за идентификация и подпомагане на деца и възрастни жертви на трафик на хора. Реализирани са 3 национални кампании, съпътствани от над 58 инициативи на регионално ниво. Кампаниите са с фокус превенция на трафика на хора с цел трудова експлоатация, с фокус върху уязвимите лица  и представителите на ромска общност. Представители на местните комисии за борба с трафика на хора в лицето на техните секретари са взели участие в общо 38  </w:t>
      </w:r>
      <w:proofErr w:type="spellStart"/>
      <w:r w:rsidRPr="000E70B9">
        <w:rPr>
          <w:bCs/>
          <w:iCs/>
          <w:sz w:val="24"/>
          <w:szCs w:val="24"/>
        </w:rPr>
        <w:t>превенционни</w:t>
      </w:r>
      <w:proofErr w:type="spellEnd"/>
      <w:r w:rsidRPr="000E70B9">
        <w:rPr>
          <w:bCs/>
          <w:iCs/>
          <w:sz w:val="24"/>
          <w:szCs w:val="24"/>
        </w:rPr>
        <w:t xml:space="preserve"> събития, организирани на местно ниво, адресиращо проблема трафик на хора.</w:t>
      </w:r>
    </w:p>
    <w:p w:rsidR="00661A75" w:rsidRPr="000E70B9" w:rsidRDefault="00661A75" w:rsidP="00056DFA">
      <w:pPr>
        <w:spacing w:before="0" w:after="0"/>
        <w:jc w:val="both"/>
        <w:rPr>
          <w:bCs/>
          <w:iCs/>
          <w:sz w:val="24"/>
          <w:szCs w:val="24"/>
        </w:rPr>
      </w:pPr>
      <w:r w:rsidRPr="000E70B9">
        <w:rPr>
          <w:bCs/>
          <w:iCs/>
          <w:sz w:val="24"/>
          <w:szCs w:val="24"/>
        </w:rPr>
        <w:t xml:space="preserve">Относно повишаването на квалификацията на ръководните кадри и експертите в централната и териториалните администрации за ефективна и ефикасна работа, отговорният орган е Института по публична администрация – направени са проучвания и оценка на потребностите от обучение, както за администрацията като цяло, така и за отделни професионални групи или организации в нея. Организирани са и са проведени </w:t>
      </w:r>
      <w:r w:rsidRPr="000E70B9">
        <w:rPr>
          <w:bCs/>
          <w:iCs/>
          <w:sz w:val="24"/>
          <w:szCs w:val="24"/>
        </w:rPr>
        <w:lastRenderedPageBreak/>
        <w:t>задължителни обучения за назначени за първи път на държавна служба и за държавни служители, назначени за първи път на ръководна длъжност.</w:t>
      </w:r>
    </w:p>
    <w:p w:rsidR="00661A75" w:rsidRPr="000E70B9" w:rsidRDefault="00661A75" w:rsidP="00056DFA">
      <w:pPr>
        <w:spacing w:before="0" w:after="0"/>
        <w:jc w:val="both"/>
        <w:rPr>
          <w:bCs/>
          <w:iCs/>
          <w:sz w:val="24"/>
          <w:szCs w:val="24"/>
        </w:rPr>
      </w:pPr>
      <w:r w:rsidRPr="000E70B9">
        <w:rPr>
          <w:bCs/>
          <w:iCs/>
          <w:sz w:val="24"/>
          <w:szCs w:val="24"/>
        </w:rPr>
        <w:t>Относно съхраняването на българското етнокултурно пространство, духовно единение на всички българи в страната и по света, изграждане на български лобита в чужбина, отговорният орган е Държавната агенция за българите в чужбина – постигнато е оптимизиране на системата по административно-правното обслужване на граждани, в т.ч. удостоверяването на българския произход на лица, кандидатстващи за придобиване на българско гражданство. Повишиха се възможностите за подпомагане на българите и българските общности в съответствие с международноправни  норми. Трайно се наложи на положителния образ на България сред българските общности зад граница. Стабилизира се и увеличи броя на лицата с български произход, деклариращи българската си идентичност.</w:t>
      </w:r>
    </w:p>
    <w:p w:rsidR="00661A75" w:rsidRPr="000E70B9" w:rsidRDefault="00661A75" w:rsidP="00056DFA">
      <w:pPr>
        <w:spacing w:before="0" w:after="0"/>
        <w:jc w:val="both"/>
        <w:rPr>
          <w:bCs/>
          <w:iCs/>
          <w:sz w:val="24"/>
          <w:szCs w:val="24"/>
        </w:rPr>
      </w:pPr>
      <w:r w:rsidRPr="000E70B9">
        <w:rPr>
          <w:bCs/>
          <w:iCs/>
          <w:sz w:val="24"/>
          <w:szCs w:val="24"/>
        </w:rPr>
        <w:t>Относно борбата с корупцията и организираната престъпност, отговорният орган е Центърът за превенция и противодействие на корупцията и организираната престъпност – постигнати са трайни резултати в посока на стабилизиране на институционалната среда и създаване на условия за развитие на страната за ускорен икономически растеж. Също така, по създаване на доверие към правовия ред и държавността, чрез недопускане на корупционни практики и прояви. Ползите от прилагането на държавната политика в областта на превенцията и противодействието на корупцията са гарантиране на обществото на прозрачно и открито управление, както и предоставяне на публични услуги в среда с ограничени възможности за корупция.</w:t>
      </w:r>
    </w:p>
    <w:p w:rsidR="00661A75" w:rsidRPr="000E70B9" w:rsidRDefault="00661A75" w:rsidP="00056DFA">
      <w:pPr>
        <w:spacing w:before="0" w:after="0"/>
        <w:jc w:val="both"/>
        <w:rPr>
          <w:b/>
          <w:bCs/>
          <w:iCs/>
          <w:sz w:val="24"/>
          <w:szCs w:val="24"/>
        </w:rPr>
      </w:pPr>
      <w:r w:rsidRPr="000E70B9">
        <w:rPr>
          <w:b/>
          <w:bCs/>
          <w:iCs/>
          <w:sz w:val="24"/>
          <w:szCs w:val="24"/>
        </w:rPr>
        <w:t>Бюджетна програма „Убежище и бежанци“.</w:t>
      </w:r>
    </w:p>
    <w:p w:rsidR="00661A75" w:rsidRPr="000E70B9" w:rsidRDefault="00661A75" w:rsidP="00056DFA">
      <w:pPr>
        <w:spacing w:before="0" w:after="0"/>
        <w:jc w:val="both"/>
        <w:rPr>
          <w:bCs/>
          <w:iCs/>
          <w:sz w:val="24"/>
          <w:szCs w:val="24"/>
        </w:rPr>
      </w:pPr>
      <w:r w:rsidRPr="000E70B9">
        <w:rPr>
          <w:bCs/>
          <w:iCs/>
          <w:sz w:val="24"/>
          <w:szCs w:val="24"/>
        </w:rPr>
        <w:t>Основните цели на програмата са провеждане на ефективни политики в областта на международната закрила и справяне с трайно увеличаващия се миграционен натиск. Подобряване условията за живот в местата за настаняване на лица, търсещи закрила и поддържане на материално-техническата база на Държавната агенция за бежанците /ДАБ/ при МС.</w:t>
      </w:r>
    </w:p>
    <w:p w:rsidR="00661A75" w:rsidRPr="000E70B9" w:rsidRDefault="00661A75" w:rsidP="00056DFA">
      <w:pPr>
        <w:spacing w:before="0" w:after="0"/>
        <w:jc w:val="both"/>
        <w:rPr>
          <w:bCs/>
          <w:iCs/>
          <w:sz w:val="24"/>
          <w:szCs w:val="24"/>
        </w:rPr>
      </w:pPr>
      <w:r w:rsidRPr="000E70B9">
        <w:rPr>
          <w:bCs/>
          <w:iCs/>
          <w:sz w:val="24"/>
          <w:szCs w:val="24"/>
        </w:rPr>
        <w:t>Постигнатите резултати са следните:</w:t>
      </w:r>
    </w:p>
    <w:p w:rsidR="00661A75" w:rsidRPr="000E70B9" w:rsidRDefault="00661A75" w:rsidP="00056DFA">
      <w:pPr>
        <w:spacing w:before="0" w:after="0"/>
        <w:jc w:val="both"/>
        <w:rPr>
          <w:bCs/>
          <w:iCs/>
          <w:sz w:val="24"/>
          <w:szCs w:val="24"/>
        </w:rPr>
      </w:pPr>
      <w:r w:rsidRPr="000E70B9">
        <w:rPr>
          <w:bCs/>
          <w:iCs/>
          <w:sz w:val="24"/>
          <w:szCs w:val="24"/>
        </w:rPr>
        <w:t>Във връзка с регистрацията на чужденци търсещи международна закрила,</w:t>
      </w:r>
    </w:p>
    <w:p w:rsidR="00661A75" w:rsidRPr="00056DFA" w:rsidRDefault="00661A75" w:rsidP="00056DFA">
      <w:pPr>
        <w:spacing w:before="0" w:after="0"/>
        <w:jc w:val="both"/>
        <w:rPr>
          <w:sz w:val="24"/>
          <w:szCs w:val="24"/>
        </w:rPr>
      </w:pPr>
      <w:r w:rsidRPr="000E70B9">
        <w:rPr>
          <w:bCs/>
          <w:iCs/>
          <w:sz w:val="24"/>
          <w:szCs w:val="24"/>
        </w:rPr>
        <w:t>предоставяне на статут на бежанец и предоставяне на хуманитарен статут са извършени следните дейности -</w:t>
      </w:r>
      <w:r w:rsidRPr="000E70B9">
        <w:rPr>
          <w:rFonts w:eastAsia="Calibri"/>
          <w:sz w:val="24"/>
          <w:szCs w:val="24"/>
          <w:lang w:eastAsia="en-US"/>
        </w:rPr>
        <w:t xml:space="preserve"> </w:t>
      </w:r>
      <w:r w:rsidRPr="000E70B9">
        <w:rPr>
          <w:bCs/>
          <w:iCs/>
          <w:sz w:val="24"/>
          <w:szCs w:val="24"/>
        </w:rPr>
        <w:t>за цялата 2017 г. в териториалните поделения на ДАБ при МС са потърсили закрила 3 700 лица. На 804 лица е предоставен статут на бежанец, на 900 лица е предоставен хуманитарен статут, на 3 048 лица е отказано предоставянето на закрила, а на 9 662 лица производството е прекратено. За този период са издадени общо 20 837 решения, в това число и решения за спиране на производството.</w:t>
      </w:r>
    </w:p>
    <w:p w:rsidR="00661A75" w:rsidRPr="00050549" w:rsidRDefault="00661A75" w:rsidP="00056DFA">
      <w:pPr>
        <w:spacing w:before="0" w:after="0"/>
        <w:jc w:val="both"/>
        <w:rPr>
          <w:sz w:val="24"/>
          <w:szCs w:val="24"/>
        </w:rPr>
      </w:pPr>
    </w:p>
    <w:p w:rsidR="00940E69" w:rsidRDefault="00940E69" w:rsidP="00056DFA">
      <w:pPr>
        <w:spacing w:before="0" w:after="0"/>
        <w:jc w:val="both"/>
        <w:rPr>
          <w:sz w:val="24"/>
          <w:szCs w:val="24"/>
        </w:rPr>
      </w:pPr>
    </w:p>
    <w:p w:rsidR="00940E69" w:rsidRPr="00940E69" w:rsidRDefault="00940E69" w:rsidP="00940E69">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 w:name="_Toc523492624"/>
      <w:r w:rsidRPr="00940E69">
        <w:rPr>
          <w:rFonts w:ascii="Times New Roman" w:eastAsia="Batang" w:hAnsi="Times New Roman" w:cs="Times New Roman"/>
          <w:b/>
          <w:bCs/>
          <w:caps/>
          <w:lang w:val="bg-BG" w:eastAsia="ko-KR"/>
        </w:rPr>
        <w:t>Министерство на финансите</w:t>
      </w:r>
      <w:bookmarkEnd w:id="2"/>
      <w:r w:rsidRPr="00940E69">
        <w:rPr>
          <w:rFonts w:ascii="Times New Roman" w:eastAsia="Batang" w:hAnsi="Times New Roman" w:cs="Times New Roman"/>
          <w:b/>
          <w:bCs/>
          <w:caps/>
          <w:lang w:val="bg-BG" w:eastAsia="ko-KR"/>
        </w:rPr>
        <w:t xml:space="preserve">   </w:t>
      </w:r>
    </w:p>
    <w:p w:rsidR="00940E69" w:rsidRPr="00056DFA" w:rsidRDefault="00940E69" w:rsidP="00940E69">
      <w:pPr>
        <w:suppressAutoHyphens/>
        <w:spacing w:before="0" w:after="0"/>
        <w:jc w:val="both"/>
        <w:rPr>
          <w:sz w:val="24"/>
          <w:szCs w:val="24"/>
          <w:lang w:eastAsia="ar-SA"/>
        </w:rPr>
      </w:pPr>
      <w:r w:rsidRPr="00056DFA">
        <w:rPr>
          <w:sz w:val="24"/>
          <w:szCs w:val="24"/>
          <w:lang w:eastAsia="ar-SA"/>
        </w:rPr>
        <w:t xml:space="preserve">В изпълнение на своите функции през 2017 г. Министерството на финансите положи необходимите усилия за запазване на икономическата и финансова стабилност и създаване на условия за икономически растеж. </w:t>
      </w:r>
    </w:p>
    <w:p w:rsidR="00940E69" w:rsidRPr="00056DFA" w:rsidRDefault="00940E69" w:rsidP="00940E69">
      <w:pPr>
        <w:spacing w:before="0" w:after="0"/>
        <w:jc w:val="both"/>
        <w:rPr>
          <w:sz w:val="24"/>
          <w:szCs w:val="24"/>
          <w:lang w:eastAsia="ar-SA"/>
        </w:rPr>
      </w:pPr>
      <w:r w:rsidRPr="00056DFA">
        <w:rPr>
          <w:rFonts w:eastAsia="Batang"/>
          <w:bCs/>
          <w:color w:val="000000"/>
          <w:sz w:val="24"/>
          <w:szCs w:val="24"/>
          <w:lang w:eastAsia="ko-KR"/>
        </w:rPr>
        <w:t>Консолидираните разходи,</w:t>
      </w:r>
      <w:r w:rsidRPr="00056DFA">
        <w:rPr>
          <w:rFonts w:eastAsia="Batang"/>
          <w:b/>
          <w:bCs/>
          <w:color w:val="000000"/>
          <w:sz w:val="24"/>
          <w:szCs w:val="24"/>
          <w:lang w:eastAsia="ko-KR"/>
        </w:rPr>
        <w:t xml:space="preserve"> </w:t>
      </w:r>
      <w:r w:rsidRPr="00056DFA">
        <w:rPr>
          <w:rFonts w:eastAsia="Batang"/>
          <w:bCs/>
          <w:color w:val="000000"/>
          <w:sz w:val="24"/>
          <w:szCs w:val="24"/>
          <w:lang w:eastAsia="ko-KR"/>
        </w:rPr>
        <w:t>обхванати в отчета на програмния бюджет на Министерството на финансите (МФ)</w:t>
      </w:r>
      <w:r w:rsidRPr="00056DFA">
        <w:rPr>
          <w:rFonts w:eastAsia="Batang"/>
          <w:b/>
          <w:bCs/>
          <w:color w:val="000000"/>
          <w:sz w:val="24"/>
          <w:szCs w:val="24"/>
          <w:lang w:eastAsia="ko-KR"/>
        </w:rPr>
        <w:t xml:space="preserve"> </w:t>
      </w:r>
      <w:r w:rsidRPr="00056DFA">
        <w:rPr>
          <w:rFonts w:eastAsia="Batang"/>
          <w:bCs/>
          <w:color w:val="000000"/>
          <w:sz w:val="24"/>
          <w:szCs w:val="24"/>
          <w:lang w:eastAsia="ko-KR"/>
        </w:rPr>
        <w:t xml:space="preserve">за 2017 г. възлизат на </w:t>
      </w:r>
      <w:r w:rsidRPr="00056DFA">
        <w:rPr>
          <w:sz w:val="24"/>
          <w:szCs w:val="24"/>
          <w:lang w:eastAsia="ar-SA"/>
        </w:rPr>
        <w:t>429,4 млн. лв., в това число по бюджета на МФ –  419,1 млн. лв. и по други бюджети и сметки за средства от ЕС – 10,3 млн. лв.,</w:t>
      </w:r>
      <w:r w:rsidRPr="00056DFA">
        <w:rPr>
          <w:rFonts w:eastAsia="Batang"/>
          <w:sz w:val="24"/>
          <w:szCs w:val="24"/>
          <w:lang w:eastAsia="ko-KR"/>
        </w:rPr>
        <w:t xml:space="preserve"> </w:t>
      </w:r>
      <w:r w:rsidRPr="00056DFA">
        <w:rPr>
          <w:sz w:val="24"/>
          <w:szCs w:val="24"/>
          <w:lang w:eastAsia="ar-SA"/>
        </w:rPr>
        <w:t>или 97,8 % от средствата по уточнен план в размер на 439,1 млн. лв.</w:t>
      </w:r>
    </w:p>
    <w:p w:rsidR="00940E69" w:rsidRPr="00056DFA" w:rsidRDefault="00940E69" w:rsidP="00940E69">
      <w:pPr>
        <w:spacing w:before="0" w:after="0"/>
        <w:jc w:val="both"/>
        <w:rPr>
          <w:rFonts w:eastAsia="Batang"/>
          <w:bCs/>
          <w:color w:val="000000"/>
          <w:sz w:val="24"/>
          <w:szCs w:val="24"/>
          <w:lang w:eastAsia="ko-KR"/>
        </w:rPr>
      </w:pPr>
      <w:r w:rsidRPr="00056DFA">
        <w:rPr>
          <w:rFonts w:eastAsia="Batang"/>
          <w:bCs/>
          <w:color w:val="000000"/>
          <w:sz w:val="24"/>
          <w:szCs w:val="24"/>
          <w:lang w:eastAsia="ko-KR"/>
        </w:rPr>
        <w:t>Отчетените средства в размер на 419,1 млн. лв. по бюджета на министерството за 2017 г. основно са акумулирани по четири</w:t>
      </w:r>
      <w:r w:rsidRPr="00056DFA">
        <w:rPr>
          <w:rFonts w:eastAsia="Batang"/>
          <w:sz w:val="24"/>
          <w:szCs w:val="24"/>
          <w:lang w:eastAsia="ko-KR"/>
        </w:rPr>
        <w:t xml:space="preserve"> области на политики и девет бюджетни програми</w:t>
      </w:r>
      <w:r w:rsidRPr="00056DFA">
        <w:rPr>
          <w:rFonts w:eastAsia="Batang"/>
          <w:bCs/>
          <w:color w:val="000000"/>
          <w:sz w:val="24"/>
          <w:szCs w:val="24"/>
          <w:lang w:eastAsia="ko-KR"/>
        </w:rPr>
        <w:t>, а именно:</w:t>
      </w:r>
    </w:p>
    <w:p w:rsidR="00940E69" w:rsidRPr="00056DFA" w:rsidRDefault="00940E69" w:rsidP="00940E69">
      <w:pPr>
        <w:widowControl w:val="0"/>
        <w:spacing w:before="0" w:after="0"/>
        <w:jc w:val="both"/>
        <w:rPr>
          <w:rFonts w:eastAsia="Batang"/>
          <w:b/>
          <w:bCs/>
          <w:color w:val="000000"/>
          <w:sz w:val="24"/>
          <w:szCs w:val="24"/>
          <w:lang w:eastAsia="ko-KR"/>
        </w:rPr>
      </w:pPr>
      <w:r w:rsidRPr="00056DFA">
        <w:rPr>
          <w:rFonts w:eastAsia="Batang"/>
          <w:b/>
          <w:bCs/>
          <w:sz w:val="24"/>
          <w:szCs w:val="24"/>
        </w:rPr>
        <w:t>Политика в областта на устойчивите и прозрачни публични финанси, която</w:t>
      </w:r>
      <w:r w:rsidRPr="00056DFA">
        <w:rPr>
          <w:rFonts w:eastAsia="Batang"/>
          <w:b/>
          <w:bCs/>
          <w:color w:val="000000"/>
          <w:sz w:val="24"/>
          <w:szCs w:val="24"/>
          <w:lang w:eastAsia="ko-KR"/>
        </w:rPr>
        <w:t xml:space="preserve"> включва </w:t>
      </w:r>
      <w:r w:rsidRPr="00056DFA">
        <w:rPr>
          <w:rFonts w:eastAsia="Batang"/>
          <w:b/>
          <w:sz w:val="24"/>
          <w:szCs w:val="24"/>
        </w:rPr>
        <w:t xml:space="preserve">бюджетна програма  “Бюджет и финансово управление” и бюджетна </w:t>
      </w:r>
      <w:r w:rsidRPr="00056DFA">
        <w:rPr>
          <w:rFonts w:eastAsia="Batang"/>
          <w:b/>
          <w:sz w:val="24"/>
          <w:szCs w:val="24"/>
        </w:rPr>
        <w:lastRenderedPageBreak/>
        <w:t>програма  “Защита на публичните финансови интереси” с</w:t>
      </w:r>
      <w:r w:rsidRPr="00056DFA">
        <w:rPr>
          <w:rFonts w:eastAsia="Batang"/>
          <w:b/>
          <w:bCs/>
          <w:color w:val="000000"/>
          <w:sz w:val="24"/>
          <w:szCs w:val="24"/>
          <w:lang w:eastAsia="ko-KR"/>
        </w:rPr>
        <w:t xml:space="preserve"> общо изразходени средства са в размер на 52,3 млн. лв.</w:t>
      </w:r>
    </w:p>
    <w:p w:rsidR="00940E69" w:rsidRPr="00056DFA" w:rsidRDefault="00940E69" w:rsidP="00940E69">
      <w:pPr>
        <w:spacing w:before="0" w:after="0"/>
        <w:jc w:val="both"/>
        <w:rPr>
          <w:rFonts w:eastAsia="Batang"/>
          <w:bCs/>
          <w:color w:val="000000"/>
          <w:sz w:val="24"/>
          <w:szCs w:val="24"/>
          <w:lang w:eastAsia="ko-KR"/>
        </w:rPr>
      </w:pPr>
      <w:r w:rsidRPr="00056DFA">
        <w:rPr>
          <w:rFonts w:eastAsia="Batang"/>
          <w:bCs/>
          <w:color w:val="000000"/>
          <w:sz w:val="24"/>
          <w:szCs w:val="24"/>
          <w:lang w:eastAsia="ko-KR"/>
        </w:rPr>
        <w:t>За осъществяване на основните правомощия на министъра на финансите по отношение провеждането на политика в областта на устойчивите и прозрачни публични финанси през 2017 г. Министерството на финансите продължи да следва поставените в средносрочен план цели, свързани със запазването на фискалната устойчивост и провеждането на последователна, прозрачна и предвидима фискална политика за достигане/поддържане на балансиран бюджет, която да допринася за подобряване на бизнес средата, насърчаване на инвестициите и стимулиране развитието на трудовия пазар за постигане на икономически растеж и заетост, придържайки се към общите правила на ЕС.</w:t>
      </w:r>
    </w:p>
    <w:p w:rsidR="00940E69" w:rsidRPr="00056DFA" w:rsidRDefault="00940E69" w:rsidP="00940E69">
      <w:pPr>
        <w:suppressAutoHyphens/>
        <w:spacing w:before="0"/>
        <w:jc w:val="both"/>
        <w:rPr>
          <w:sz w:val="24"/>
          <w:szCs w:val="24"/>
          <w:lang w:eastAsia="ar-SA"/>
        </w:rPr>
      </w:pPr>
      <w:r w:rsidRPr="00056DFA">
        <w:rPr>
          <w:sz w:val="24"/>
          <w:szCs w:val="24"/>
          <w:lang w:eastAsia="ar-SA"/>
        </w:rPr>
        <w:t>В началото на годината и в изпълнение на Закона за публичните финанси Министерството на финансите разработи проект на решение на Министерския съвет за бюджетната процедура за 2018 г., който беше приет с Решение № 37 от 19.01.2017 г. Планираните срокове за подготовката на бюджетните документи бяха синхронизирани с Европейския семестър за 2017 г. с цел постигане на необходимата координация на икономическите и фискалните политики в Европейския съюз и създаване на условия за по-добро хармонизиране на целите на националните политики по отношение на бюджета, растежа и заетостта, спрямо тези, които са определени на ниво ЕС, както и за отразяване в рамките на бюджетния процес на препоръките и мнението на Европейската комисия/Съвета.</w:t>
      </w:r>
    </w:p>
    <w:p w:rsidR="00940E69" w:rsidRPr="00056DFA" w:rsidRDefault="00940E69" w:rsidP="00940E69">
      <w:pPr>
        <w:suppressAutoHyphens/>
        <w:spacing w:before="0" w:after="0"/>
        <w:jc w:val="both"/>
        <w:rPr>
          <w:sz w:val="24"/>
          <w:szCs w:val="24"/>
          <w:lang w:eastAsia="ar-SA"/>
        </w:rPr>
      </w:pPr>
      <w:r w:rsidRPr="00056DFA">
        <w:rPr>
          <w:sz w:val="24"/>
          <w:szCs w:val="24"/>
          <w:lang w:eastAsia="ar-SA"/>
        </w:rPr>
        <w:t>В резултат на работата по първия етап на бюджетната процедура беше изготвена и одобрена от Министерския съвет с Решение № 281 от 18 май 2017 г. средносрочната бюджетна прогноза за периода 2018-2020 г., с която беше дефинирана фискалната политика за следващия тригодишен период и перспективите за развитието на публичните финанси. Разработването на този основен бюджетен документ стартира в рамките на мандата на служебно правителство, което заяви своята ангажираност да осигури приемственост и да запази като основен приоритет поддържането на макроикономическата и финансова стабилност на страната. С РМС № 281/2017 г. бяха одобрени разходните тавани на първостепенните разпоредители с бюджет, на базата на които те следва да разработят проектобюджетите си за 2018 г. и да актуализират бюджетните си прогнози за 2019 и 2020 г.</w:t>
      </w:r>
    </w:p>
    <w:p w:rsidR="00940E69" w:rsidRPr="00056DFA" w:rsidRDefault="00940E69" w:rsidP="00940E69">
      <w:pPr>
        <w:suppressAutoHyphens/>
        <w:spacing w:before="0" w:after="0"/>
        <w:jc w:val="both"/>
        <w:rPr>
          <w:rFonts w:eastAsia="Batang"/>
          <w:sz w:val="24"/>
          <w:szCs w:val="24"/>
          <w:lang w:eastAsia="ko-KR"/>
        </w:rPr>
      </w:pPr>
      <w:r w:rsidRPr="00056DFA">
        <w:rPr>
          <w:rFonts w:eastAsia="Batang"/>
          <w:sz w:val="24"/>
          <w:szCs w:val="24"/>
          <w:lang w:eastAsia="ko-KR"/>
        </w:rPr>
        <w:t>Вторият етап от бюджетната процедура за 2018 г. обхвана разработването на проектозакона за държавния бюджет на Република България за 2018 г. и проекта на Актуализирана средносрочна бюджетна прогноза за периода 2018-2020 г., която представлява мотиви към него. След приемането и обнародването на Закона за държавния бюджет на Република България за 2018 г. беше изготвен и проект на постановление за неговото изпълнение, с което завърши процесът по изготвяне на основните бюджетни документи по процедурата за 2018 г. С РМС № 808 от 22 декември 2017 г. се одобриха промени в Актуализираната бюджетна прогноза за периода 2018-2020 г. и се измени РМС № 286 от 2017 г. за приемане на стандарти за делегираните от държавата дейности с натурални и стойностни показатели през 2018 г.</w:t>
      </w:r>
    </w:p>
    <w:p w:rsidR="00940E69" w:rsidRPr="00056DFA" w:rsidRDefault="00940E69" w:rsidP="00940E69">
      <w:pPr>
        <w:suppressAutoHyphens/>
        <w:spacing w:before="0" w:after="0"/>
        <w:jc w:val="both"/>
        <w:rPr>
          <w:sz w:val="24"/>
          <w:szCs w:val="24"/>
          <w:lang w:eastAsia="ar-SA"/>
        </w:rPr>
      </w:pPr>
      <w:r w:rsidRPr="00056DFA">
        <w:rPr>
          <w:sz w:val="24"/>
          <w:szCs w:val="24"/>
          <w:lang w:eastAsia="ar-SA"/>
        </w:rPr>
        <w:t xml:space="preserve">Министерството на финансите поддържа устойчива тенденция за стабилизиране на публичните финанси чрез успешни мерки за фискална консолидация, даващи все по-близък хоризонт за постигане на балансиран бюджет. Основните параметри на актуализираната бюджетна прогноза за периода 2018-2020 г., одобрена с Решение № 654 на Министерския съвет от  2017 г., показват реалистичност на фискалните цели при спазване на установените фискални правила и ограничения. Средносрочната перспектива се обвързва със заложения приоритет за запазване целите за дефицита, заложени в пролетната средносрочна бюджетна прогноза за периода 2018-2020 г., </w:t>
      </w:r>
      <w:r w:rsidRPr="00056DFA">
        <w:rPr>
          <w:sz w:val="24"/>
          <w:szCs w:val="24"/>
          <w:lang w:eastAsia="ar-SA"/>
        </w:rPr>
        <w:lastRenderedPageBreak/>
        <w:t xml:space="preserve">съответно за 2018 и за 2019 г. от 1% и 0,5% от БВП и достигане на балансирана бюджетна позиция по консолидираната фискална програма (КФП) през 2020 г. </w:t>
      </w:r>
    </w:p>
    <w:p w:rsidR="00940E69" w:rsidRPr="00A20DAD" w:rsidRDefault="00940E69" w:rsidP="00940E69">
      <w:pPr>
        <w:suppressAutoHyphens/>
        <w:spacing w:before="0" w:after="0"/>
        <w:jc w:val="both"/>
        <w:rPr>
          <w:sz w:val="24"/>
          <w:szCs w:val="24"/>
          <w:lang w:eastAsia="ar-SA"/>
        </w:rPr>
      </w:pPr>
      <w:r w:rsidRPr="00056DFA">
        <w:rPr>
          <w:sz w:val="24"/>
          <w:szCs w:val="24"/>
          <w:lang w:eastAsia="ar-SA"/>
        </w:rPr>
        <w:t xml:space="preserve">Общото ниво на приходите по КФП в средносрочен план се предвижда да бъде в диапазона 36.2-35.5% от БВП. Съобразено със заложените цели за бюджетното салдо по КФП и очакваното ниво на приходната част на бюджета, възможностите за финансиране на публични разходни политики са ограничени в рамките от 37.2% от </w:t>
      </w:r>
      <w:r w:rsidRPr="00A20DAD">
        <w:rPr>
          <w:sz w:val="24"/>
          <w:szCs w:val="24"/>
          <w:lang w:eastAsia="ar-SA"/>
        </w:rPr>
        <w:t>БВП през 2018 г. до 35.5% от БВП през 2020 година.</w:t>
      </w:r>
    </w:p>
    <w:p w:rsidR="00940E69" w:rsidRPr="00A20DAD" w:rsidRDefault="00940E69" w:rsidP="00940E69">
      <w:pPr>
        <w:suppressAutoHyphens/>
        <w:spacing w:before="0" w:after="0"/>
        <w:jc w:val="both"/>
        <w:rPr>
          <w:sz w:val="24"/>
          <w:szCs w:val="24"/>
          <w:lang w:eastAsia="ar-SA"/>
        </w:rPr>
      </w:pPr>
      <w:r w:rsidRPr="00A20DAD">
        <w:rPr>
          <w:rFonts w:eastAsia="Batang"/>
          <w:sz w:val="24"/>
          <w:szCs w:val="24"/>
          <w:lang w:eastAsia="ko-KR"/>
        </w:rPr>
        <w:t xml:space="preserve">Ръстът в приходите спрямо предходната година се дължи основно на ускоряването на икономическия растеж през 2017 г., а също така и на предприетите мерки от приходните администрации за повишаване на събираемостта на приходите, борбата с контрабандата и избягването на данъчно облагане, включително и съвместните действия от страна на НАП и Агенция „Митници“ с Министерството на вътрешните работи, ДАНС и прокуратурата. </w:t>
      </w:r>
      <w:r w:rsidRPr="00A20DAD">
        <w:rPr>
          <w:sz w:val="24"/>
          <w:szCs w:val="24"/>
          <w:lang w:eastAsia="ar-SA"/>
        </w:rPr>
        <w:t>Данъчните постъпления (вкл. приходите от осигурителни вноски) са в размер на 29 581.3 млн. лв., 105.5 %  спрямо  разчета за годината. Приходите в частта на преките данъци възлизат на 5 644.3 млн. лв., което представлява 110.8 % от разчета за 2017 г. Приходите от косвени данъци са в размер на 14 532.5 млн. лв., което представлява 103.7 % спрямо  предвидените в ЗДБРБ за 2017 г. Постъпленията от други данъци (включват други данъци по ЗКПО, имуществени данъци и др.) са в размер на 1 039.</w:t>
      </w:r>
      <w:r w:rsidR="000E5DB4" w:rsidRPr="00A20DAD">
        <w:rPr>
          <w:sz w:val="24"/>
          <w:szCs w:val="24"/>
          <w:lang w:eastAsia="ar-SA"/>
        </w:rPr>
        <w:t xml:space="preserve">3 </w:t>
      </w:r>
      <w:r w:rsidRPr="00A20DAD">
        <w:rPr>
          <w:sz w:val="24"/>
          <w:szCs w:val="24"/>
          <w:lang w:eastAsia="ar-SA"/>
        </w:rPr>
        <w:t xml:space="preserve">млн. лв., което представлява 104.9 % от годишния разчет. Приходите от социални и здравноосигурителни вноски са в размер на 8 365.1 млн. лв. или 105.4 % спрямо разчета за 2017 година. </w:t>
      </w:r>
    </w:p>
    <w:p w:rsidR="00940E69" w:rsidRPr="00056DFA" w:rsidRDefault="00940E69" w:rsidP="00940E69">
      <w:pPr>
        <w:suppressAutoHyphens/>
        <w:spacing w:before="0" w:after="0"/>
        <w:jc w:val="both"/>
        <w:rPr>
          <w:sz w:val="24"/>
          <w:szCs w:val="24"/>
          <w:lang w:eastAsia="ar-SA"/>
        </w:rPr>
      </w:pPr>
      <w:r w:rsidRPr="00A20DAD">
        <w:rPr>
          <w:sz w:val="24"/>
          <w:szCs w:val="24"/>
          <w:lang w:eastAsia="ar-SA"/>
        </w:rPr>
        <w:t xml:space="preserve">В изпълнение на дейностите по защита на публичните финансови интереси чрез извършване на </w:t>
      </w:r>
      <w:proofErr w:type="spellStart"/>
      <w:r w:rsidRPr="00A20DAD">
        <w:rPr>
          <w:sz w:val="24"/>
          <w:szCs w:val="24"/>
          <w:lang w:eastAsia="ar-SA"/>
        </w:rPr>
        <w:t>последващи</w:t>
      </w:r>
      <w:proofErr w:type="spellEnd"/>
      <w:r w:rsidRPr="00A20DAD">
        <w:rPr>
          <w:sz w:val="24"/>
          <w:szCs w:val="24"/>
          <w:lang w:eastAsia="ar-SA"/>
        </w:rPr>
        <w:t xml:space="preserve"> финансови инспекции през отчетния период от Агенцията</w:t>
      </w:r>
      <w:r w:rsidRPr="00056DFA">
        <w:rPr>
          <w:sz w:val="24"/>
          <w:szCs w:val="24"/>
          <w:lang w:eastAsia="ar-SA"/>
        </w:rPr>
        <w:t xml:space="preserve"> за държавна финансова инспекция са извършени 428 финансови инспекции. </w:t>
      </w:r>
      <w:r w:rsidRPr="00056DFA">
        <w:rPr>
          <w:rFonts w:eastAsia="Batang"/>
          <w:sz w:val="24"/>
          <w:szCs w:val="24"/>
        </w:rPr>
        <w:t>Проверени са 958 случая на разходвани средства за обществени поръчки на стойност 1</w:t>
      </w:r>
      <w:r w:rsidR="0063163F">
        <w:rPr>
          <w:rFonts w:eastAsia="Batang"/>
          <w:sz w:val="24"/>
          <w:szCs w:val="24"/>
        </w:rPr>
        <w:t> </w:t>
      </w:r>
      <w:r w:rsidRPr="00056DFA">
        <w:rPr>
          <w:rFonts w:eastAsia="Batang"/>
          <w:sz w:val="24"/>
          <w:szCs w:val="24"/>
        </w:rPr>
        <w:t>140</w:t>
      </w:r>
      <w:r w:rsidR="0063163F" w:rsidRPr="009E42C6">
        <w:rPr>
          <w:rFonts w:eastAsia="Batang"/>
          <w:sz w:val="24"/>
          <w:szCs w:val="24"/>
        </w:rPr>
        <w:t>.</w:t>
      </w:r>
      <w:r w:rsidRPr="00056DFA">
        <w:rPr>
          <w:rFonts w:eastAsia="Batang"/>
          <w:sz w:val="24"/>
          <w:szCs w:val="24"/>
        </w:rPr>
        <w:t>2</w:t>
      </w:r>
      <w:r w:rsidR="0063163F">
        <w:rPr>
          <w:rFonts w:eastAsia="Batang"/>
          <w:sz w:val="24"/>
          <w:szCs w:val="24"/>
        </w:rPr>
        <w:t> </w:t>
      </w:r>
      <w:r w:rsidR="0063163F" w:rsidRPr="00A64B64">
        <w:rPr>
          <w:rFonts w:eastAsia="Batang"/>
          <w:sz w:val="24"/>
          <w:szCs w:val="24"/>
        </w:rPr>
        <w:t xml:space="preserve"> </w:t>
      </w:r>
      <w:r w:rsidR="0063163F">
        <w:rPr>
          <w:rFonts w:eastAsia="Batang"/>
          <w:sz w:val="24"/>
          <w:szCs w:val="24"/>
        </w:rPr>
        <w:t>млн.</w:t>
      </w:r>
      <w:r w:rsidRPr="00056DFA">
        <w:rPr>
          <w:rFonts w:eastAsia="Batang"/>
          <w:sz w:val="24"/>
          <w:szCs w:val="24"/>
        </w:rPr>
        <w:t xml:space="preserve"> лв., като при 388 от тях са установени 654 бр. нарушения или нарушения са установени при 40,5 % от проверените обществени поръчки</w:t>
      </w:r>
      <w:r w:rsidRPr="00056DFA">
        <w:rPr>
          <w:sz w:val="24"/>
          <w:szCs w:val="24"/>
          <w:lang w:eastAsia="ar-SA"/>
        </w:rPr>
        <w:t>. Установени са нарушения на бюджетната и финансово-стопанската дисциплина за 11</w:t>
      </w:r>
      <w:r w:rsidR="0063163F">
        <w:rPr>
          <w:sz w:val="24"/>
          <w:szCs w:val="24"/>
          <w:lang w:eastAsia="ar-SA"/>
        </w:rPr>
        <w:t>.</w:t>
      </w:r>
      <w:r w:rsidRPr="00056DFA">
        <w:rPr>
          <w:sz w:val="24"/>
          <w:szCs w:val="24"/>
          <w:lang w:eastAsia="ar-SA"/>
        </w:rPr>
        <w:t>3</w:t>
      </w:r>
      <w:r w:rsidR="0063163F">
        <w:rPr>
          <w:sz w:val="24"/>
          <w:szCs w:val="24"/>
          <w:lang w:eastAsia="ar-SA"/>
        </w:rPr>
        <w:t>  млн.</w:t>
      </w:r>
      <w:r w:rsidRPr="00056DFA">
        <w:rPr>
          <w:sz w:val="24"/>
          <w:szCs w:val="24"/>
          <w:lang w:eastAsia="ar-SA"/>
        </w:rPr>
        <w:t xml:space="preserve"> лв. </w:t>
      </w:r>
      <w:r w:rsidRPr="00056DFA">
        <w:rPr>
          <w:rFonts w:eastAsia="Batang"/>
          <w:sz w:val="24"/>
          <w:szCs w:val="24"/>
        </w:rPr>
        <w:t xml:space="preserve">Във връзка с установени нарушения са съставени 626 акта за установяване на административни нарушения срещу 360 лица, предприети са и други действия в рамките на компетенциите на органите на АДФИ. </w:t>
      </w:r>
    </w:p>
    <w:p w:rsidR="00940E69" w:rsidRPr="00056DFA" w:rsidRDefault="00940E69" w:rsidP="009A75DA">
      <w:pPr>
        <w:spacing w:before="0" w:after="0"/>
        <w:jc w:val="both"/>
        <w:rPr>
          <w:sz w:val="24"/>
          <w:szCs w:val="24"/>
        </w:rPr>
      </w:pPr>
      <w:r w:rsidRPr="00056DFA">
        <w:rPr>
          <w:rFonts w:eastAsia="Batang"/>
          <w:sz w:val="24"/>
          <w:szCs w:val="24"/>
        </w:rPr>
        <w:t xml:space="preserve">От съществено значение за защитата на държавните финансови интереси е организирането на процесуалното представителство по международните арбитражни дела, предвид значителния им материален интерес. </w:t>
      </w:r>
      <w:r w:rsidRPr="00056DFA">
        <w:rPr>
          <w:sz w:val="24"/>
          <w:szCs w:val="24"/>
        </w:rPr>
        <w:t xml:space="preserve">През отчетния период са покрити всички показатели за изпълнение като </w:t>
      </w:r>
      <w:proofErr w:type="spellStart"/>
      <w:r w:rsidRPr="00056DFA">
        <w:rPr>
          <w:sz w:val="24"/>
          <w:szCs w:val="24"/>
        </w:rPr>
        <w:t>успеваемостта</w:t>
      </w:r>
      <w:proofErr w:type="spellEnd"/>
      <w:r w:rsidRPr="00056DFA">
        <w:rPr>
          <w:sz w:val="24"/>
          <w:szCs w:val="24"/>
        </w:rPr>
        <w:t xml:space="preserve"> по делата е 76,5 %, които представляват 75,4 % от заявения материален интерес, коефициентът на </w:t>
      </w:r>
      <w:proofErr w:type="spellStart"/>
      <w:r w:rsidRPr="00056DFA">
        <w:rPr>
          <w:sz w:val="24"/>
          <w:szCs w:val="24"/>
        </w:rPr>
        <w:t>успеваемост</w:t>
      </w:r>
      <w:proofErr w:type="spellEnd"/>
      <w:r w:rsidRPr="00056DFA">
        <w:rPr>
          <w:sz w:val="24"/>
          <w:szCs w:val="24"/>
        </w:rPr>
        <w:t xml:space="preserve"> е 0,99 и процесуалните срокове са спазени на 100 %.  </w:t>
      </w:r>
    </w:p>
    <w:p w:rsidR="00940E69" w:rsidRPr="00056DFA" w:rsidRDefault="00940E69" w:rsidP="00940E69">
      <w:pPr>
        <w:suppressAutoHyphens/>
        <w:spacing w:before="0" w:after="0"/>
        <w:jc w:val="both"/>
        <w:rPr>
          <w:sz w:val="24"/>
          <w:szCs w:val="24"/>
          <w:lang w:eastAsia="ar-SA"/>
        </w:rPr>
      </w:pPr>
    </w:p>
    <w:p w:rsidR="00940E69" w:rsidRPr="00056DFA" w:rsidRDefault="00940E69" w:rsidP="00940E69">
      <w:pPr>
        <w:widowControl w:val="0"/>
        <w:spacing w:before="0" w:after="0"/>
        <w:jc w:val="both"/>
        <w:rPr>
          <w:rFonts w:eastAsia="Batang"/>
          <w:b/>
          <w:bCs/>
          <w:sz w:val="24"/>
          <w:szCs w:val="24"/>
        </w:rPr>
      </w:pPr>
      <w:r w:rsidRPr="005F4843">
        <w:rPr>
          <w:rFonts w:eastAsia="Batang"/>
          <w:b/>
          <w:bCs/>
          <w:sz w:val="24"/>
          <w:szCs w:val="24"/>
        </w:rPr>
        <w:tab/>
      </w:r>
      <w:r w:rsidRPr="00056DFA">
        <w:rPr>
          <w:rFonts w:eastAsia="Batang"/>
          <w:b/>
          <w:bCs/>
          <w:sz w:val="24"/>
          <w:szCs w:val="24"/>
        </w:rPr>
        <w:t>Политика в областта на ефективното събиране на всички държавни приходи, която  включва бюджетна програма “Администриране на държавни приходи” с изразходени средства в размер на 256 млн. лв.</w:t>
      </w:r>
    </w:p>
    <w:p w:rsidR="00940E69" w:rsidRPr="00056DFA" w:rsidRDefault="00940E69" w:rsidP="00940E69">
      <w:pPr>
        <w:suppressAutoHyphens/>
        <w:spacing w:before="0" w:after="0"/>
        <w:jc w:val="both"/>
        <w:rPr>
          <w:rFonts w:eastAsia="Batang"/>
          <w:sz w:val="24"/>
          <w:szCs w:val="24"/>
          <w:lang w:eastAsia="ko-KR"/>
        </w:rPr>
      </w:pPr>
      <w:r w:rsidRPr="00056DFA">
        <w:rPr>
          <w:rFonts w:eastAsia="Batang"/>
          <w:sz w:val="24"/>
          <w:szCs w:val="24"/>
          <w:lang w:eastAsia="ko-KR"/>
        </w:rPr>
        <w:t>Политиката по приходите през отчетния период е насочена към подкрепа на икономическия растеж, подобряване на бизнес средата, борба с данъчните злоупотреби и повишаване на фискалната устойчивост в дългосрочен план. Запазени са ниските данъчни ставки за корпоративните данъци и тези за данъците върху доходите на физическите лица, като важна предпоставка за инвестиции, икономически растеж и заетост. В международен аспект, данъчната политика е насочена в подкрепа на функционирането на единния пазар на Европейския съюз и за посрещане на предизвикателствата на глобализацията и дигитализацията на икономиката.</w:t>
      </w:r>
    </w:p>
    <w:p w:rsidR="00940E69" w:rsidRPr="00056DFA" w:rsidRDefault="00940E69" w:rsidP="00940E69">
      <w:pPr>
        <w:suppressAutoHyphens/>
        <w:spacing w:before="0" w:after="0"/>
        <w:jc w:val="both"/>
        <w:rPr>
          <w:rFonts w:eastAsia="MS Mincho"/>
          <w:sz w:val="24"/>
          <w:szCs w:val="24"/>
          <w:lang w:eastAsia="ko-KR"/>
        </w:rPr>
      </w:pPr>
      <w:r w:rsidRPr="00056DFA">
        <w:rPr>
          <w:rFonts w:eastAsia="MS Mincho"/>
          <w:sz w:val="24"/>
          <w:szCs w:val="24"/>
          <w:lang w:eastAsia="ko-KR"/>
        </w:rPr>
        <w:lastRenderedPageBreak/>
        <w:t xml:space="preserve">Продължава изпълнението на мерките, свързани с подобряване на данъчната </w:t>
      </w:r>
      <w:proofErr w:type="spellStart"/>
      <w:r w:rsidRPr="00056DFA">
        <w:rPr>
          <w:rFonts w:eastAsia="MS Mincho"/>
          <w:sz w:val="24"/>
          <w:szCs w:val="24"/>
          <w:lang w:eastAsia="ko-KR"/>
        </w:rPr>
        <w:t>събираемост</w:t>
      </w:r>
      <w:proofErr w:type="spellEnd"/>
      <w:r w:rsidRPr="00056DFA">
        <w:rPr>
          <w:rFonts w:eastAsia="MS Mincho"/>
          <w:sz w:val="24"/>
          <w:szCs w:val="24"/>
          <w:lang w:eastAsia="ko-KR"/>
        </w:rPr>
        <w:t xml:space="preserve"> и справяне със сенчестата икономика от Плана за действие към Единната национална стратегия за повишаване на събираемостта на данъците, справяне със сенчестата икономика и намаляване на разходите за спазване на законодателството 2015-2017 (ЕНС). Изготвена е актуализация на Плана за действие към Стратегията, като в него са включени нови мерки и дейности за усъвършенстване на съществуващите мерки. През март 2017 г. е изготвен вторият доклад с оценка по прилагането на ЕНС за 2016 г., одобрен на заседание на Министерския съвет от 22.03.2016 г.</w:t>
      </w:r>
    </w:p>
    <w:p w:rsidR="00940E69" w:rsidRPr="00056DFA" w:rsidRDefault="00940E69" w:rsidP="00940E69">
      <w:pPr>
        <w:suppressAutoHyphens/>
        <w:spacing w:before="0" w:after="0"/>
        <w:jc w:val="both"/>
        <w:rPr>
          <w:sz w:val="24"/>
          <w:szCs w:val="24"/>
          <w:lang w:eastAsia="ar-SA"/>
        </w:rPr>
      </w:pPr>
      <w:r w:rsidRPr="00056DFA">
        <w:rPr>
          <w:sz w:val="24"/>
          <w:szCs w:val="24"/>
          <w:lang w:eastAsia="ar-SA"/>
        </w:rPr>
        <w:t>Предприети са мерки за засилване и разширяване на въведения фискален контрол върху движението на стоки с висок фискален риск на територията на Република България. С продължаване действието на мярката се цели защита на фискалната позиция, предотвратяване неплащането на данъчни задължения, ограничаване на нелоялната конкуренция и закрила на българските производители на стоки с висок фискален риск.</w:t>
      </w:r>
    </w:p>
    <w:p w:rsidR="00940E69" w:rsidRPr="00056DFA" w:rsidRDefault="00940E69" w:rsidP="00940E69">
      <w:pPr>
        <w:suppressAutoHyphens/>
        <w:spacing w:before="0" w:after="0"/>
        <w:jc w:val="both"/>
        <w:rPr>
          <w:color w:val="000000"/>
          <w:kern w:val="28"/>
          <w:sz w:val="24"/>
          <w:szCs w:val="24"/>
          <w:lang w:eastAsia="ar-SA"/>
        </w:rPr>
      </w:pPr>
      <w:r w:rsidRPr="00056DFA">
        <w:rPr>
          <w:color w:val="000000"/>
          <w:kern w:val="28"/>
          <w:sz w:val="24"/>
          <w:szCs w:val="24"/>
          <w:lang w:eastAsia="ar-SA"/>
        </w:rPr>
        <w:t xml:space="preserve">Контролът върху акцизните стоки продължава да е една от приоритетните задачи, свързани с намаляване на дела на сенчестата икономика и укриването на данъци. В тази връзка са предприети засилени мерки на данъчната политика за </w:t>
      </w:r>
      <w:proofErr w:type="spellStart"/>
      <w:r w:rsidRPr="00056DFA">
        <w:rPr>
          <w:color w:val="000000"/>
          <w:kern w:val="28"/>
          <w:sz w:val="24"/>
          <w:szCs w:val="24"/>
          <w:lang w:eastAsia="ar-SA"/>
        </w:rPr>
        <w:t>изсветляване</w:t>
      </w:r>
      <w:proofErr w:type="spellEnd"/>
      <w:r w:rsidRPr="00056DFA">
        <w:rPr>
          <w:color w:val="000000"/>
          <w:kern w:val="28"/>
          <w:sz w:val="24"/>
          <w:szCs w:val="24"/>
          <w:lang w:eastAsia="ar-SA"/>
        </w:rPr>
        <w:t xml:space="preserve"> на бизнеса с горива и ангажиране на различни компетентни органи за осъществяване на цялостен контрол. </w:t>
      </w:r>
    </w:p>
    <w:p w:rsidR="00940E69" w:rsidRPr="00A70DFB" w:rsidRDefault="00940E69" w:rsidP="00940E69">
      <w:pPr>
        <w:suppressAutoHyphens/>
        <w:spacing w:before="0" w:after="0"/>
        <w:jc w:val="both"/>
        <w:rPr>
          <w:rFonts w:eastAsia="Batang"/>
          <w:sz w:val="24"/>
          <w:szCs w:val="24"/>
          <w:lang w:eastAsia="ko-KR"/>
        </w:rPr>
      </w:pPr>
      <w:r w:rsidRPr="00056DFA">
        <w:rPr>
          <w:rFonts w:eastAsia="Batang"/>
          <w:sz w:val="24"/>
          <w:szCs w:val="24"/>
          <w:lang w:eastAsia="ko-KR"/>
        </w:rPr>
        <w:t xml:space="preserve">Въведени са мерки за намаляване на административната тежест върху бизнеса и гражданите – оптимизиране и опростяване на нормативните режими и процедури, разработване и внедряване на нови електронни услуги от приходните администрации по предоставяне на интегрирана информация на задължените лица и на други институции, увеличаване на подаваните данъчни и осигурителни декларации по </w:t>
      </w:r>
      <w:r w:rsidRPr="00A70DFB">
        <w:rPr>
          <w:rFonts w:eastAsia="Batang"/>
          <w:sz w:val="24"/>
          <w:szCs w:val="24"/>
          <w:lang w:eastAsia="ko-KR"/>
        </w:rPr>
        <w:t>електронен път и други.</w:t>
      </w:r>
    </w:p>
    <w:p w:rsidR="00940E69" w:rsidRPr="00A70DFB" w:rsidRDefault="00940E69" w:rsidP="00940E69">
      <w:pPr>
        <w:tabs>
          <w:tab w:val="num" w:pos="0"/>
          <w:tab w:val="num" w:pos="644"/>
        </w:tabs>
        <w:suppressAutoHyphens/>
        <w:spacing w:before="0" w:after="0"/>
        <w:jc w:val="both"/>
        <w:rPr>
          <w:sz w:val="24"/>
          <w:szCs w:val="24"/>
          <w:lang w:eastAsia="ar-SA"/>
        </w:rPr>
      </w:pPr>
      <w:r w:rsidRPr="00A70DFB">
        <w:rPr>
          <w:sz w:val="24"/>
          <w:szCs w:val="24"/>
          <w:lang w:eastAsia="ar-SA"/>
        </w:rPr>
        <w:t>За 2017 г. приходите, събрани от НАП са в размер на 19 176,3 млн. лева, което е увеличение с 1 535,5 млн. лв. (8,7%) спрямо предходната година. Приходите, събрани от НАП за централния бюджет през 2017 г., са в размер на 10 948,8 млн. лева, което е с 623,3 млн. лева (6,0%) повече спрямо предходната година. Приходите от задължителни осигурителни вноски, събрани от НАП през 2017 г., са в размер на 8 227,6 млн. лева, което е с 912,2 млн. лева (12,5%) повече спрямо предходната година</w:t>
      </w:r>
    </w:p>
    <w:p w:rsidR="00940E69" w:rsidRPr="00A70DFB" w:rsidRDefault="00940E69" w:rsidP="00940E69">
      <w:pPr>
        <w:tabs>
          <w:tab w:val="num" w:pos="1080"/>
        </w:tabs>
        <w:spacing w:before="0" w:after="0"/>
        <w:jc w:val="both"/>
        <w:rPr>
          <w:bCs/>
          <w:sz w:val="24"/>
          <w:szCs w:val="24"/>
        </w:rPr>
      </w:pPr>
      <w:r w:rsidRPr="00A70DFB">
        <w:rPr>
          <w:rFonts w:eastAsia="Batang"/>
          <w:sz w:val="24"/>
          <w:szCs w:val="24"/>
          <w:lang w:eastAsia="ko-KR"/>
        </w:rPr>
        <w:t xml:space="preserve">През отчетния период приходите от акциз, събрани от Агенция „Митници“ са в размер на 4 984,5 млн. лв., което представлява 98,9 % изпълнение от предвидените стойности в Закона за държавния бюджет на Република България за 2017 г. Събраната сума е със 179,5 млн. лева (3,7%) повече от приходите през 2016 година. </w:t>
      </w:r>
      <w:r w:rsidRPr="00A70DFB">
        <w:rPr>
          <w:sz w:val="24"/>
          <w:szCs w:val="24"/>
        </w:rPr>
        <w:t>През 2017 г. приходите от пътни такси и разрешителни, които Агенция „Митници“ начисли на ГКПП са 87 661,2 млн. лв., сравнено с предходната година за периода 01.</w:t>
      </w:r>
      <w:proofErr w:type="spellStart"/>
      <w:r w:rsidRPr="00A70DFB">
        <w:rPr>
          <w:sz w:val="24"/>
          <w:szCs w:val="24"/>
        </w:rPr>
        <w:t>01</w:t>
      </w:r>
      <w:proofErr w:type="spellEnd"/>
      <w:r w:rsidRPr="00A70DFB">
        <w:rPr>
          <w:sz w:val="24"/>
          <w:szCs w:val="24"/>
        </w:rPr>
        <w:t xml:space="preserve">.2016 г. – 31.12.2016 г. са постъпили  57 460, млн. лв. </w:t>
      </w:r>
    </w:p>
    <w:p w:rsidR="00940E69" w:rsidRPr="00056DFA" w:rsidRDefault="00940E69" w:rsidP="00940E69">
      <w:pPr>
        <w:tabs>
          <w:tab w:val="num" w:pos="-284"/>
        </w:tabs>
        <w:suppressAutoHyphens/>
        <w:spacing w:before="0" w:after="0"/>
        <w:jc w:val="both"/>
        <w:rPr>
          <w:sz w:val="24"/>
          <w:szCs w:val="24"/>
          <w:lang w:eastAsia="ar-SA"/>
        </w:rPr>
      </w:pPr>
      <w:r w:rsidRPr="00A70DFB">
        <w:rPr>
          <w:rFonts w:eastAsia="Batang"/>
          <w:sz w:val="24"/>
          <w:szCs w:val="24"/>
        </w:rPr>
        <w:t>Повишена е събираемостта на просрочените публични вземания. В резултат на комплексното прилагане на специфични мерки и кампании през последните три години</w:t>
      </w:r>
      <w:r w:rsidRPr="00056DFA">
        <w:rPr>
          <w:rFonts w:eastAsia="Batang"/>
          <w:sz w:val="24"/>
          <w:szCs w:val="24"/>
        </w:rPr>
        <w:t xml:space="preserve"> и половина, се забелязва промяна в поведението на </w:t>
      </w:r>
      <w:proofErr w:type="spellStart"/>
      <w:r w:rsidRPr="00056DFA">
        <w:rPr>
          <w:rFonts w:eastAsia="Batang"/>
          <w:sz w:val="24"/>
          <w:szCs w:val="24"/>
        </w:rPr>
        <w:t>длъжниците</w:t>
      </w:r>
      <w:proofErr w:type="spellEnd"/>
      <w:r w:rsidRPr="00056DFA">
        <w:rPr>
          <w:rFonts w:eastAsia="Batang"/>
          <w:sz w:val="24"/>
          <w:szCs w:val="24"/>
        </w:rPr>
        <w:t>, изразяващо се в по-малък размер на задълженията, които не са платени в законовия срок.</w:t>
      </w:r>
      <w:r w:rsidRPr="00056DFA">
        <w:rPr>
          <w:sz w:val="24"/>
          <w:szCs w:val="24"/>
          <w:lang w:eastAsia="ar-SA"/>
        </w:rPr>
        <w:t xml:space="preserve">  </w:t>
      </w:r>
    </w:p>
    <w:p w:rsidR="00940E69" w:rsidRPr="00056DFA" w:rsidRDefault="00940E69" w:rsidP="00940E69">
      <w:pPr>
        <w:widowControl w:val="0"/>
        <w:spacing w:before="0" w:after="0"/>
        <w:jc w:val="both"/>
        <w:rPr>
          <w:rFonts w:eastAsia="Batang"/>
          <w:b/>
          <w:bCs/>
          <w:sz w:val="24"/>
          <w:szCs w:val="24"/>
        </w:rPr>
      </w:pPr>
      <w:r w:rsidRPr="00056DFA">
        <w:rPr>
          <w:rFonts w:eastAsia="Batang"/>
          <w:b/>
          <w:bCs/>
          <w:sz w:val="24"/>
          <w:szCs w:val="24"/>
        </w:rPr>
        <w:t>Политика в областта на защитата на обществото и икономиката от финансови измами, контрабанда на стоки, изпиране на пари и финансиране на тероризма, която включва бюджетна програма „Интегриране на финансовата система във финансовата система на ЕС“, бюджетна програма “Митнически контрол и надзор (нефискален)” и бюджетна програма “Контрол върху организацията и провеждането на хазартни игри” с общо изразходени средства в размер на 42,3 млн. лв.</w:t>
      </w:r>
    </w:p>
    <w:p w:rsidR="00940E69" w:rsidRPr="00056DFA" w:rsidRDefault="00940E69" w:rsidP="00940E69">
      <w:pPr>
        <w:suppressAutoHyphens/>
        <w:autoSpaceDE w:val="0"/>
        <w:spacing w:before="0" w:after="0"/>
        <w:jc w:val="both"/>
        <w:rPr>
          <w:sz w:val="24"/>
          <w:szCs w:val="24"/>
          <w:lang w:eastAsia="ar-SA"/>
        </w:rPr>
      </w:pPr>
      <w:r w:rsidRPr="00056DFA">
        <w:rPr>
          <w:rFonts w:eastAsia="Batang"/>
          <w:sz w:val="24"/>
          <w:szCs w:val="24"/>
        </w:rPr>
        <w:lastRenderedPageBreak/>
        <w:t>Приоритетите на администрацията на министерството през 2017 г. бяха насочени към интегрирането на финансовата система на страната във финансовата система на ЕС чрез прилагане на европейските политики и практики в областта на финансовите пазари и финансовите услуги при максимална защита на националните интереси и гарантиране на финансовата стабилност.</w:t>
      </w:r>
    </w:p>
    <w:p w:rsidR="00940E69" w:rsidRPr="00056DFA" w:rsidRDefault="00940E69" w:rsidP="00940E69">
      <w:pPr>
        <w:suppressAutoHyphens/>
        <w:autoSpaceDE w:val="0"/>
        <w:spacing w:before="0" w:after="0"/>
        <w:jc w:val="both"/>
        <w:rPr>
          <w:sz w:val="24"/>
          <w:szCs w:val="24"/>
          <w:lang w:eastAsia="ar-SA"/>
        </w:rPr>
      </w:pPr>
      <w:r w:rsidRPr="00056DFA">
        <w:rPr>
          <w:sz w:val="24"/>
          <w:szCs w:val="24"/>
        </w:rPr>
        <w:t>Отчитайки Стратегията на Митническия съюз на ЕС и Стратегията на Агенция "Митници" 2014 - 2017 г. приоритетите и целите на митническата администрация през 2017 г. бяха насочени към:</w:t>
      </w:r>
    </w:p>
    <w:p w:rsidR="00940E69" w:rsidRPr="00056DFA" w:rsidRDefault="00940E69" w:rsidP="00940E69">
      <w:pPr>
        <w:numPr>
          <w:ilvl w:val="0"/>
          <w:numId w:val="11"/>
        </w:numPr>
        <w:suppressAutoHyphens/>
        <w:autoSpaceDE w:val="0"/>
        <w:spacing w:before="0" w:after="0"/>
        <w:ind w:left="0" w:firstLine="567"/>
        <w:jc w:val="both"/>
        <w:rPr>
          <w:sz w:val="24"/>
          <w:szCs w:val="24"/>
          <w:lang w:eastAsia="ar-SA"/>
        </w:rPr>
      </w:pPr>
      <w:r w:rsidRPr="00056DFA">
        <w:rPr>
          <w:sz w:val="24"/>
          <w:szCs w:val="24"/>
          <w:lang w:eastAsia="ar-SA"/>
        </w:rPr>
        <w:t xml:space="preserve">Улесняване на законната търговия чрез модернизиране на митническите работни методи в съответствие със стандартите на Европейския съюз с цел улеснение движението на стоките и намаляване на административната тежест; </w:t>
      </w:r>
    </w:p>
    <w:p w:rsidR="00940E69" w:rsidRPr="00056DFA" w:rsidRDefault="00940E69" w:rsidP="00940E69">
      <w:pPr>
        <w:numPr>
          <w:ilvl w:val="0"/>
          <w:numId w:val="11"/>
        </w:numPr>
        <w:suppressAutoHyphens/>
        <w:autoSpaceDE w:val="0"/>
        <w:spacing w:before="0" w:after="0"/>
        <w:ind w:left="0" w:firstLine="567"/>
        <w:jc w:val="both"/>
        <w:rPr>
          <w:sz w:val="24"/>
          <w:szCs w:val="24"/>
          <w:lang w:eastAsia="ar-SA"/>
        </w:rPr>
      </w:pPr>
      <w:r w:rsidRPr="00056DFA">
        <w:rPr>
          <w:sz w:val="24"/>
          <w:szCs w:val="24"/>
          <w:lang w:eastAsia="ar-SA"/>
        </w:rPr>
        <w:t xml:space="preserve">Повишаване на ефективността при събирането на вземанията при внос на стоки и от акциз при сделки в страната; </w:t>
      </w:r>
    </w:p>
    <w:p w:rsidR="00940E69" w:rsidRPr="00056DFA" w:rsidRDefault="00940E69" w:rsidP="00940E69">
      <w:pPr>
        <w:numPr>
          <w:ilvl w:val="0"/>
          <w:numId w:val="11"/>
        </w:numPr>
        <w:suppressAutoHyphens/>
        <w:autoSpaceDE w:val="0"/>
        <w:spacing w:before="0" w:after="0"/>
        <w:ind w:left="0" w:firstLine="567"/>
        <w:jc w:val="both"/>
        <w:rPr>
          <w:sz w:val="24"/>
          <w:szCs w:val="24"/>
          <w:lang w:eastAsia="ar-SA"/>
        </w:rPr>
      </w:pPr>
      <w:r w:rsidRPr="00056DFA">
        <w:rPr>
          <w:sz w:val="24"/>
          <w:szCs w:val="24"/>
          <w:lang w:eastAsia="ar-SA"/>
        </w:rPr>
        <w:t xml:space="preserve">Поддържане, развитие и засилване на сътрудничеството с митническите органи на държавите членки, с другите </w:t>
      </w:r>
      <w:proofErr w:type="spellStart"/>
      <w:r w:rsidRPr="00056DFA">
        <w:rPr>
          <w:sz w:val="24"/>
          <w:szCs w:val="24"/>
          <w:lang w:eastAsia="ar-SA"/>
        </w:rPr>
        <w:t>правоприлагащи</w:t>
      </w:r>
      <w:proofErr w:type="spellEnd"/>
      <w:r w:rsidRPr="00056DFA">
        <w:rPr>
          <w:sz w:val="24"/>
          <w:szCs w:val="24"/>
          <w:lang w:eastAsia="ar-SA"/>
        </w:rPr>
        <w:t xml:space="preserve"> органи, с икономическите оператори и с обществеността; </w:t>
      </w:r>
    </w:p>
    <w:p w:rsidR="00940E69" w:rsidRPr="00056DFA" w:rsidRDefault="00940E69" w:rsidP="00940E69">
      <w:pPr>
        <w:numPr>
          <w:ilvl w:val="0"/>
          <w:numId w:val="11"/>
        </w:numPr>
        <w:suppressAutoHyphens/>
        <w:autoSpaceDE w:val="0"/>
        <w:spacing w:before="0" w:after="0"/>
        <w:ind w:left="0" w:firstLine="567"/>
        <w:jc w:val="both"/>
        <w:rPr>
          <w:sz w:val="24"/>
          <w:szCs w:val="24"/>
          <w:lang w:eastAsia="ar-SA"/>
        </w:rPr>
      </w:pPr>
      <w:r w:rsidRPr="00056DFA">
        <w:rPr>
          <w:sz w:val="24"/>
          <w:szCs w:val="24"/>
          <w:lang w:eastAsia="ar-SA"/>
        </w:rPr>
        <w:t xml:space="preserve">Защита на обществото и финансовите интереси на Република България и на ЕС чрез бързи и ефективни мерки за противодействие на митническите, валутни и акцизни нарушения, на незаконния трафик на наркотични вещества и </w:t>
      </w:r>
      <w:proofErr w:type="spellStart"/>
      <w:r w:rsidRPr="00056DFA">
        <w:rPr>
          <w:sz w:val="24"/>
          <w:szCs w:val="24"/>
          <w:lang w:eastAsia="ar-SA"/>
        </w:rPr>
        <w:t>прекурсори</w:t>
      </w:r>
      <w:proofErr w:type="spellEnd"/>
      <w:r w:rsidRPr="00056DFA">
        <w:rPr>
          <w:sz w:val="24"/>
          <w:szCs w:val="24"/>
          <w:lang w:eastAsia="ar-SA"/>
        </w:rPr>
        <w:t xml:space="preserve"> и оръжия, изделия и технологии с двойна употреба, защитата на права върху интелектуална собственост и др. </w:t>
      </w:r>
    </w:p>
    <w:p w:rsidR="00940E69" w:rsidRPr="00056DFA" w:rsidRDefault="00940E69" w:rsidP="00940E69">
      <w:pPr>
        <w:autoSpaceDE w:val="0"/>
        <w:spacing w:before="0" w:after="0"/>
        <w:jc w:val="both"/>
        <w:rPr>
          <w:rFonts w:eastAsia="Batang"/>
          <w:sz w:val="24"/>
          <w:szCs w:val="24"/>
          <w:lang w:eastAsia="ko-KR"/>
        </w:rPr>
      </w:pPr>
      <w:r w:rsidRPr="00056DFA">
        <w:rPr>
          <w:rFonts w:eastAsia="Batang"/>
          <w:sz w:val="24"/>
          <w:szCs w:val="24"/>
          <w:lang w:eastAsia="ko-KR"/>
        </w:rPr>
        <w:t>Приоритетите и целите на Държавната комисия по хазарта</w:t>
      </w:r>
      <w:r w:rsidR="00DE63FB">
        <w:rPr>
          <w:rFonts w:eastAsia="Batang"/>
          <w:sz w:val="24"/>
          <w:szCs w:val="24"/>
          <w:lang w:eastAsia="ko-KR"/>
        </w:rPr>
        <w:t xml:space="preserve"> /ДКХ/</w:t>
      </w:r>
      <w:r w:rsidRPr="00056DFA">
        <w:rPr>
          <w:rFonts w:eastAsia="Batang"/>
          <w:sz w:val="24"/>
          <w:szCs w:val="24"/>
          <w:lang w:eastAsia="ko-KR"/>
        </w:rPr>
        <w:t xml:space="preserve"> през 2017 г. бяха насочени към: провеждането на ясна и дългосрочна политика по отношение развитието на игралния сектор у нас; осъществяване на задълбочени проверки и проучвания по подадени документи и на място за спазване на Закона за хазарта; повишаване качеството и сигурността на информацията, съхранявана в Д</w:t>
      </w:r>
      <w:r w:rsidR="00DE63FB">
        <w:rPr>
          <w:rFonts w:eastAsia="Batang"/>
          <w:sz w:val="24"/>
          <w:szCs w:val="24"/>
          <w:lang w:eastAsia="ko-KR"/>
        </w:rPr>
        <w:t>КХ</w:t>
      </w:r>
      <w:r w:rsidRPr="00056DFA">
        <w:rPr>
          <w:rFonts w:eastAsia="Batang"/>
          <w:sz w:val="24"/>
          <w:szCs w:val="24"/>
          <w:lang w:eastAsia="ko-KR"/>
        </w:rPr>
        <w:t>, водене и поддържане на публични електронни регистри от Д</w:t>
      </w:r>
      <w:r w:rsidR="00DE63FB">
        <w:rPr>
          <w:rFonts w:eastAsia="Batang"/>
          <w:sz w:val="24"/>
          <w:szCs w:val="24"/>
          <w:lang w:eastAsia="ko-KR"/>
        </w:rPr>
        <w:t>КХ</w:t>
      </w:r>
      <w:r w:rsidRPr="00056DFA">
        <w:rPr>
          <w:rFonts w:eastAsia="Batang"/>
          <w:sz w:val="24"/>
          <w:szCs w:val="24"/>
          <w:lang w:eastAsia="ko-KR"/>
        </w:rPr>
        <w:t xml:space="preserve"> за организаторите на хазартни игри, за организаторите на дейности по производство, разпространение и сервиз и по внос, разпространение и сервиз на игрално оборудване, за издадените, продължените, предсрочно прекратените, отказаните и отнетите лицензи за организиране на хазартните игри и за извършване на дейностите по Закона за хазарта и за утвърденото игрално оборудване.</w:t>
      </w:r>
    </w:p>
    <w:p w:rsidR="00940E69" w:rsidRPr="00056DFA" w:rsidRDefault="00940E69" w:rsidP="00940E69">
      <w:pPr>
        <w:suppressAutoHyphens/>
        <w:spacing w:before="0" w:after="0"/>
        <w:jc w:val="both"/>
        <w:rPr>
          <w:rFonts w:eastAsia="Batang"/>
          <w:bCs/>
          <w:sz w:val="24"/>
          <w:szCs w:val="24"/>
          <w:lang w:eastAsia="ko-KR"/>
        </w:rPr>
      </w:pPr>
      <w:r w:rsidRPr="00056DFA">
        <w:rPr>
          <w:rFonts w:eastAsia="Batang"/>
          <w:bCs/>
          <w:sz w:val="24"/>
          <w:szCs w:val="24"/>
          <w:lang w:eastAsia="ko-KR"/>
        </w:rPr>
        <w:t>При изпълнението на целите се постигнаха следните резултати:</w:t>
      </w:r>
    </w:p>
    <w:p w:rsidR="00940E69" w:rsidRPr="00056DFA" w:rsidRDefault="00940E69" w:rsidP="00940E69">
      <w:pPr>
        <w:numPr>
          <w:ilvl w:val="0"/>
          <w:numId w:val="10"/>
        </w:numPr>
        <w:spacing w:before="0" w:after="0"/>
        <w:ind w:left="0" w:firstLine="567"/>
        <w:jc w:val="both"/>
        <w:rPr>
          <w:rFonts w:eastAsia="Calibri"/>
          <w:sz w:val="24"/>
          <w:szCs w:val="24"/>
          <w:lang w:eastAsia="en-US"/>
        </w:rPr>
      </w:pPr>
      <w:r w:rsidRPr="00056DFA">
        <w:rPr>
          <w:rFonts w:eastAsia="Calibri"/>
          <w:sz w:val="24"/>
          <w:szCs w:val="24"/>
          <w:lang w:eastAsia="en-US"/>
        </w:rPr>
        <w:t xml:space="preserve">През 2017 г. митническите служители задържаха общо 7 572,470 кг, 11 699 таблетки и 16 128,130 литра наркотични вещества и </w:t>
      </w:r>
      <w:proofErr w:type="spellStart"/>
      <w:r w:rsidRPr="00056DFA">
        <w:rPr>
          <w:rFonts w:eastAsia="Calibri"/>
          <w:sz w:val="24"/>
          <w:szCs w:val="24"/>
          <w:lang w:eastAsia="en-US"/>
        </w:rPr>
        <w:t>прекурсори</w:t>
      </w:r>
      <w:proofErr w:type="spellEnd"/>
      <w:r w:rsidRPr="00056DFA">
        <w:rPr>
          <w:rFonts w:eastAsia="Calibri"/>
          <w:sz w:val="24"/>
          <w:szCs w:val="24"/>
          <w:lang w:eastAsia="en-US"/>
        </w:rPr>
        <w:t xml:space="preserve"> в 87 случая, от които: 471,785 кг марихуана; 602,588 кг хероин ; 221,070 кг морфин; 175,526 кг и 1260 таблетки екстази </w:t>
      </w:r>
      <w:r w:rsidR="00F914D6">
        <w:rPr>
          <w:rFonts w:eastAsia="Calibri"/>
          <w:sz w:val="24"/>
          <w:szCs w:val="24"/>
          <w:lang w:eastAsia="en-US"/>
        </w:rPr>
        <w:t xml:space="preserve"> и други.</w:t>
      </w:r>
      <w:r w:rsidRPr="00056DFA">
        <w:rPr>
          <w:rFonts w:eastAsia="Calibri"/>
          <w:sz w:val="24"/>
          <w:szCs w:val="24"/>
          <w:lang w:eastAsia="en-US"/>
        </w:rPr>
        <w:t>;</w:t>
      </w:r>
    </w:p>
    <w:p w:rsidR="00940E69" w:rsidRPr="00056DFA" w:rsidRDefault="00940E69" w:rsidP="00940E69">
      <w:pPr>
        <w:numPr>
          <w:ilvl w:val="0"/>
          <w:numId w:val="10"/>
        </w:numPr>
        <w:spacing w:before="0" w:after="0"/>
        <w:ind w:left="0" w:firstLine="567"/>
        <w:jc w:val="both"/>
        <w:rPr>
          <w:rFonts w:eastAsia="Calibri"/>
          <w:sz w:val="24"/>
          <w:szCs w:val="24"/>
          <w:lang w:eastAsia="en-US"/>
        </w:rPr>
      </w:pPr>
      <w:r w:rsidRPr="00056DFA">
        <w:rPr>
          <w:rFonts w:eastAsia="Batang"/>
          <w:sz w:val="24"/>
          <w:szCs w:val="24"/>
        </w:rPr>
        <w:t xml:space="preserve">Специализираните отдели за борба с наркотрафика в системата на Агенция „Митници” взеха участие самостоятелно или с ГДБОП-МВР в 7 международни операции по противодействие на международния трафик на наркотични вещества и </w:t>
      </w:r>
      <w:proofErr w:type="spellStart"/>
      <w:r w:rsidRPr="00056DFA">
        <w:rPr>
          <w:rFonts w:eastAsia="Batang"/>
          <w:sz w:val="24"/>
          <w:szCs w:val="24"/>
        </w:rPr>
        <w:t>прекурсори</w:t>
      </w:r>
      <w:proofErr w:type="spellEnd"/>
      <w:r w:rsidRPr="00056DFA">
        <w:rPr>
          <w:rFonts w:eastAsia="Batang"/>
          <w:sz w:val="24"/>
          <w:szCs w:val="24"/>
          <w:lang w:eastAsia="ko-KR"/>
        </w:rPr>
        <w:t>;</w:t>
      </w:r>
    </w:p>
    <w:p w:rsidR="00940E69" w:rsidRPr="00056DFA" w:rsidRDefault="00940E69" w:rsidP="00940E69">
      <w:pPr>
        <w:numPr>
          <w:ilvl w:val="0"/>
          <w:numId w:val="10"/>
        </w:numPr>
        <w:spacing w:before="0" w:after="0"/>
        <w:ind w:left="0" w:firstLine="567"/>
        <w:jc w:val="both"/>
        <w:rPr>
          <w:rFonts w:eastAsia="Calibri"/>
          <w:sz w:val="24"/>
          <w:szCs w:val="24"/>
          <w:lang w:eastAsia="en-US"/>
        </w:rPr>
      </w:pPr>
      <w:r w:rsidRPr="00056DFA">
        <w:rPr>
          <w:rFonts w:eastAsia="Calibri"/>
          <w:sz w:val="24"/>
          <w:szCs w:val="24"/>
          <w:lang w:eastAsia="en-US"/>
        </w:rPr>
        <w:t xml:space="preserve">През 2017 г. бяха разкрити общо 15 случая на контрабанда на оръжия и боеприпаси, принадлежности и части за оръжия, при които бяха иззети и задържани, както следва: 8 бр. бойни пистолети, 7 бр. газови оръжия, 9362 бр. патрони, 1 672 170 бр. пиротехнически изделия, 1 бр. пневматично оръжие, 1 бр. ловна пушка и 10 бр. принадлежности; </w:t>
      </w:r>
    </w:p>
    <w:p w:rsidR="00940E69" w:rsidRPr="00056DFA" w:rsidRDefault="00940E69" w:rsidP="00940E69">
      <w:pPr>
        <w:numPr>
          <w:ilvl w:val="0"/>
          <w:numId w:val="10"/>
        </w:numPr>
        <w:tabs>
          <w:tab w:val="left" w:pos="426"/>
        </w:tabs>
        <w:spacing w:before="0" w:after="0"/>
        <w:ind w:left="0" w:firstLine="567"/>
        <w:jc w:val="both"/>
        <w:rPr>
          <w:rFonts w:eastAsia="Calibri"/>
          <w:color w:val="000000"/>
          <w:sz w:val="24"/>
          <w:szCs w:val="24"/>
          <w:lang w:eastAsia="en-US"/>
        </w:rPr>
      </w:pPr>
      <w:r w:rsidRPr="00056DFA">
        <w:rPr>
          <w:rFonts w:eastAsia="Calibri"/>
          <w:bCs/>
          <w:sz w:val="24"/>
          <w:szCs w:val="24"/>
        </w:rPr>
        <w:t xml:space="preserve">През 2017 г. действия на митническите органи по предотвратяването на нарушения на права върху интелектуална собственост бяха предприети в 704 </w:t>
      </w:r>
      <w:r w:rsidRPr="00056DFA">
        <w:rPr>
          <w:rFonts w:eastAsia="Calibri"/>
          <w:bCs/>
          <w:sz w:val="24"/>
          <w:szCs w:val="24"/>
          <w:lang w:eastAsia="en-US"/>
        </w:rPr>
        <w:t>случая. В резултат на това общият брой на задържаните артикули възлиза на 1 109 956;</w:t>
      </w:r>
    </w:p>
    <w:p w:rsidR="00940E69" w:rsidRPr="00056DFA" w:rsidRDefault="00940E69" w:rsidP="00940E69">
      <w:pPr>
        <w:numPr>
          <w:ilvl w:val="0"/>
          <w:numId w:val="10"/>
        </w:numPr>
        <w:tabs>
          <w:tab w:val="left" w:pos="426"/>
        </w:tabs>
        <w:spacing w:before="0" w:after="0"/>
        <w:ind w:left="0" w:firstLine="567"/>
        <w:jc w:val="both"/>
        <w:rPr>
          <w:rFonts w:eastAsia="Calibri"/>
          <w:bCs/>
          <w:sz w:val="24"/>
          <w:szCs w:val="24"/>
        </w:rPr>
      </w:pPr>
      <w:r w:rsidRPr="00056DFA">
        <w:rPr>
          <w:rFonts w:eastAsia="Calibri"/>
          <w:bCs/>
          <w:sz w:val="24"/>
          <w:szCs w:val="24"/>
        </w:rPr>
        <w:lastRenderedPageBreak/>
        <w:t>Извършени са общо 3 434 проверки и проучвания от Д</w:t>
      </w:r>
      <w:r w:rsidR="00F914D6">
        <w:rPr>
          <w:rFonts w:eastAsia="Calibri"/>
          <w:bCs/>
          <w:sz w:val="24"/>
          <w:szCs w:val="24"/>
        </w:rPr>
        <w:t>КХ</w:t>
      </w:r>
      <w:r w:rsidRPr="00056DFA">
        <w:rPr>
          <w:rFonts w:eastAsia="Calibri"/>
          <w:bCs/>
          <w:sz w:val="24"/>
          <w:szCs w:val="24"/>
        </w:rPr>
        <w:t xml:space="preserve"> по подадени искания за издаване на лицензи за организиране на хазартни игри и дейности;</w:t>
      </w:r>
    </w:p>
    <w:p w:rsidR="00940E69" w:rsidRPr="00056DFA" w:rsidRDefault="00940E69" w:rsidP="00940E69">
      <w:pPr>
        <w:numPr>
          <w:ilvl w:val="0"/>
          <w:numId w:val="10"/>
        </w:numPr>
        <w:suppressAutoHyphens/>
        <w:spacing w:before="0" w:after="0"/>
        <w:ind w:left="0" w:firstLine="567"/>
        <w:jc w:val="both"/>
        <w:rPr>
          <w:rFonts w:eastAsia="Batang"/>
          <w:sz w:val="24"/>
          <w:szCs w:val="24"/>
          <w:lang w:eastAsia="ko-KR"/>
        </w:rPr>
      </w:pPr>
      <w:r w:rsidRPr="00056DFA">
        <w:rPr>
          <w:rFonts w:eastAsia="Batang"/>
          <w:sz w:val="24"/>
          <w:szCs w:val="24"/>
          <w:lang w:eastAsia="ko-KR"/>
        </w:rPr>
        <w:t>Извършени 734 проверки от Д</w:t>
      </w:r>
      <w:r w:rsidR="00F914D6">
        <w:rPr>
          <w:rFonts w:eastAsia="Batang"/>
          <w:sz w:val="24"/>
          <w:szCs w:val="24"/>
          <w:lang w:eastAsia="ko-KR"/>
        </w:rPr>
        <w:t>КХ</w:t>
      </w:r>
      <w:r w:rsidRPr="00056DFA">
        <w:rPr>
          <w:rFonts w:eastAsia="Batang"/>
          <w:sz w:val="24"/>
          <w:szCs w:val="24"/>
          <w:lang w:eastAsia="ko-KR"/>
        </w:rPr>
        <w:t xml:space="preserve"> на хазартни обекти, игри и дейности. </w:t>
      </w:r>
    </w:p>
    <w:p w:rsidR="00940E69" w:rsidRPr="00056DFA" w:rsidRDefault="00940E69" w:rsidP="00940E69">
      <w:pPr>
        <w:widowControl w:val="0"/>
        <w:spacing w:before="0" w:after="0"/>
        <w:jc w:val="both"/>
        <w:rPr>
          <w:rFonts w:eastAsia="Batang"/>
          <w:b/>
          <w:bCs/>
          <w:sz w:val="24"/>
          <w:szCs w:val="24"/>
        </w:rPr>
      </w:pPr>
      <w:r w:rsidRPr="00056DFA">
        <w:rPr>
          <w:rFonts w:eastAsia="Batang"/>
          <w:b/>
          <w:bCs/>
          <w:sz w:val="24"/>
          <w:szCs w:val="24"/>
        </w:rPr>
        <w:t>Политика в областта на управлението на дълга, която включва бюджетна програма “Управление на ликвидността” с изразходени средства в размер на 2,8 млн. лв.</w:t>
      </w:r>
    </w:p>
    <w:p w:rsidR="00940E69" w:rsidRPr="00056DFA" w:rsidRDefault="00940E69" w:rsidP="00940E69">
      <w:pPr>
        <w:widowControl w:val="0"/>
        <w:spacing w:before="0" w:after="0"/>
        <w:jc w:val="both"/>
        <w:rPr>
          <w:rFonts w:eastAsia="Batang"/>
          <w:color w:val="000000"/>
          <w:sz w:val="24"/>
          <w:szCs w:val="24"/>
          <w:lang w:eastAsia="ko-KR"/>
        </w:rPr>
      </w:pPr>
      <w:r w:rsidRPr="00056DFA">
        <w:rPr>
          <w:rFonts w:eastAsia="Batang"/>
          <w:bCs/>
          <w:color w:val="000000"/>
          <w:sz w:val="24"/>
          <w:szCs w:val="24"/>
          <w:lang w:eastAsia="ko-KR"/>
        </w:rPr>
        <w:t xml:space="preserve">През </w:t>
      </w:r>
      <w:r w:rsidRPr="00056DFA">
        <w:rPr>
          <w:sz w:val="24"/>
          <w:szCs w:val="24"/>
          <w:lang w:eastAsia="ar-SA"/>
        </w:rPr>
        <w:t>отчетния период всички дейности по бюджетната програма бяха ориентирани към: к</w:t>
      </w:r>
      <w:r w:rsidRPr="00056DFA">
        <w:rPr>
          <w:rFonts w:eastAsia="Batang"/>
          <w:sz w:val="24"/>
          <w:szCs w:val="24"/>
          <w:lang w:eastAsia="ko-KR"/>
        </w:rPr>
        <w:t xml:space="preserve">асово управление и изпълнение на държавния бюджет и рефинансиране на дълга в </w:t>
      </w:r>
      <w:proofErr w:type="spellStart"/>
      <w:r w:rsidRPr="00056DFA">
        <w:rPr>
          <w:rFonts w:eastAsia="Batang"/>
          <w:sz w:val="24"/>
          <w:szCs w:val="24"/>
          <w:lang w:eastAsia="ko-KR"/>
        </w:rPr>
        <w:t>обращение</w:t>
      </w:r>
      <w:proofErr w:type="spellEnd"/>
      <w:r w:rsidRPr="00056DFA">
        <w:rPr>
          <w:rFonts w:eastAsia="Batang"/>
          <w:sz w:val="24"/>
          <w:szCs w:val="24"/>
          <w:lang w:eastAsia="ko-KR"/>
        </w:rPr>
        <w:t>, при оптимална цена и приемлива степен на риска;</w:t>
      </w:r>
      <w:r w:rsidRPr="00056DFA">
        <w:rPr>
          <w:rFonts w:eastAsia="Batang"/>
          <w:color w:val="000000"/>
          <w:sz w:val="24"/>
          <w:szCs w:val="24"/>
          <w:lang w:eastAsia="ko-KR"/>
        </w:rPr>
        <w:t xml:space="preserve"> </w:t>
      </w:r>
      <w:proofErr w:type="spellStart"/>
      <w:r w:rsidRPr="00056DFA">
        <w:rPr>
          <w:rFonts w:eastAsia="Batang"/>
          <w:color w:val="000000"/>
          <w:sz w:val="24"/>
          <w:szCs w:val="24"/>
          <w:lang w:eastAsia="ko-KR"/>
        </w:rPr>
        <w:t>агрегиран</w:t>
      </w:r>
      <w:proofErr w:type="spellEnd"/>
      <w:r w:rsidRPr="00056DFA">
        <w:rPr>
          <w:rFonts w:eastAsia="Batang"/>
          <w:color w:val="000000"/>
          <w:sz w:val="24"/>
          <w:szCs w:val="24"/>
          <w:lang w:eastAsia="ko-KR"/>
        </w:rPr>
        <w:t xml:space="preserve"> контрол и управление на плащанията от страна на Министерство на финансите, чрез залагане на общ лимит за плащания на съответните разпоредители с бюджет, с оглед осигуряване на ритмичност при финансирането на държавните разходи; координация и изготвяне на месечни прогнози за касовите приходи, разходи и финансиращи показатели в съответствие с месечните заявки и оценки на </w:t>
      </w:r>
      <w:proofErr w:type="spellStart"/>
      <w:r w:rsidRPr="00056DFA">
        <w:rPr>
          <w:rFonts w:eastAsia="Batang"/>
          <w:color w:val="000000"/>
          <w:sz w:val="24"/>
          <w:szCs w:val="24"/>
          <w:lang w:eastAsia="ko-KR"/>
        </w:rPr>
        <w:t>агрегираните</w:t>
      </w:r>
      <w:proofErr w:type="spellEnd"/>
      <w:r w:rsidRPr="00056DFA">
        <w:rPr>
          <w:rFonts w:eastAsia="Batang"/>
          <w:color w:val="000000"/>
          <w:sz w:val="24"/>
          <w:szCs w:val="24"/>
          <w:lang w:eastAsia="ko-KR"/>
        </w:rPr>
        <w:t xml:space="preserve"> касови потоци за постигане на утвърдените бюджетни параметри с ежегодния закон за държавния бюджет.</w:t>
      </w:r>
    </w:p>
    <w:p w:rsidR="00940E69" w:rsidRPr="00056DFA" w:rsidRDefault="00940E69" w:rsidP="00940E69">
      <w:pPr>
        <w:suppressAutoHyphens/>
        <w:spacing w:before="0" w:after="0"/>
        <w:jc w:val="both"/>
        <w:rPr>
          <w:bCs/>
          <w:sz w:val="24"/>
          <w:szCs w:val="24"/>
          <w:lang w:eastAsia="ar-SA"/>
        </w:rPr>
      </w:pPr>
      <w:r w:rsidRPr="00056DFA">
        <w:rPr>
          <w:rFonts w:eastAsia="Batang"/>
          <w:bCs/>
          <w:sz w:val="24"/>
          <w:szCs w:val="24"/>
          <w:lang w:eastAsia="ko-KR"/>
        </w:rPr>
        <w:t>За осигуряването на финансов ресурс от дългови източници през периода януари – декември 2017 г. бяха използвани възможностите, които предоставя пазарно-ориентираното финансиране на вътрешния пазар чрез използване на възможно най-благоприятно структуриране на потенциалните дългови инструменти</w:t>
      </w:r>
      <w:r w:rsidRPr="00056DFA">
        <w:rPr>
          <w:bCs/>
          <w:sz w:val="24"/>
          <w:szCs w:val="24"/>
          <w:lang w:eastAsia="ar-SA"/>
        </w:rPr>
        <w:t>.</w:t>
      </w:r>
    </w:p>
    <w:p w:rsidR="00940E69" w:rsidRPr="00056DFA" w:rsidRDefault="00940E69" w:rsidP="00940E69">
      <w:pPr>
        <w:suppressAutoHyphens/>
        <w:spacing w:before="0" w:after="0"/>
        <w:jc w:val="both"/>
        <w:rPr>
          <w:bCs/>
          <w:sz w:val="24"/>
          <w:szCs w:val="24"/>
          <w:lang w:eastAsia="ar-SA"/>
        </w:rPr>
      </w:pPr>
      <w:r w:rsidRPr="00056DFA">
        <w:rPr>
          <w:rFonts w:eastAsia="Batang"/>
          <w:bCs/>
          <w:sz w:val="24"/>
          <w:szCs w:val="24"/>
          <w:lang w:eastAsia="ko-KR"/>
        </w:rPr>
        <w:t>През годината продължи провеждането на адекватна емисионна политика, като беше реализирано нетно дългово вътрешно финансиране в размер на 4,</w:t>
      </w:r>
      <w:proofErr w:type="spellStart"/>
      <w:r w:rsidRPr="00056DFA">
        <w:rPr>
          <w:rFonts w:eastAsia="Batang"/>
          <w:bCs/>
          <w:sz w:val="24"/>
          <w:szCs w:val="24"/>
          <w:lang w:eastAsia="ko-KR"/>
        </w:rPr>
        <w:t>4</w:t>
      </w:r>
      <w:proofErr w:type="spellEnd"/>
      <w:r w:rsidRPr="00056DFA">
        <w:rPr>
          <w:rFonts w:eastAsia="Batang"/>
          <w:bCs/>
          <w:sz w:val="24"/>
          <w:szCs w:val="24"/>
          <w:lang w:eastAsia="ko-KR"/>
        </w:rPr>
        <w:t xml:space="preserve"> млн. лв. от операции с ДЦК. Като цяло пласмента на предвидените емисии ДЦК се реализираше в условията на висока ликвидност на вътрешния пазар. Превес на търсенето спрямо предлаганите емисии ДЦК имаше от предимно местни инвеститори. През отчетния период Министерството на финансите предложи 4-годишни, 7,5-годишни и 10,5-годишни книжа</w:t>
      </w:r>
    </w:p>
    <w:p w:rsidR="00940E69" w:rsidRPr="00056DFA" w:rsidRDefault="00940E69" w:rsidP="00940E69">
      <w:pPr>
        <w:suppressAutoHyphens/>
        <w:spacing w:before="0" w:after="0"/>
        <w:jc w:val="both"/>
        <w:rPr>
          <w:sz w:val="24"/>
          <w:szCs w:val="24"/>
          <w:lang w:eastAsia="ar-SA"/>
        </w:rPr>
      </w:pPr>
      <w:r w:rsidRPr="00056DFA">
        <w:rPr>
          <w:sz w:val="24"/>
          <w:szCs w:val="24"/>
          <w:lang w:eastAsia="ar-SA"/>
        </w:rPr>
        <w:t xml:space="preserve">За управлението на касовите наличности ежедневно бе осъществяван мониторинг на изменението на касови потоци на единната сметка и анализ на </w:t>
      </w:r>
      <w:proofErr w:type="spellStart"/>
      <w:r w:rsidRPr="00056DFA">
        <w:rPr>
          <w:sz w:val="24"/>
          <w:szCs w:val="24"/>
          <w:lang w:eastAsia="ar-SA"/>
        </w:rPr>
        <w:t>агрегирания</w:t>
      </w:r>
      <w:proofErr w:type="spellEnd"/>
      <w:r w:rsidRPr="00056DFA">
        <w:rPr>
          <w:sz w:val="24"/>
          <w:szCs w:val="24"/>
          <w:lang w:eastAsia="ar-SA"/>
        </w:rPr>
        <w:t xml:space="preserve"> касов ресурс. Ежемесечно бе одобрявана прогноза и план-график за ежедневните постъпления и плащания по/от централния бюджет, консолидирани в системата на единната сметка, за съответния месец на дневна база, и бе публикувана информация за нетните касови потоци на единната сметка.</w:t>
      </w:r>
    </w:p>
    <w:p w:rsidR="00940E69" w:rsidRPr="00056DFA" w:rsidRDefault="00940E69" w:rsidP="00940E69">
      <w:pPr>
        <w:suppressAutoHyphens/>
        <w:spacing w:before="0" w:after="0"/>
        <w:jc w:val="both"/>
        <w:rPr>
          <w:bCs/>
          <w:sz w:val="24"/>
          <w:szCs w:val="24"/>
          <w:lang w:eastAsia="ar-SA"/>
        </w:rPr>
      </w:pPr>
      <w:r w:rsidRPr="00056DFA">
        <w:rPr>
          <w:rFonts w:eastAsia="Batang"/>
          <w:sz w:val="24"/>
          <w:szCs w:val="24"/>
          <w:lang w:eastAsia="ko-KR"/>
        </w:rPr>
        <w:t xml:space="preserve">През 2017 г. Министерството на финансите прилагаше </w:t>
      </w:r>
      <w:proofErr w:type="spellStart"/>
      <w:r w:rsidRPr="00056DFA">
        <w:rPr>
          <w:rFonts w:eastAsia="Batang"/>
          <w:sz w:val="24"/>
          <w:szCs w:val="24"/>
          <w:lang w:eastAsia="ko-KR"/>
        </w:rPr>
        <w:t>агрегиран</w:t>
      </w:r>
      <w:proofErr w:type="spellEnd"/>
      <w:r w:rsidRPr="00056DFA">
        <w:rPr>
          <w:rFonts w:eastAsia="Batang"/>
          <w:sz w:val="24"/>
          <w:szCs w:val="24"/>
          <w:lang w:eastAsia="ko-KR"/>
        </w:rPr>
        <w:t xml:space="preserve"> контрол върху процесите, свързани с пускане в </w:t>
      </w:r>
      <w:proofErr w:type="spellStart"/>
      <w:r w:rsidRPr="00056DFA">
        <w:rPr>
          <w:rFonts w:eastAsia="Batang"/>
          <w:sz w:val="24"/>
          <w:szCs w:val="24"/>
          <w:lang w:eastAsia="ko-KR"/>
        </w:rPr>
        <w:t>обращение</w:t>
      </w:r>
      <w:proofErr w:type="spellEnd"/>
      <w:r w:rsidRPr="00056DFA">
        <w:rPr>
          <w:rFonts w:eastAsia="Batang"/>
          <w:sz w:val="24"/>
          <w:szCs w:val="24"/>
          <w:lang w:eastAsia="ko-KR"/>
        </w:rPr>
        <w:t xml:space="preserve"> и </w:t>
      </w:r>
      <w:proofErr w:type="spellStart"/>
      <w:r w:rsidRPr="00056DFA">
        <w:rPr>
          <w:rFonts w:eastAsia="Batang"/>
          <w:sz w:val="24"/>
          <w:szCs w:val="24"/>
          <w:lang w:eastAsia="ko-KR"/>
        </w:rPr>
        <w:t>преотваряне</w:t>
      </w:r>
      <w:proofErr w:type="spellEnd"/>
      <w:r w:rsidRPr="00056DFA">
        <w:rPr>
          <w:rFonts w:eastAsia="Batang"/>
          <w:sz w:val="24"/>
          <w:szCs w:val="24"/>
          <w:lang w:eastAsia="ko-KR"/>
        </w:rPr>
        <w:t xml:space="preserve"> на нови емисии ДЦК. За тази цел беше изготвено прогнозно финансиране с емисии ДЦК на вътрешния пазар за 2017 г. </w:t>
      </w:r>
    </w:p>
    <w:p w:rsidR="00940E69" w:rsidRPr="00056DFA" w:rsidRDefault="00940E69" w:rsidP="00940E69">
      <w:pPr>
        <w:widowControl w:val="0"/>
        <w:spacing w:before="0" w:after="0"/>
        <w:jc w:val="both"/>
        <w:rPr>
          <w:sz w:val="24"/>
          <w:szCs w:val="24"/>
          <w:lang w:eastAsia="ar-SA"/>
        </w:rPr>
      </w:pPr>
      <w:r w:rsidRPr="00056DFA">
        <w:rPr>
          <w:rFonts w:eastAsia="Batang"/>
          <w:sz w:val="24"/>
          <w:szCs w:val="24"/>
          <w:lang w:eastAsia="ko-KR"/>
        </w:rPr>
        <w:t>През 2017 г. се осъществяваше постоянен мониторинг на статуса и тенденциите за промяна на нивото и структурата на държавния дълг в зависимост от прогнозата за движението на нетните касови потоци в единната сметка и динамиката на основните макроикономически и фискални параметри</w:t>
      </w:r>
      <w:r w:rsidRPr="00056DFA">
        <w:rPr>
          <w:bCs/>
          <w:sz w:val="24"/>
          <w:szCs w:val="24"/>
          <w:lang w:eastAsia="ar-SA"/>
        </w:rPr>
        <w:t>.</w:t>
      </w:r>
    </w:p>
    <w:p w:rsidR="00940E69" w:rsidRPr="00056DFA" w:rsidRDefault="00940E69" w:rsidP="00940E69">
      <w:pPr>
        <w:widowControl w:val="0"/>
        <w:spacing w:before="0" w:after="0"/>
        <w:jc w:val="both"/>
        <w:rPr>
          <w:rFonts w:eastAsia="Batang"/>
          <w:b/>
          <w:bCs/>
          <w:sz w:val="24"/>
          <w:szCs w:val="24"/>
        </w:rPr>
      </w:pPr>
      <w:r w:rsidRPr="00056DFA">
        <w:rPr>
          <w:rFonts w:eastAsia="Batang"/>
          <w:b/>
          <w:bCs/>
          <w:sz w:val="24"/>
          <w:szCs w:val="24"/>
        </w:rPr>
        <w:t>Бюджетна програма "Национален компенсационен жилищен фонд" с изразходени средства в размер на 35,8 млн. лв.</w:t>
      </w:r>
    </w:p>
    <w:p w:rsidR="00940E69" w:rsidRPr="00056DFA" w:rsidRDefault="00940E69" w:rsidP="00940E69">
      <w:pPr>
        <w:spacing w:before="0" w:after="0"/>
        <w:jc w:val="both"/>
        <w:rPr>
          <w:rFonts w:eastAsia="Batang"/>
          <w:sz w:val="24"/>
          <w:szCs w:val="24"/>
          <w:lang w:eastAsia="ko-KR"/>
        </w:rPr>
      </w:pPr>
      <w:r w:rsidRPr="00056DFA">
        <w:rPr>
          <w:rFonts w:eastAsia="Batang"/>
          <w:sz w:val="24"/>
          <w:szCs w:val="24"/>
          <w:lang w:eastAsia="ko-KR"/>
        </w:rPr>
        <w:t>Заложената цел по бюджетната програма е финансово компенсиране на граждани с многогодишни  жилищно спестовни влогове. Със Закона за уреждане правата на граждани с многогодишни жилищно-спестовни влогове се определя изплащането на компенсации на гражданите придобили жилище, или започнали изграждането на такова.</w:t>
      </w:r>
    </w:p>
    <w:p w:rsidR="00940E69" w:rsidRPr="00056DFA" w:rsidRDefault="00940E69" w:rsidP="00940E69">
      <w:pPr>
        <w:suppressAutoHyphens/>
        <w:spacing w:before="0" w:after="0"/>
        <w:jc w:val="both"/>
        <w:rPr>
          <w:rFonts w:eastAsia="Batang"/>
          <w:sz w:val="24"/>
          <w:szCs w:val="24"/>
          <w:lang w:eastAsia="ko-KR"/>
        </w:rPr>
      </w:pPr>
      <w:r w:rsidRPr="00056DFA">
        <w:rPr>
          <w:rFonts w:eastAsia="Batang"/>
          <w:sz w:val="24"/>
          <w:szCs w:val="24"/>
          <w:lang w:eastAsia="ko-KR"/>
        </w:rPr>
        <w:t xml:space="preserve">По бюджетна програма "Национален компенсационен жилищен фонд" изплатените средства за финансово компенсиране на граждани с многогодишни </w:t>
      </w:r>
      <w:r w:rsidRPr="00056DFA">
        <w:rPr>
          <w:rFonts w:eastAsia="Batang"/>
          <w:sz w:val="24"/>
          <w:szCs w:val="24"/>
          <w:lang w:eastAsia="ko-KR"/>
        </w:rPr>
        <w:lastRenderedPageBreak/>
        <w:t>жилищно спестовни влогове по Закона за уреждане правата на граждани с многогодишни жилищно-спестовни влогове са в размер на 35,6 млн.лв. за  5 178 бр. лица.</w:t>
      </w:r>
    </w:p>
    <w:p w:rsidR="00940E69" w:rsidRPr="00056DFA" w:rsidRDefault="00940E69" w:rsidP="00940E69">
      <w:pPr>
        <w:widowControl w:val="0"/>
        <w:spacing w:before="0" w:after="0"/>
        <w:jc w:val="both"/>
        <w:rPr>
          <w:rFonts w:eastAsia="Batang"/>
          <w:b/>
          <w:bCs/>
          <w:sz w:val="24"/>
          <w:szCs w:val="24"/>
        </w:rPr>
      </w:pPr>
      <w:r w:rsidRPr="00056DFA">
        <w:rPr>
          <w:rFonts w:eastAsia="Batang"/>
          <w:b/>
          <w:bCs/>
          <w:sz w:val="24"/>
          <w:szCs w:val="24"/>
        </w:rPr>
        <w:t>Бюджетна програма "Администрация" с изразходени средства в размер на                  29,9 млн. лв.</w:t>
      </w:r>
    </w:p>
    <w:p w:rsidR="00940E69" w:rsidRPr="00056DFA" w:rsidRDefault="00940E69" w:rsidP="00940E69">
      <w:pPr>
        <w:spacing w:before="0" w:after="0"/>
        <w:ind w:right="-6"/>
        <w:jc w:val="both"/>
        <w:rPr>
          <w:rFonts w:eastAsia="Batang"/>
          <w:sz w:val="24"/>
          <w:szCs w:val="24"/>
          <w:lang w:eastAsia="ko-KR"/>
        </w:rPr>
      </w:pPr>
      <w:r w:rsidRPr="00056DFA">
        <w:rPr>
          <w:rFonts w:eastAsia="Batang"/>
          <w:sz w:val="24"/>
          <w:szCs w:val="24"/>
          <w:lang w:eastAsia="ko-KR"/>
        </w:rPr>
        <w:t>Изпълнението на дейностите по бюджетната програма води до осигуряване на нормалното функциониране на администрацията, обезпечаване и повишаване ефективността на осъществяваните работни процеси, оптимално използване на ресурсите, адекватна и ефективна система за финансово управление и контрол в Министерството на финансите.</w:t>
      </w:r>
    </w:p>
    <w:p w:rsidR="00940E69" w:rsidRPr="00056DFA" w:rsidRDefault="00940E69" w:rsidP="00940E69">
      <w:pPr>
        <w:spacing w:before="0" w:after="0"/>
        <w:ind w:right="-6"/>
        <w:jc w:val="both"/>
        <w:rPr>
          <w:rFonts w:eastAsia="Batang"/>
          <w:sz w:val="24"/>
          <w:szCs w:val="24"/>
          <w:lang w:eastAsia="ko-KR"/>
        </w:rPr>
      </w:pPr>
      <w:r w:rsidRPr="00056DFA">
        <w:rPr>
          <w:rFonts w:eastAsia="Batang"/>
          <w:sz w:val="24"/>
          <w:szCs w:val="24"/>
          <w:lang w:eastAsia="ko-KR"/>
        </w:rPr>
        <w:t>Дейностите по бюджетната програма са насочени към създаване условия за изпълнението на всички бюджетни програми, включени в структурата на програмния бюджет на Министерството на финансите. Услугите, които се предоставят по бюджетната програма имат за цел подпомагане ефективното осъществяване на дейностите на служителите на министерството при предоставянето на продукти/услуги за публичния сектор в необходимото количество, качество, срок и при най-ниска цена.</w:t>
      </w:r>
    </w:p>
    <w:p w:rsidR="00940E69" w:rsidRPr="00056DFA" w:rsidRDefault="00940E69" w:rsidP="00940E69">
      <w:pPr>
        <w:spacing w:before="0" w:after="0"/>
        <w:jc w:val="both"/>
        <w:rPr>
          <w:sz w:val="24"/>
          <w:szCs w:val="24"/>
        </w:rPr>
      </w:pPr>
    </w:p>
    <w:p w:rsidR="00855A7E" w:rsidRPr="00056DFA" w:rsidRDefault="00855A7E" w:rsidP="00056DFA">
      <w:pPr>
        <w:rPr>
          <w:b/>
          <w:sz w:val="24"/>
          <w:szCs w:val="24"/>
        </w:rPr>
      </w:pPr>
    </w:p>
    <w:p w:rsidR="00940E69" w:rsidRPr="007E4882" w:rsidRDefault="00940E69" w:rsidP="00940E69">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3" w:name="_Toc523492625"/>
      <w:r w:rsidRPr="007E4882">
        <w:rPr>
          <w:rFonts w:ascii="Times New Roman" w:eastAsia="Batang" w:hAnsi="Times New Roman" w:cs="Times New Roman"/>
          <w:b/>
          <w:bCs/>
          <w:caps/>
          <w:lang w:val="bg-BG" w:eastAsia="ko-KR"/>
        </w:rPr>
        <w:t>Министерство на външните работи</w:t>
      </w:r>
      <w:bookmarkEnd w:id="3"/>
      <w:r w:rsidRPr="007E4882">
        <w:rPr>
          <w:rFonts w:ascii="Times New Roman" w:eastAsia="Batang" w:hAnsi="Times New Roman" w:cs="Times New Roman"/>
          <w:b/>
          <w:bCs/>
          <w:caps/>
          <w:lang w:val="bg-BG" w:eastAsia="ko-KR"/>
        </w:rPr>
        <w:t xml:space="preserve"> </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„Администриране и осигуряване на дипломатическата  служба”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Целите на програмата са свързани с осигуряване и обезпечаване на външнополитическата дейност чрез гарантиране на стабилност и компетентност на администрацията, както и наличие на необходимите материално-техническите условия и средства за функциониране на дипломатическата служба.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 Конкретните дейности за реализиране на целите бяха насочени към:</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Администриране и повишаване на квалификацията на човешките ресурси;</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Изготвяне на финансови отчети, извършване на разплащания, контрол на разходната дейност;</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Оптимизиране на вътрешноведомствената и междуведомствената административна комуникация;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Повишаване качеството на информационното обслужване на служителите на министерството и гражданите, ползващи архивния фонд на министерството;</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Повишаване качеството на административното обслужване на граждани и фирми на принципа „едно гише”.</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През годината продължи процесът по управление на професионалното кариерно развитие на дипломатическите служители, повишаването на професионалната и езиковата квалификация на служителите в дипломатическата служба, повишаване в дипломатически ранг и ежегодната ротация в дипломатическата служба.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През отчетния период бяха организирани и проведени 9 редовни заседания на Кариерната комисия към Министъра на външните работи. През годината в направление кариерно планиране и развитие са организирани и проведени общо 64 конкурса за назначаване на държавни служители с дипломатически ранг, държавни служители без дипломатически ранг и служители на длъжност „стажант-аташе“. През годината бяха проведени 139 обучения , които обхванаха 304 служители на Министерството. Бяха осъществени обучения по линия на Българското председателство на Съвета на ЕС  2018 г в три направления - Специализирани семинари на  Генералния секретариат на Съвета на ЕС в София; Обучения в Института по публична администрация; Обучения в Дипломатическия институт към Министъра на външните работи на МВнР</w:t>
      </w:r>
      <w:r w:rsidR="000E5DB4">
        <w:rPr>
          <w:rFonts w:eastAsia="Calibri"/>
          <w:sz w:val="24"/>
          <w:szCs w:val="24"/>
          <w:lang w:eastAsia="en-US"/>
        </w:rPr>
        <w:t>.</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lastRenderedPageBreak/>
        <w:t>През отчетния период подобряването на административното обслужване на принципа на „едно гише”, осъществявано от Приемната на МВнР, беше основна цел в работата на Приемната, изразяващо се в обстойно и компетентно консултиране на гражданите при получаване на информация за видовете и сроковете на извършваните административни услуги от министерството. Продължи и упражняваният от Приемната вътрешен контрол по изготвянето в срок на отговорите с цел подобряване качеството на административната услуга.</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„Управление на задграничните представителства и подкрепа на българските граждани в чужбина”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Чрез дейностите по Програма 2 се осъществява планирането, организирането, осигуряването на условия за функциониране на задграничните представителства на Република България с оглед на изпълнение на целите на външната политика, както и оказване на всестранна подкрепа на българските юридически лица и на гражданите при техните дейности в чужбина в съответствие с принципите на международното право.</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Управление на </w:t>
      </w:r>
      <w:proofErr w:type="spellStart"/>
      <w:r w:rsidRPr="00056DFA">
        <w:rPr>
          <w:rFonts w:eastAsia="Calibri"/>
          <w:sz w:val="24"/>
          <w:szCs w:val="24"/>
          <w:lang w:eastAsia="en-US"/>
        </w:rPr>
        <w:t>сградния</w:t>
      </w:r>
      <w:proofErr w:type="spellEnd"/>
      <w:r w:rsidRPr="00056DFA">
        <w:rPr>
          <w:rFonts w:eastAsia="Calibri"/>
          <w:sz w:val="24"/>
          <w:szCs w:val="24"/>
          <w:lang w:eastAsia="en-US"/>
        </w:rPr>
        <w:t xml:space="preserve"> фонд извън страната - Във връзка с осигуряване на необходимите условия за функционирането на дипломатическата служба, са предприети действия за подобряване ефективността на използването на имотния портфейл и автомобилния парк</w:t>
      </w:r>
      <w:r>
        <w:rPr>
          <w:rFonts w:eastAsia="Calibri"/>
          <w:sz w:val="24"/>
          <w:szCs w:val="24"/>
          <w:lang w:eastAsia="en-US"/>
        </w:rPr>
        <w:t>.</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Преговори по двустранни споразумения за размяна на имоти за дипломатически цели - На 04.01.2017 г. е прието Решение на МС за одобряване текста на новата Спогодба между правителството на Република България и правителството на република Куба за недвижимите имоти на дипломатическите представителства на двете страни. На 03.05.2017  г.  е одобрен предложения текст на проект на нова Спогодба между правителството на Република България и правителството на Корейската народно-демократична република, като основа за водене на предварителни експертни консултации с КНДР</w:t>
      </w:r>
      <w:r>
        <w:rPr>
          <w:rFonts w:eastAsia="Calibri"/>
          <w:sz w:val="24"/>
          <w:szCs w:val="24"/>
          <w:lang w:eastAsia="en-US"/>
        </w:rPr>
        <w:t>.</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Разпоредителни сделки - Продължават действията по изпълнение на приети решения на МКДИИС, както и подготовка за освобождаване от недвижима собственост, която е с отпаднала необходимост и/или е разположена в държави, в които Република България няма дипломатическо присъствие и не се предвижда възстановяването на такова.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Инвестиции в недвижими имоти, държавна собственост извън страната и ново строителство - За поддържането на държавния сграден фонд на Република България за нуждите на задграничните представителства и ЦУ е изработена инвестиционна програма за 2017 г., съобразно определените средства в бюджета на МВнР.</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Защита на правата и интересите на българските общности и граждани в чужбина и подпомагане на изпаднали в бедствено положение в чужбина  български граждани до тяхното завръщане в страната - МВнР продължи да полага настойчиви усилия за защита на правата и интересите на българските физически и юридически лица извън пределите на нашата страна.</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„Публична дипломация”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В рамките на тази програма бяха осъществени дейностите на Дипломатическия институт във връзка със задачите му в подкрепа на Дипломатическата служба за повишаване на специализираните знания и умения на представителите на Дипломатическата служба и държавната администрация, утвърждаване на авторитета на ДИ като квалификационен център в България и региона, разширяване на мрежата от контакти и партньори на ДИ и институционалното му популяризиране, подпомагане на процеса на </w:t>
      </w:r>
      <w:proofErr w:type="spellStart"/>
      <w:r w:rsidRPr="00056DFA">
        <w:rPr>
          <w:rFonts w:eastAsia="Calibri"/>
          <w:sz w:val="24"/>
          <w:szCs w:val="24"/>
          <w:lang w:eastAsia="en-US"/>
        </w:rPr>
        <w:t>промотиране</w:t>
      </w:r>
      <w:proofErr w:type="spellEnd"/>
      <w:r w:rsidRPr="00056DFA">
        <w:rPr>
          <w:rFonts w:eastAsia="Calibri"/>
          <w:sz w:val="24"/>
          <w:szCs w:val="24"/>
          <w:lang w:eastAsia="en-US"/>
        </w:rPr>
        <w:t xml:space="preserve"> и провеждане на външната политика на България, насърчаване на публичната дискусия по актуални външнополитически теми и приобщаване на българското гражданско общество и гражданските институции към външнополитическите </w:t>
      </w:r>
      <w:r w:rsidRPr="00056DFA">
        <w:rPr>
          <w:rFonts w:eastAsia="Calibri"/>
          <w:sz w:val="24"/>
          <w:szCs w:val="24"/>
          <w:lang w:eastAsia="en-US"/>
        </w:rPr>
        <w:lastRenderedPageBreak/>
        <w:t>позиции и действия на България, подготовка на държавната администрация с оглед Българското председателство на Съвета на ЕС през 2018 г. и др.</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940E69" w:rsidP="00940E69">
      <w:pPr>
        <w:spacing w:before="0" w:after="0"/>
        <w:ind w:right="-284"/>
        <w:contextualSpacing/>
        <w:jc w:val="both"/>
        <w:rPr>
          <w:rFonts w:eastAsia="Calibri"/>
          <w:sz w:val="24"/>
          <w:szCs w:val="24"/>
          <w:lang w:eastAsia="en-US"/>
        </w:rPr>
      </w:pPr>
      <w:r w:rsidRPr="00056DFA">
        <w:rPr>
          <w:rFonts w:eastAsia="Calibri"/>
          <w:sz w:val="24"/>
          <w:szCs w:val="24"/>
          <w:lang w:eastAsia="en-US"/>
        </w:rPr>
        <w:t xml:space="preserve">Обучителна дейност - В периода 9 януари-7 април 2017 г. в сградата на МВнР се проведе тринадесетия курс по дипломация за стажант-аташета. Целта на обучението е да представи специфичните характеристики от работата на дипломатическата служба при формирането и реализирането на българската външна политика. </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Проведени специализирани курсове</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 xml:space="preserve">Курс по консулска дипломация, 3 април – 17 май 2017 г. В него участваха служители, чиято работа е свързана с консулската дейност на Р България в чужбина.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 xml:space="preserve">Зимно училище по дипломация, 20-24 март 2017 г. – участваха 25 участници от 19 страни от Югоизточна Европа, региона на Черно море и Европейския съюз. </w:t>
      </w:r>
    </w:p>
    <w:p w:rsidR="00940E69" w:rsidRPr="005A4B79" w:rsidRDefault="00940E69" w:rsidP="00940E69">
      <w:pPr>
        <w:spacing w:before="0" w:after="0"/>
        <w:ind w:right="-284"/>
        <w:jc w:val="both"/>
        <w:rPr>
          <w:rFonts w:eastAsia="Calibri"/>
          <w:sz w:val="24"/>
          <w:szCs w:val="24"/>
          <w:lang w:eastAsia="en-US"/>
        </w:rPr>
      </w:pPr>
      <w:r w:rsidRPr="005A4B79">
        <w:rPr>
          <w:rFonts w:eastAsia="Calibri"/>
          <w:sz w:val="24"/>
          <w:szCs w:val="24"/>
          <w:lang w:eastAsia="en-US"/>
        </w:rPr>
        <w:t>Обучения по проект „Провеждане на обучения на служители от централната администрация за придобиване на ключови умения и компетентности в контекста на ЕС“</w:t>
      </w:r>
      <w:r w:rsidR="005A4B79">
        <w:rPr>
          <w:rFonts w:eastAsia="Calibri"/>
          <w:sz w:val="24"/>
          <w:szCs w:val="24"/>
          <w:lang w:eastAsia="en-US"/>
        </w:rPr>
        <w:t>.</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През 2017 г. бяха проведени курсовете: „Провеждане на </w:t>
      </w:r>
      <w:proofErr w:type="spellStart"/>
      <w:r w:rsidRPr="00056DFA">
        <w:rPr>
          <w:rFonts w:eastAsia="Calibri"/>
          <w:sz w:val="24"/>
          <w:szCs w:val="24"/>
          <w:lang w:eastAsia="en-US"/>
        </w:rPr>
        <w:t>чуждоезикови</w:t>
      </w:r>
      <w:proofErr w:type="spellEnd"/>
      <w:r w:rsidRPr="00056DFA">
        <w:rPr>
          <w:rFonts w:eastAsia="Calibri"/>
          <w:sz w:val="24"/>
          <w:szCs w:val="24"/>
          <w:lang w:eastAsia="en-US"/>
        </w:rPr>
        <w:t xml:space="preserve"> обучения по европейска терминология на английски език”, е избран изпълнител Британски съвет-клон България.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„Умения за водене на преговори” на английски език, изпълнявана по проект на Дипломатическия институт.</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"Разрешаване на конфликти и справяне с кризисни ситуации" и "Комуникационни умения и говорене пред публика". </w:t>
      </w:r>
    </w:p>
    <w:p w:rsidR="00940E69" w:rsidRPr="005A4B79" w:rsidRDefault="00940E69" w:rsidP="00940E69">
      <w:pPr>
        <w:spacing w:before="0" w:after="0"/>
        <w:ind w:right="-284"/>
        <w:jc w:val="both"/>
        <w:rPr>
          <w:rFonts w:eastAsia="Calibri"/>
          <w:sz w:val="24"/>
          <w:szCs w:val="24"/>
          <w:lang w:eastAsia="en-US"/>
        </w:rPr>
      </w:pPr>
      <w:r w:rsidRPr="005A4B79">
        <w:rPr>
          <w:rFonts w:eastAsia="Calibri"/>
          <w:sz w:val="24"/>
          <w:szCs w:val="24"/>
          <w:lang w:eastAsia="en-US"/>
        </w:rPr>
        <w:t>Специализирано обучение под егидата на обучителен консорциум „Нова европейска обучителна инициатива“ (</w:t>
      </w:r>
      <w:proofErr w:type="spellStart"/>
      <w:r w:rsidRPr="005A4B79">
        <w:rPr>
          <w:rFonts w:eastAsia="Calibri"/>
          <w:sz w:val="24"/>
          <w:szCs w:val="24"/>
          <w:lang w:eastAsia="en-US"/>
        </w:rPr>
        <w:t>ENTRi</w:t>
      </w:r>
      <w:proofErr w:type="spellEnd"/>
      <w:r w:rsidRPr="005A4B79">
        <w:rPr>
          <w:rFonts w:eastAsia="Calibri"/>
          <w:sz w:val="24"/>
          <w:szCs w:val="24"/>
          <w:lang w:eastAsia="en-US"/>
        </w:rPr>
        <w:t>)</w:t>
      </w:r>
      <w:r w:rsidR="005A4B79">
        <w:rPr>
          <w:rFonts w:eastAsia="Calibri"/>
          <w:sz w:val="24"/>
          <w:szCs w:val="24"/>
          <w:lang w:eastAsia="en-US"/>
        </w:rPr>
        <w:t>.</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След присъединяването на ДИ през юни 2016 към елитния обучителен консорциум „Нова европейска обучителна инициатива“ (</w:t>
      </w:r>
      <w:proofErr w:type="spellStart"/>
      <w:r w:rsidRPr="00056DFA">
        <w:rPr>
          <w:rFonts w:eastAsia="Calibri"/>
          <w:sz w:val="24"/>
          <w:szCs w:val="24"/>
          <w:lang w:eastAsia="en-US"/>
        </w:rPr>
        <w:t>ENTRi</w:t>
      </w:r>
      <w:proofErr w:type="spellEnd"/>
      <w:r w:rsidRPr="00056DFA">
        <w:rPr>
          <w:rFonts w:eastAsia="Calibri"/>
          <w:sz w:val="24"/>
          <w:szCs w:val="24"/>
          <w:lang w:eastAsia="en-US"/>
        </w:rPr>
        <w:t xml:space="preserve">) в периода 18-22 декември 2017 г. института организира специализиран курс по „Преговорни умения и медиация при управление на граждански кризи” в гр. Тбилиси, Грузия. </w:t>
      </w:r>
    </w:p>
    <w:p w:rsidR="00940E69" w:rsidRPr="00056DFA" w:rsidRDefault="00940E69" w:rsidP="00940E69">
      <w:pPr>
        <w:spacing w:before="0" w:after="0"/>
        <w:ind w:right="-284"/>
        <w:contextualSpacing/>
        <w:jc w:val="both"/>
        <w:rPr>
          <w:rFonts w:eastAsia="Calibri"/>
          <w:sz w:val="24"/>
          <w:szCs w:val="24"/>
          <w:lang w:eastAsia="en-US"/>
        </w:rPr>
      </w:pPr>
      <w:r w:rsidRPr="00056DFA">
        <w:rPr>
          <w:rFonts w:eastAsia="Calibri"/>
          <w:sz w:val="24"/>
          <w:szCs w:val="24"/>
          <w:lang w:eastAsia="en-US"/>
        </w:rPr>
        <w:t>Изследователска дейност - През 2017 г. приключи обявения трети пореден конкурс за приложна изследователска разработка от млад експерт на тема "Република Македония в съвременната балканска геополитика и мястото на българския национален интерес там”. През отчетния период беше продължена традицията служители от отдел „Обучителни, изследователски и проектни дейност” на ДИ да участват в експертни дискусии и научно-практически конференции по актуални за България външнополитически теми</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„Културна дипломация”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В рамките на Програма „Културна дипломация” Държавният културен институт (ДКИ) към министъра на външните работи и дирекция „Пресцентър“ реализират дейности, насочени към постигане на следните цели: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 Утвърждаване на образа на България като активен член на ЕС и подобряване на обществените нагласи за страната в чужбина;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 Интегриране на културното измерение в приоритетни външнополитически политики и програми;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Насърчаване на българския културен сектор за активно участие във водещи за българската външна политика програми;</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Дейност на ДКИ</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 xml:space="preserve">Подготовка на програмата за Председателството на Съвета на ЕС - С ангажираните дирекции в МВнР за подготовката на Комуникационната стратегия и културна програма. </w:t>
      </w:r>
    </w:p>
    <w:p w:rsidR="00940E69" w:rsidRPr="00056DFA" w:rsidRDefault="00DF2BBA" w:rsidP="00DF2BBA">
      <w:pPr>
        <w:spacing w:before="0" w:after="0"/>
        <w:ind w:left="567" w:right="-284" w:firstLine="0"/>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Дейност и участие в международни формати</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Фондация „Азия-Европа“ - От 2015 г. директорът на ДКИ е определен за представител на България в Борда на директорите на Фондация Европа-Азия.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lastRenderedPageBreak/>
        <w:t xml:space="preserve"> Международен алианс за възпоменание на Холокоста (МАВХ) - Благодарение на устойчивият ангажимент на Института към темата за спасяването на българските евреи беше натрупан значителен опит и бяха постигнати значими резултати. </w:t>
      </w:r>
    </w:p>
    <w:p w:rsidR="00940E69" w:rsidRPr="00056DFA" w:rsidRDefault="00DF2BBA" w:rsidP="00DF2BBA">
      <w:pPr>
        <w:spacing w:before="0" w:after="0"/>
        <w:ind w:left="567" w:right="-284" w:firstLine="0"/>
        <w:contextualSpacing/>
        <w:jc w:val="both"/>
        <w:rPr>
          <w:rFonts w:eastAsia="Calibri"/>
          <w:sz w:val="24"/>
          <w:szCs w:val="24"/>
          <w:lang w:eastAsia="en-US"/>
        </w:rPr>
      </w:pPr>
      <w:r>
        <w:rPr>
          <w:rFonts w:eastAsia="Calibri"/>
          <w:sz w:val="24"/>
          <w:szCs w:val="24"/>
          <w:lang w:eastAsia="en-US"/>
        </w:rPr>
        <w:t xml:space="preserve">3. </w:t>
      </w:r>
      <w:r w:rsidR="00940E69" w:rsidRPr="00056DFA">
        <w:rPr>
          <w:rFonts w:eastAsia="Calibri"/>
          <w:sz w:val="24"/>
          <w:szCs w:val="24"/>
          <w:lang w:eastAsia="en-US"/>
        </w:rPr>
        <w:t>Основните програми на ДКИ</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"Пътуващи експозиции" е основен проект на Културния институт, който се реализира съвместно с мисиите зад граница.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Филмови презентации. ДКИ осигурява на задграничните представителства пакети от нови филми за различни панорами и презентации, както и участието в общи европейски инициативи.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Художествен фонд. В хода на текущите дейности по управление на Художествения фонд на МВнР са </w:t>
      </w:r>
      <w:proofErr w:type="spellStart"/>
      <w:r w:rsidRPr="00056DFA">
        <w:rPr>
          <w:rFonts w:eastAsia="Calibri"/>
          <w:sz w:val="24"/>
          <w:szCs w:val="24"/>
          <w:lang w:eastAsia="en-US"/>
        </w:rPr>
        <w:t>прeрамкирани</w:t>
      </w:r>
      <w:proofErr w:type="spellEnd"/>
      <w:r w:rsidRPr="00056DFA">
        <w:rPr>
          <w:rFonts w:eastAsia="Calibri"/>
          <w:sz w:val="24"/>
          <w:szCs w:val="24"/>
          <w:lang w:eastAsia="en-US"/>
        </w:rPr>
        <w:t xml:space="preserve"> 42 произведения от Фонда. </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„Принос за формиране на политики на ЕС и НАТО”</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В рамките на програма „Принос за формиране на политики на ЕС и НАТО” са съсредоточени голяма част от дейностите, свързани с участието на страната ни като надежден и отговорен съюзник в НАТО и в процеса на съгласуване и формулиране на политики на ЕС спрямо трети страни и справяне с актуални предизвикателства пред сигурността. Основните усилия през отчетния период бяха насочени към изпълнение на функциите по ръководене и координиране на политиката и участието на Република България в ЕС и НАТО. </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 xml:space="preserve">Участие в Общата външна политика и политика за сигурност на ЕС - Текущата дейност по участието на България в Общата външна политика и политика за сигурност на ЕС включваше изготвянето на позиции и изпращането на указания за работните групи на Съвета на ЕС, както и за заседанията на Комитета за политика и сигурност (КОПС), Работната група на </w:t>
      </w:r>
      <w:proofErr w:type="spellStart"/>
      <w:r w:rsidR="00940E69" w:rsidRPr="00056DFA">
        <w:rPr>
          <w:rFonts w:eastAsia="Calibri"/>
          <w:sz w:val="24"/>
          <w:szCs w:val="24"/>
          <w:lang w:eastAsia="en-US"/>
        </w:rPr>
        <w:t>съветниците</w:t>
      </w:r>
      <w:proofErr w:type="spellEnd"/>
      <w:r w:rsidR="00940E69" w:rsidRPr="00056DFA">
        <w:rPr>
          <w:rFonts w:eastAsia="Calibri"/>
          <w:sz w:val="24"/>
          <w:szCs w:val="24"/>
          <w:lang w:eastAsia="en-US"/>
        </w:rPr>
        <w:t xml:space="preserve"> по външни отношения RELEX, Комитет по граждански аспекти при управлението на кризи CIVCOM, Комитет на постоянните представители (КОРЕПЕР II) и др.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Формиране на политики и осигуряване на участието на България в дейността на НАТО. Участието на Република България като надежден и отговорен съюзник в НАТО е сред основните външнополитически приоритети, които МВнР реализира през 2017г.</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„Двустранни отношения”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В рамките на програма „Двустранни отношения” бяха осъществявани дейности, насочени към задълбочаване на евроатлантическите партньорства, развиване на сътрудничеството със страните от Източна Европа и Централна Азия, страните от Азиатско-тихоокеанския регион, страните от региона на Близкия Изток и Африка, както и развитие на прагматични двустранни отношения с най-бързо разриващите се икономики – приоритет, залегнал в правителствената програма.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Развитие на двустранни отношения със страни от Източна Европа и Централна Азия</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Развитие на двустранни отношения със страни от Северна и Южна Америка</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3. </w:t>
      </w:r>
      <w:r w:rsidR="00940E69" w:rsidRPr="00056DFA">
        <w:rPr>
          <w:rFonts w:eastAsia="Calibri"/>
          <w:sz w:val="24"/>
          <w:szCs w:val="24"/>
          <w:lang w:eastAsia="en-US"/>
        </w:rPr>
        <w:t>Развитие на двустранни отношения със страни от Азиатско- тихоокеанския регион</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4. </w:t>
      </w:r>
      <w:r w:rsidR="00940E69" w:rsidRPr="00056DFA">
        <w:rPr>
          <w:rFonts w:eastAsia="Calibri"/>
          <w:sz w:val="24"/>
          <w:szCs w:val="24"/>
          <w:lang w:eastAsia="en-US"/>
        </w:rPr>
        <w:t>Развитие на двустранни отношения със страни от Близкия Изток и Африка</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5. </w:t>
      </w:r>
      <w:r w:rsidR="00940E69" w:rsidRPr="00056DFA">
        <w:rPr>
          <w:rFonts w:eastAsia="Calibri"/>
          <w:sz w:val="24"/>
          <w:szCs w:val="24"/>
          <w:lang w:eastAsia="en-US"/>
        </w:rPr>
        <w:t>Развитие на икономическата дипломация</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„Активна двустранна и многостранна дипломация”</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Програма „Активна двустранна и </w:t>
      </w:r>
      <w:proofErr w:type="spellStart"/>
      <w:r w:rsidRPr="00056DFA">
        <w:rPr>
          <w:rFonts w:eastAsia="Calibri"/>
          <w:sz w:val="24"/>
          <w:szCs w:val="24"/>
          <w:lang w:eastAsia="en-US"/>
        </w:rPr>
        <w:t>многостртанна</w:t>
      </w:r>
      <w:proofErr w:type="spellEnd"/>
      <w:r w:rsidRPr="00056DFA">
        <w:rPr>
          <w:rFonts w:eastAsia="Calibri"/>
          <w:sz w:val="24"/>
          <w:szCs w:val="24"/>
          <w:lang w:eastAsia="en-US"/>
        </w:rPr>
        <w:t xml:space="preserve"> дипломация” включва дейности на Министерство на външните работи, които имат за цел да повишат видимостта и представителността на страната ни на международната сцена. Основните направления, по които се реализират дейностите в Програма 7 са: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 xml:space="preserve">Участие в международните усилия за гарантиране на стабилност, мир и сигурност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lastRenderedPageBreak/>
        <w:t>-</w:t>
      </w:r>
      <w:r w:rsidRPr="00056DFA">
        <w:rPr>
          <w:rFonts w:eastAsia="Calibri"/>
          <w:sz w:val="24"/>
          <w:szCs w:val="24"/>
          <w:lang w:eastAsia="en-US"/>
        </w:rPr>
        <w:tab/>
        <w:t>Участие в международното сътрудничество за развитие</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Развитие на многостранна дипломация</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Координация на участието на Република България в ООН и специализираните организации от системата на ООН - През отчетния период продължи активната ангажираност и участие на МВнР за защита на националните интереси при участието на Република България в Организацията на обединените нации</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Международно сътрудничество за развитие и хуманитарна помощ - През периода екипът продължи своята дейност по осъществяване на българската политика на сътрудничество за развитие в контекста на общата политика на сътрудничество за развитие на ЕС.</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3. </w:t>
      </w:r>
      <w:r w:rsidR="00940E69" w:rsidRPr="00056DFA">
        <w:rPr>
          <w:rFonts w:eastAsia="Calibri"/>
          <w:sz w:val="24"/>
          <w:szCs w:val="24"/>
          <w:lang w:eastAsia="en-US"/>
        </w:rPr>
        <w:t>Права на човека - На 05 април 2017 г. Правителството одобри доклад за дейността на Националния координационен механизъм по правата на човека (НКМПЧ) за 2016 г.</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4. </w:t>
      </w:r>
      <w:r w:rsidR="00940E69" w:rsidRPr="00056DFA">
        <w:rPr>
          <w:rFonts w:eastAsia="Calibri"/>
          <w:sz w:val="24"/>
          <w:szCs w:val="24"/>
          <w:lang w:eastAsia="en-US"/>
        </w:rPr>
        <w:t>Участие на България в Организацията за сигурност и сътрудничество в Европа и регионални формати и инициативи за сигурност</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5. </w:t>
      </w:r>
      <w:r w:rsidR="00940E69" w:rsidRPr="00056DFA">
        <w:rPr>
          <w:rFonts w:eastAsia="Calibri"/>
          <w:sz w:val="24"/>
          <w:szCs w:val="24"/>
          <w:lang w:eastAsia="en-US"/>
        </w:rPr>
        <w:t>Участие в международните договори, организации и инициативи в областта на неразпространението, разоръжаването и контрола на въоръженията и в многостранните режими за експортен контрол. През отчетния период МВнР координираше подготовката на позиции и участието на страната в международните форуми и инициативи в областта на разоръжаването, неразпространението на ОМУ  и контрол на въоръженията.</w:t>
      </w:r>
    </w:p>
    <w:p w:rsidR="00940E69" w:rsidRPr="00056DFA" w:rsidRDefault="00940E69" w:rsidP="00940E69">
      <w:pPr>
        <w:spacing w:before="0" w:after="0"/>
        <w:ind w:right="-284"/>
        <w:jc w:val="both"/>
        <w:rPr>
          <w:rFonts w:eastAsia="Calibri"/>
          <w:b/>
          <w:sz w:val="24"/>
          <w:szCs w:val="24"/>
          <w:lang w:eastAsia="en-US"/>
        </w:rPr>
      </w:pPr>
      <w:r>
        <w:rPr>
          <w:rFonts w:eastAsia="Calibri"/>
          <w:b/>
          <w:sz w:val="24"/>
          <w:szCs w:val="24"/>
          <w:lang w:eastAsia="en-US"/>
        </w:rPr>
        <w:t>Програма</w:t>
      </w:r>
      <w:r w:rsidRPr="00056DFA">
        <w:rPr>
          <w:rFonts w:eastAsia="Calibri"/>
          <w:b/>
          <w:sz w:val="24"/>
          <w:szCs w:val="24"/>
          <w:lang w:eastAsia="en-US"/>
        </w:rPr>
        <w:t xml:space="preserve"> „Европейска политика”</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 xml:space="preserve">В рамките на Програма „Европейска политика” Министерство на външните работи осъществява всички дейности, които да допринесат за реализиране на външнополитическите приоритети на страната, в т.ч. по формулираните в съответствие със структурата на програмното </w:t>
      </w:r>
      <w:proofErr w:type="spellStart"/>
      <w:r w:rsidRPr="00056DFA">
        <w:rPr>
          <w:rFonts w:eastAsia="Calibri"/>
          <w:sz w:val="24"/>
          <w:szCs w:val="24"/>
          <w:lang w:eastAsia="en-US"/>
        </w:rPr>
        <w:t>бюджетиране</w:t>
      </w:r>
      <w:proofErr w:type="spellEnd"/>
      <w:r w:rsidRPr="00056DFA">
        <w:rPr>
          <w:rFonts w:eastAsia="Calibri"/>
          <w:sz w:val="24"/>
          <w:szCs w:val="24"/>
          <w:lang w:eastAsia="en-US"/>
        </w:rPr>
        <w:t>,  програмата дейности:</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МВнР провеждаше целенасочена и последователна политика, насочена към координирано и последователно изпълнение на национални цели и приоритети на членството на Република България в Европейския съюз в съчетание с възможностите на двустранното европейско сътрудничество.</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 xml:space="preserve">В рамките на Програма 8 се реализираха  дейности, свързани със защита на националните позиции и интереси в разработването на политиките на ЕС, сред които: политиките в областта на миграцията и бъдещето на ЕС, разширяването, реформиране на Икономическия и паричен съюз, присъединяване на България към еврозоната, икономически растеж и др. </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w:t>
      </w:r>
      <w:r w:rsidRPr="00056DFA">
        <w:rPr>
          <w:rFonts w:eastAsia="Calibri"/>
          <w:sz w:val="24"/>
          <w:szCs w:val="24"/>
          <w:lang w:eastAsia="en-US"/>
        </w:rPr>
        <w:tab/>
        <w:t xml:space="preserve">Отношенията със страните от ЮИЕ и развитието на регионалното сътрудничество като предпоставка за стабилност и икономически просперитет на страната и региона като цяло продължиха да са ключово направление във външната политика на България. </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Осъществени дейности/постигнати резултати</w:t>
      </w:r>
    </w:p>
    <w:p w:rsidR="00940E69" w:rsidRPr="00056DFA" w:rsidRDefault="00DF2BBA" w:rsidP="00DF2BBA">
      <w:pPr>
        <w:spacing w:before="0" w:after="0"/>
        <w:ind w:left="567" w:right="-284" w:firstLine="0"/>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 xml:space="preserve">Участие на България в институциите на Европейския съюз </w:t>
      </w:r>
    </w:p>
    <w:p w:rsidR="00940E69" w:rsidRPr="00056DFA" w:rsidRDefault="00DF2BBA" w:rsidP="00DF2BBA">
      <w:pPr>
        <w:spacing w:before="0" w:after="0"/>
        <w:ind w:left="567" w:right="-284" w:firstLine="0"/>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Сътрудничество с европейски държави</w:t>
      </w:r>
    </w:p>
    <w:p w:rsidR="00940E69" w:rsidRPr="00056DFA" w:rsidRDefault="00DF2BBA" w:rsidP="00DF2BBA">
      <w:pPr>
        <w:spacing w:before="0" w:after="0"/>
        <w:ind w:left="567" w:right="-284" w:firstLine="0"/>
        <w:contextualSpacing/>
        <w:jc w:val="both"/>
        <w:rPr>
          <w:rFonts w:eastAsia="Calibri"/>
          <w:sz w:val="24"/>
          <w:szCs w:val="24"/>
          <w:lang w:eastAsia="en-US"/>
        </w:rPr>
      </w:pPr>
      <w:r>
        <w:rPr>
          <w:rFonts w:eastAsia="Calibri"/>
          <w:sz w:val="24"/>
          <w:szCs w:val="24"/>
          <w:lang w:eastAsia="en-US"/>
        </w:rPr>
        <w:t xml:space="preserve">3. </w:t>
      </w:r>
      <w:r w:rsidR="00940E69" w:rsidRPr="00056DFA">
        <w:rPr>
          <w:rFonts w:eastAsia="Calibri"/>
          <w:sz w:val="24"/>
          <w:szCs w:val="24"/>
          <w:lang w:eastAsia="en-US"/>
        </w:rPr>
        <w:t>Сътрудничество в ЮИЕ</w:t>
      </w:r>
    </w:p>
    <w:p w:rsidR="00940E69" w:rsidRPr="00056DFA" w:rsidRDefault="00940E69" w:rsidP="00940E69">
      <w:pPr>
        <w:spacing w:before="0" w:after="0"/>
        <w:ind w:right="-284"/>
        <w:jc w:val="both"/>
        <w:rPr>
          <w:rFonts w:eastAsia="Calibri"/>
          <w:b/>
          <w:sz w:val="24"/>
          <w:szCs w:val="24"/>
          <w:lang w:eastAsia="en-US"/>
        </w:rPr>
      </w:pPr>
      <w:r>
        <w:rPr>
          <w:rFonts w:eastAsia="Calibri"/>
          <w:b/>
          <w:sz w:val="24"/>
          <w:szCs w:val="24"/>
          <w:lang w:eastAsia="en-US"/>
        </w:rPr>
        <w:t>Програма</w:t>
      </w:r>
      <w:r w:rsidRPr="00056DFA">
        <w:rPr>
          <w:rFonts w:eastAsia="Calibri"/>
          <w:b/>
          <w:sz w:val="24"/>
          <w:szCs w:val="24"/>
          <w:lang w:eastAsia="en-US"/>
        </w:rPr>
        <w:t xml:space="preserve"> „Визова политика и управление на кризи”</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С изпълнението на дейностите по програма 9 се цели реализирането водещите външнополитически приоритети, насочени към защита на интересите на българските граждани и българските общности в чужбина, и предоставяне на качествени консулски услуги.</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 xml:space="preserve">Визова Политика - През 2017 година от отдел „Национален визов център“ бяха обработени общо 499 612 искания за издаване на визи, като са издадени  495 300 и са </w:t>
      </w:r>
      <w:r w:rsidR="00940E69" w:rsidRPr="00056DFA">
        <w:rPr>
          <w:rFonts w:eastAsia="Calibri"/>
          <w:sz w:val="24"/>
          <w:szCs w:val="24"/>
          <w:lang w:eastAsia="en-US"/>
        </w:rPr>
        <w:lastRenderedPageBreak/>
        <w:t>отказани 4 312. Обработените искания за издаване на визи за дългосрочно пребиваване (виза вид „Д“) са 11 843, а визите за краткосрочно пребиваване (виза вид „С“) - 483 457.</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 xml:space="preserve">Консулски въпроси - Дирекция „Консулски отношения” допринася за изпълнението на дейностите, свързани с предоставянето от Министерството на външните работи на услуги на граждани и фирми, в изпълнение на задачата за качествено административно обслужване на граждани и фирми на принципа „едно гише”. </w:t>
      </w:r>
    </w:p>
    <w:p w:rsidR="00940E69" w:rsidRPr="00056DFA" w:rsidRDefault="00DF2BBA" w:rsidP="00DF2BBA">
      <w:pPr>
        <w:spacing w:before="0" w:after="0"/>
        <w:ind w:right="-284"/>
        <w:contextualSpacing/>
        <w:jc w:val="both"/>
        <w:rPr>
          <w:rFonts w:eastAsia="Calibri"/>
          <w:sz w:val="24"/>
          <w:szCs w:val="24"/>
          <w:lang w:eastAsia="en-US"/>
        </w:rPr>
      </w:pPr>
      <w:r>
        <w:rPr>
          <w:rFonts w:eastAsia="Calibri"/>
          <w:sz w:val="24"/>
          <w:szCs w:val="24"/>
          <w:lang w:eastAsia="en-US"/>
        </w:rPr>
        <w:t xml:space="preserve">3. </w:t>
      </w:r>
      <w:r w:rsidR="00940E69" w:rsidRPr="00056DFA">
        <w:rPr>
          <w:rFonts w:eastAsia="Calibri"/>
          <w:sz w:val="24"/>
          <w:szCs w:val="24"/>
          <w:lang w:eastAsia="en-US"/>
        </w:rPr>
        <w:t xml:space="preserve">Управление на кризи - През 2017 година Дирекция „Ситуационен център“ (ДСЦ) постоянно наблюдаваше обстановката в различните страни по света от гледна точка на евентуално възникване на причини за промени на нивата на риск. </w:t>
      </w:r>
    </w:p>
    <w:p w:rsidR="00940E69" w:rsidRPr="00056DFA" w:rsidRDefault="00940E69" w:rsidP="00940E69">
      <w:pPr>
        <w:spacing w:before="0" w:after="0"/>
        <w:ind w:right="-284"/>
        <w:jc w:val="both"/>
        <w:rPr>
          <w:rFonts w:eastAsia="Calibri"/>
          <w:b/>
          <w:sz w:val="24"/>
          <w:szCs w:val="24"/>
          <w:lang w:eastAsia="en-US"/>
        </w:rPr>
      </w:pPr>
      <w:r w:rsidRPr="00056DFA">
        <w:rPr>
          <w:rFonts w:eastAsia="Calibri"/>
          <w:b/>
          <w:sz w:val="24"/>
          <w:szCs w:val="24"/>
          <w:lang w:eastAsia="en-US"/>
        </w:rPr>
        <w:t>Програма „Осигуряване и контрол на външнополитическата дейност”</w:t>
      </w:r>
    </w:p>
    <w:p w:rsidR="00940E69" w:rsidRPr="00056DFA" w:rsidRDefault="00940E69" w:rsidP="00940E69">
      <w:pPr>
        <w:spacing w:before="0" w:after="0"/>
        <w:ind w:right="-284"/>
        <w:jc w:val="both"/>
        <w:rPr>
          <w:rFonts w:eastAsia="Calibri"/>
          <w:sz w:val="24"/>
          <w:szCs w:val="24"/>
          <w:lang w:eastAsia="en-US"/>
        </w:rPr>
      </w:pPr>
      <w:r w:rsidRPr="00056DFA">
        <w:rPr>
          <w:rFonts w:eastAsia="Calibri"/>
          <w:sz w:val="24"/>
          <w:szCs w:val="24"/>
          <w:lang w:eastAsia="en-US"/>
        </w:rPr>
        <w:t>През отчетния период бе постигнато добро финансово управление на публичните средства посредством засилване на управленската отговорност и изграждане на адекватни ефективни системи за финансово управление и административен контрол. Осигурено бе планирането и координацията на външнополитическата дейност за реализиране на външнополитическите приоритети на правителството.</w:t>
      </w:r>
    </w:p>
    <w:p w:rsidR="00940E69" w:rsidRPr="00056DFA" w:rsidRDefault="00940E69" w:rsidP="00940E69">
      <w:pPr>
        <w:spacing w:before="0" w:after="0"/>
        <w:ind w:right="-284"/>
        <w:jc w:val="both"/>
        <w:rPr>
          <w:rFonts w:eastAsia="Calibri"/>
          <w:sz w:val="24"/>
          <w:szCs w:val="24"/>
          <w:u w:val="single"/>
          <w:lang w:eastAsia="en-US"/>
        </w:rPr>
      </w:pPr>
      <w:r w:rsidRPr="00056DFA">
        <w:rPr>
          <w:rFonts w:eastAsia="Calibri"/>
          <w:sz w:val="24"/>
          <w:szCs w:val="24"/>
          <w:u w:val="single"/>
          <w:lang w:eastAsia="en-US"/>
        </w:rPr>
        <w:t xml:space="preserve">Осъществени дейности/постигнати резултати </w:t>
      </w:r>
    </w:p>
    <w:p w:rsidR="00940E69" w:rsidRPr="00056DFA" w:rsidRDefault="00A41FF1" w:rsidP="00A41FF1">
      <w:pPr>
        <w:spacing w:before="0" w:after="0"/>
        <w:ind w:right="-284"/>
        <w:contextualSpacing/>
        <w:jc w:val="both"/>
        <w:rPr>
          <w:rFonts w:eastAsia="Calibri"/>
          <w:i/>
          <w:sz w:val="24"/>
          <w:szCs w:val="24"/>
          <w:lang w:eastAsia="en-US"/>
        </w:rPr>
      </w:pPr>
      <w:r>
        <w:rPr>
          <w:rFonts w:eastAsia="Calibri"/>
          <w:sz w:val="24"/>
          <w:szCs w:val="24"/>
          <w:lang w:eastAsia="en-US"/>
        </w:rPr>
        <w:t xml:space="preserve">1. </w:t>
      </w:r>
      <w:r w:rsidR="00940E69" w:rsidRPr="00056DFA">
        <w:rPr>
          <w:rFonts w:eastAsia="Calibri"/>
          <w:sz w:val="24"/>
          <w:szCs w:val="24"/>
          <w:lang w:eastAsia="en-US"/>
        </w:rPr>
        <w:t xml:space="preserve">Вътрешен одит - В изпълнение на утвърдения от Министъра на външните работи годишен план за дейността на дирекция „Вътрешен одит“ през 2017 г. се извършиха и приключиха 4 бр. </w:t>
      </w:r>
      <w:proofErr w:type="spellStart"/>
      <w:r w:rsidR="00940E69" w:rsidRPr="00056DFA">
        <w:rPr>
          <w:rFonts w:eastAsia="Calibri"/>
          <w:sz w:val="24"/>
          <w:szCs w:val="24"/>
          <w:lang w:eastAsia="en-US"/>
        </w:rPr>
        <w:t>одитни</w:t>
      </w:r>
      <w:proofErr w:type="spellEnd"/>
      <w:r w:rsidR="00940E69" w:rsidRPr="00056DFA">
        <w:rPr>
          <w:rFonts w:eastAsia="Calibri"/>
          <w:sz w:val="24"/>
          <w:szCs w:val="24"/>
          <w:lang w:eastAsia="en-US"/>
        </w:rPr>
        <w:t xml:space="preserve"> ангажимента за консултиране и 1 бр. </w:t>
      </w:r>
      <w:proofErr w:type="spellStart"/>
      <w:r w:rsidR="00940E69" w:rsidRPr="00056DFA">
        <w:rPr>
          <w:rFonts w:eastAsia="Calibri"/>
          <w:sz w:val="24"/>
          <w:szCs w:val="24"/>
          <w:lang w:eastAsia="en-US"/>
        </w:rPr>
        <w:t>одитен</w:t>
      </w:r>
      <w:proofErr w:type="spellEnd"/>
      <w:r w:rsidR="00940E69" w:rsidRPr="00056DFA">
        <w:rPr>
          <w:rFonts w:eastAsia="Calibri"/>
          <w:sz w:val="24"/>
          <w:szCs w:val="24"/>
          <w:lang w:eastAsia="en-US"/>
        </w:rPr>
        <w:t xml:space="preserve"> ангажимент за увереност /започнал 2016 г./. В процес на изпълнение през първото полугодие на 2017 г. са 7 бр. </w:t>
      </w:r>
      <w:proofErr w:type="spellStart"/>
      <w:r w:rsidR="00940E69" w:rsidRPr="00056DFA">
        <w:rPr>
          <w:rFonts w:eastAsia="Calibri"/>
          <w:sz w:val="24"/>
          <w:szCs w:val="24"/>
          <w:lang w:eastAsia="en-US"/>
        </w:rPr>
        <w:t>одитни</w:t>
      </w:r>
      <w:proofErr w:type="spellEnd"/>
      <w:r w:rsidR="00940E69" w:rsidRPr="00056DFA">
        <w:rPr>
          <w:rFonts w:eastAsia="Calibri"/>
          <w:sz w:val="24"/>
          <w:szCs w:val="24"/>
          <w:lang w:eastAsia="en-US"/>
        </w:rPr>
        <w:t xml:space="preserve"> ангажименти за увереност</w:t>
      </w:r>
      <w:r w:rsidR="00940E69" w:rsidRPr="00056DFA">
        <w:rPr>
          <w:rFonts w:eastAsia="Calibri"/>
          <w:i/>
          <w:sz w:val="24"/>
          <w:szCs w:val="24"/>
          <w:lang w:eastAsia="en-US"/>
        </w:rPr>
        <w:t>.</w:t>
      </w:r>
    </w:p>
    <w:p w:rsidR="00940E69" w:rsidRPr="00056DFA" w:rsidRDefault="00A41FF1" w:rsidP="00A41FF1">
      <w:pPr>
        <w:spacing w:before="0" w:after="0"/>
        <w:ind w:right="-284"/>
        <w:contextualSpacing/>
        <w:jc w:val="both"/>
        <w:rPr>
          <w:rFonts w:eastAsia="Calibri"/>
          <w:sz w:val="24"/>
          <w:szCs w:val="24"/>
          <w:lang w:eastAsia="en-US"/>
        </w:rPr>
      </w:pPr>
      <w:r>
        <w:rPr>
          <w:rFonts w:eastAsia="Calibri"/>
          <w:sz w:val="24"/>
          <w:szCs w:val="24"/>
          <w:lang w:eastAsia="en-US"/>
        </w:rPr>
        <w:t xml:space="preserve">2. </w:t>
      </w:r>
      <w:r w:rsidR="00940E69" w:rsidRPr="00056DFA">
        <w:rPr>
          <w:rFonts w:eastAsia="Calibri"/>
          <w:sz w:val="24"/>
          <w:szCs w:val="24"/>
          <w:lang w:eastAsia="en-US"/>
        </w:rPr>
        <w:t xml:space="preserve">Инспекторат - През 2017 г. дейността на Инспектората МВнР бе осъществявана по утвърден годишен план за упражняване на системен административен и специализиран контрол върху дейността на Дипломатическата служба в изпълнение на поставените пред Инспектората цели. </w:t>
      </w:r>
    </w:p>
    <w:p w:rsidR="00940E69" w:rsidRPr="00A41FF1" w:rsidRDefault="00A41FF1" w:rsidP="00A41FF1">
      <w:pPr>
        <w:spacing w:before="0" w:after="0"/>
        <w:ind w:right="-284"/>
        <w:contextualSpacing/>
        <w:jc w:val="both"/>
        <w:rPr>
          <w:rFonts w:eastAsia="Calibri"/>
          <w:sz w:val="24"/>
          <w:szCs w:val="24"/>
          <w:lang w:eastAsia="en-US"/>
        </w:rPr>
      </w:pPr>
      <w:r>
        <w:rPr>
          <w:rFonts w:eastAsia="Calibri"/>
          <w:sz w:val="24"/>
          <w:szCs w:val="24"/>
          <w:lang w:eastAsia="en-US"/>
        </w:rPr>
        <w:t xml:space="preserve">3. </w:t>
      </w:r>
      <w:r w:rsidR="00940E69" w:rsidRPr="00A41FF1">
        <w:rPr>
          <w:rFonts w:eastAsia="Calibri"/>
          <w:sz w:val="24"/>
          <w:szCs w:val="24"/>
          <w:lang w:eastAsia="en-US"/>
        </w:rPr>
        <w:t>Процесуално представителство, юридически дейности - В рамките на програма № 10 „Осигуряване и контрол на външнополитическата дейност” работата на дирекция „Правна” през 2017 г. беше съсредоточена върху анализиране развитието на нормативната уредба на държавната администрация и държавната служба, както и на националното законодателство, свързано с дейността на министерството; анализ на резултатите от прилагането на нормативните актове, регламентиращи дипломатическата служба и изготвяне на предложения за усъвършенстването и за правилното им прилагане; изготвяне на проекти на нормативни актове, свързани с дейността на министерството; осъществяване на процесуалното представителство пред съдилищата и други юрисдикции по дела, по които страна е министерството или министърът; предприемане на правни действия по събиране вземанията на министерството; оказване на съдействие на министъра и на структурните звена на министерството по правни въпроси на националното законодателство, свързани с дейността и функциите на министерството; съгласуване за законосъобразност на административните актове, издавани от министъра; съгласуване за законосъобразност на трудовите договори и административните актове, свързани с възникването, изменянето и прекратяването на трудовите и служебните правоотношения на служителите в министерството.</w:t>
      </w:r>
    </w:p>
    <w:p w:rsidR="00940E69" w:rsidRPr="00A41FF1" w:rsidRDefault="00A41FF1" w:rsidP="00A41FF1">
      <w:pPr>
        <w:spacing w:before="0" w:after="0"/>
        <w:ind w:right="-284"/>
        <w:contextualSpacing/>
        <w:jc w:val="both"/>
        <w:rPr>
          <w:rFonts w:eastAsia="Calibri"/>
          <w:sz w:val="24"/>
          <w:szCs w:val="24"/>
          <w:lang w:eastAsia="en-US"/>
        </w:rPr>
      </w:pPr>
      <w:r>
        <w:rPr>
          <w:rFonts w:eastAsia="Calibri"/>
          <w:sz w:val="24"/>
          <w:szCs w:val="24"/>
          <w:lang w:eastAsia="en-US"/>
        </w:rPr>
        <w:t xml:space="preserve">4. </w:t>
      </w:r>
      <w:r w:rsidR="00940E69" w:rsidRPr="00A41FF1">
        <w:rPr>
          <w:rFonts w:eastAsia="Calibri"/>
          <w:sz w:val="24"/>
          <w:szCs w:val="24"/>
          <w:lang w:eastAsia="en-US"/>
        </w:rPr>
        <w:t xml:space="preserve">Планиране и координиране на външнополитическата дейност. Основната цел в работата беше осъществяването на ефективно външнополитическо планиране и координация чрез предоставяне на </w:t>
      </w:r>
      <w:proofErr w:type="spellStart"/>
      <w:r w:rsidR="00940E69" w:rsidRPr="00A41FF1">
        <w:rPr>
          <w:rFonts w:eastAsia="Calibri"/>
          <w:sz w:val="24"/>
          <w:szCs w:val="24"/>
          <w:lang w:eastAsia="en-US"/>
        </w:rPr>
        <w:t>експертно-аналитичeн</w:t>
      </w:r>
      <w:proofErr w:type="spellEnd"/>
      <w:r w:rsidR="00940E69" w:rsidRPr="00A41FF1">
        <w:rPr>
          <w:rFonts w:eastAsia="Calibri"/>
          <w:sz w:val="24"/>
          <w:szCs w:val="24"/>
          <w:lang w:eastAsia="en-US"/>
        </w:rPr>
        <w:t xml:space="preserve"> принос към формирането на позиции, концепции, идеи и инициативи във връзка с осъществяването на външнополитическите приоритети на правителството, както и на принос за оптимизирането на практическата външнополитическа дейност чрез действия за осигуряване на набелязаните политики.</w:t>
      </w:r>
    </w:p>
    <w:p w:rsidR="005A4B79" w:rsidRDefault="005A4B79" w:rsidP="00056DFA">
      <w:pPr>
        <w:rPr>
          <w:b/>
          <w:sz w:val="24"/>
          <w:szCs w:val="24"/>
        </w:rPr>
      </w:pPr>
    </w:p>
    <w:p w:rsidR="00430384" w:rsidRPr="00056DFA" w:rsidRDefault="00430384" w:rsidP="00056DFA">
      <w:pPr>
        <w:rPr>
          <w:b/>
          <w:sz w:val="24"/>
          <w:szCs w:val="24"/>
        </w:rPr>
      </w:pPr>
    </w:p>
    <w:p w:rsidR="00940E69" w:rsidRPr="00601192" w:rsidRDefault="00940E69" w:rsidP="00940E69">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4" w:name="_Toc523492626"/>
      <w:r w:rsidRPr="00601192">
        <w:rPr>
          <w:rFonts w:ascii="Times New Roman" w:eastAsia="Batang" w:hAnsi="Times New Roman" w:cs="Times New Roman"/>
          <w:b/>
          <w:bCs/>
          <w:caps/>
          <w:lang w:val="bg-BG" w:eastAsia="ko-KR"/>
        </w:rPr>
        <w:t>Министерство на отбраната</w:t>
      </w:r>
      <w:bookmarkEnd w:id="4"/>
    </w:p>
    <w:p w:rsidR="00601192" w:rsidRPr="00601192" w:rsidRDefault="00601192" w:rsidP="00601192">
      <w:pPr>
        <w:tabs>
          <w:tab w:val="left" w:pos="720"/>
        </w:tabs>
        <w:spacing w:before="0" w:after="0"/>
        <w:ind w:firstLine="540"/>
        <w:jc w:val="both"/>
        <w:rPr>
          <w:sz w:val="24"/>
          <w:szCs w:val="24"/>
        </w:rPr>
      </w:pPr>
      <w:r w:rsidRPr="00601192">
        <w:rPr>
          <w:sz w:val="24"/>
          <w:szCs w:val="24"/>
        </w:rPr>
        <w:t>Утвърдените със ЗДБРБ за 2017 г. разходи по бюджета на Министерството на отбраната (МО) за 2017 г., заедно с трансферите за държавните висши военни училища (ДВВУ) са в размер на 1 106,0 млн.лв.</w:t>
      </w:r>
    </w:p>
    <w:p w:rsidR="00601192" w:rsidRPr="00601192" w:rsidRDefault="00601192" w:rsidP="00601192">
      <w:pPr>
        <w:tabs>
          <w:tab w:val="left" w:pos="720"/>
        </w:tabs>
        <w:spacing w:before="0" w:after="0"/>
        <w:ind w:firstLine="540"/>
        <w:jc w:val="both"/>
        <w:rPr>
          <w:color w:val="0000FF"/>
          <w:sz w:val="24"/>
          <w:szCs w:val="24"/>
        </w:rPr>
      </w:pPr>
      <w:r w:rsidRPr="00601192">
        <w:rPr>
          <w:sz w:val="24"/>
          <w:szCs w:val="24"/>
        </w:rPr>
        <w:t xml:space="preserve">По уточнен план разходите по бюджета на МО за 2017 г., в т.ч. и разходите по бюджетите на ДВВУ за 2017 г. възлизат на 1 295,6 млн.лв., а по отчет са 1 254,7 млн. лв. Допълнително по Програмата на НАТО за инвестиции в областта на сигурността (NSIP), други бюджети и сметки за средства от ЕС са изразходвани 9,5 млн. лв., в резултат на което разходите за отбрана са в размер на 1 264,2 млн.лв. и представляват 1,28% от БВП за 2017 г.  </w:t>
      </w:r>
      <w:r w:rsidRPr="00601192">
        <w:rPr>
          <w:color w:val="0000FF"/>
          <w:sz w:val="24"/>
          <w:szCs w:val="24"/>
        </w:rPr>
        <w:t xml:space="preserve"> </w:t>
      </w:r>
    </w:p>
    <w:p w:rsidR="00601192" w:rsidRPr="00601192" w:rsidRDefault="00601192" w:rsidP="00601192">
      <w:pPr>
        <w:tabs>
          <w:tab w:val="left" w:pos="720"/>
        </w:tabs>
        <w:spacing w:before="0" w:after="0"/>
        <w:ind w:firstLine="540"/>
        <w:jc w:val="both"/>
        <w:rPr>
          <w:color w:val="0000FF"/>
          <w:sz w:val="24"/>
          <w:szCs w:val="24"/>
        </w:rPr>
      </w:pPr>
      <w:r w:rsidRPr="00601192">
        <w:rPr>
          <w:sz w:val="24"/>
          <w:szCs w:val="24"/>
        </w:rPr>
        <w:t>Министерството на отбраната прилага Интегрираната система за управление на ресурсите за отбрана (ИСУРО), управлява бюджетните разходи на програмен принцип и изготвя бюджет в програмен формат.</w:t>
      </w:r>
      <w:r w:rsidRPr="00601192">
        <w:rPr>
          <w:color w:val="0000FF"/>
          <w:sz w:val="24"/>
          <w:szCs w:val="24"/>
        </w:rPr>
        <w:t xml:space="preserve">  </w:t>
      </w:r>
    </w:p>
    <w:p w:rsidR="00601192" w:rsidRPr="00601192" w:rsidRDefault="00601192" w:rsidP="00601192">
      <w:pPr>
        <w:spacing w:before="0" w:after="0"/>
        <w:ind w:firstLine="540"/>
        <w:jc w:val="both"/>
        <w:rPr>
          <w:sz w:val="24"/>
          <w:szCs w:val="24"/>
        </w:rPr>
      </w:pPr>
      <w:r w:rsidRPr="00601192">
        <w:rPr>
          <w:sz w:val="24"/>
          <w:szCs w:val="24"/>
        </w:rPr>
        <w:t xml:space="preserve">През 2017 г. изпълнението на секторните политики и отбранителните програми, които ги поддържат в МО, структурите на пряко подчинение на министъра на отбраната и Българската армия беше насочено към реализиране на политиката на правителството в областта на отбраната и сигурността. </w:t>
      </w:r>
    </w:p>
    <w:p w:rsidR="00601192" w:rsidRPr="00601192" w:rsidRDefault="00601192" w:rsidP="00601192">
      <w:pPr>
        <w:tabs>
          <w:tab w:val="left" w:pos="720"/>
        </w:tabs>
        <w:spacing w:before="0" w:after="0"/>
        <w:ind w:firstLine="540"/>
        <w:jc w:val="both"/>
        <w:rPr>
          <w:sz w:val="24"/>
          <w:szCs w:val="24"/>
        </w:rPr>
      </w:pPr>
      <w:r w:rsidRPr="00601192">
        <w:rPr>
          <w:sz w:val="24"/>
          <w:szCs w:val="24"/>
        </w:rPr>
        <w:t>За реализиране на приетите секторни политики, целите и приоритетите на отбранителните програми, бюджетът на МО е утвърден по две области на политика, 10 бюджетни програми и по направления на разходите.</w:t>
      </w:r>
    </w:p>
    <w:p w:rsidR="00601192" w:rsidRPr="00601192" w:rsidRDefault="00601192" w:rsidP="00601192">
      <w:pPr>
        <w:spacing w:before="0" w:after="0"/>
        <w:ind w:firstLine="540"/>
        <w:jc w:val="both"/>
        <w:rPr>
          <w:sz w:val="24"/>
          <w:szCs w:val="24"/>
        </w:rPr>
      </w:pPr>
      <w:r w:rsidRPr="00601192">
        <w:rPr>
          <w:sz w:val="24"/>
          <w:szCs w:val="24"/>
        </w:rPr>
        <w:t>Разпределението на изразходваните финансови средства в МО по области на политики и бюджетни програми е дадено в следващата таблица:</w:t>
      </w:r>
    </w:p>
    <w:p w:rsidR="00601192" w:rsidRPr="00601192" w:rsidRDefault="00601192" w:rsidP="00601192">
      <w:pPr>
        <w:autoSpaceDE w:val="0"/>
        <w:autoSpaceDN w:val="0"/>
        <w:adjustRightInd w:val="0"/>
        <w:spacing w:before="0" w:after="0" w:line="288" w:lineRule="auto"/>
        <w:ind w:firstLine="720"/>
        <w:jc w:val="center"/>
        <w:rPr>
          <w:sz w:val="24"/>
          <w:szCs w:val="24"/>
        </w:rPr>
      </w:pPr>
      <w:r>
        <w:rPr>
          <w:b/>
          <w:sz w:val="24"/>
          <w:szCs w:val="24"/>
        </w:rPr>
        <w:t xml:space="preserve">                                   </w:t>
      </w:r>
      <w:r w:rsidRPr="00601192">
        <w:rPr>
          <w:b/>
          <w:sz w:val="24"/>
          <w:szCs w:val="24"/>
        </w:rPr>
        <w:t>/млн.лв</w:t>
      </w:r>
      <w:r w:rsidRPr="00601192">
        <w:rPr>
          <w:sz w:val="24"/>
          <w:szCs w:val="24"/>
        </w:rPr>
        <w:t>./</w:t>
      </w:r>
    </w:p>
    <w:tbl>
      <w:tblPr>
        <w:tblW w:w="9644" w:type="dxa"/>
        <w:tblInd w:w="65" w:type="dxa"/>
        <w:tblLayout w:type="fixed"/>
        <w:tblCellMar>
          <w:left w:w="70" w:type="dxa"/>
          <w:right w:w="70" w:type="dxa"/>
        </w:tblCellMar>
        <w:tblLook w:val="0000" w:firstRow="0" w:lastRow="0" w:firstColumn="0" w:lastColumn="0" w:noHBand="0" w:noVBand="0"/>
      </w:tblPr>
      <w:tblGrid>
        <w:gridCol w:w="4825"/>
        <w:gridCol w:w="851"/>
        <w:gridCol w:w="992"/>
        <w:gridCol w:w="851"/>
        <w:gridCol w:w="991"/>
        <w:gridCol w:w="1134"/>
      </w:tblGrid>
      <w:tr w:rsidR="00601192" w:rsidRPr="00601192" w:rsidTr="00952728">
        <w:trPr>
          <w:trHeight w:val="802"/>
          <w:tblHeader/>
        </w:trPr>
        <w:tc>
          <w:tcPr>
            <w:tcW w:w="4825" w:type="dxa"/>
            <w:tcBorders>
              <w:top w:val="single" w:sz="4" w:space="0" w:color="auto"/>
              <w:left w:val="single" w:sz="4" w:space="0" w:color="auto"/>
              <w:bottom w:val="single" w:sz="4" w:space="0" w:color="auto"/>
              <w:right w:val="single" w:sz="4" w:space="0" w:color="auto"/>
            </w:tcBorders>
            <w:shd w:val="clear" w:color="auto" w:fill="auto"/>
            <w:vAlign w:val="center"/>
          </w:tcPr>
          <w:p w:rsidR="00601192" w:rsidRPr="00601192" w:rsidRDefault="00601192" w:rsidP="00601192">
            <w:pPr>
              <w:spacing w:before="0" w:after="0" w:line="264" w:lineRule="auto"/>
              <w:ind w:firstLine="0"/>
              <w:jc w:val="center"/>
              <w:rPr>
                <w:b/>
                <w:bCs/>
              </w:rPr>
            </w:pPr>
            <w:r w:rsidRPr="00601192">
              <w:rPr>
                <w:b/>
                <w:bCs/>
              </w:rPr>
              <w:t>Област на политика/бюджетна програма</w:t>
            </w:r>
          </w:p>
        </w:tc>
        <w:tc>
          <w:tcPr>
            <w:tcW w:w="851" w:type="dxa"/>
            <w:tcBorders>
              <w:top w:val="single" w:sz="4" w:space="0" w:color="auto"/>
              <w:left w:val="nil"/>
              <w:bottom w:val="single" w:sz="4" w:space="0" w:color="auto"/>
              <w:right w:val="single" w:sz="4" w:space="0" w:color="auto"/>
            </w:tcBorders>
            <w:shd w:val="clear" w:color="auto" w:fill="auto"/>
            <w:vAlign w:val="center"/>
          </w:tcPr>
          <w:p w:rsidR="00601192" w:rsidRPr="00601192" w:rsidRDefault="00601192" w:rsidP="00601192">
            <w:pPr>
              <w:spacing w:before="0" w:after="0" w:line="264" w:lineRule="auto"/>
              <w:ind w:firstLine="0"/>
              <w:jc w:val="center"/>
              <w:rPr>
                <w:b/>
                <w:bCs/>
              </w:rPr>
            </w:pPr>
            <w:r w:rsidRPr="00601192">
              <w:rPr>
                <w:b/>
                <w:bCs/>
              </w:rPr>
              <w:t>Закон</w:t>
            </w:r>
          </w:p>
          <w:p w:rsidR="00601192" w:rsidRPr="00601192" w:rsidRDefault="00601192" w:rsidP="00601192">
            <w:pPr>
              <w:spacing w:before="0" w:after="0" w:line="264" w:lineRule="auto"/>
              <w:ind w:firstLine="0"/>
              <w:jc w:val="center"/>
              <w:rPr>
                <w:b/>
                <w:bCs/>
              </w:rPr>
            </w:pPr>
            <w:r w:rsidRPr="00601192">
              <w:rPr>
                <w:b/>
                <w:bCs/>
              </w:rPr>
              <w:t>2017 г.</w:t>
            </w:r>
          </w:p>
        </w:tc>
        <w:tc>
          <w:tcPr>
            <w:tcW w:w="992" w:type="dxa"/>
            <w:tcBorders>
              <w:top w:val="single" w:sz="4" w:space="0" w:color="auto"/>
              <w:left w:val="nil"/>
              <w:bottom w:val="single" w:sz="4" w:space="0" w:color="auto"/>
              <w:right w:val="single" w:sz="4" w:space="0" w:color="auto"/>
            </w:tcBorders>
            <w:shd w:val="clear" w:color="auto" w:fill="auto"/>
            <w:vAlign w:val="center"/>
          </w:tcPr>
          <w:p w:rsidR="00601192" w:rsidRPr="00601192" w:rsidRDefault="00601192" w:rsidP="00601192">
            <w:pPr>
              <w:spacing w:before="0" w:after="0" w:line="264" w:lineRule="auto"/>
              <w:ind w:firstLine="0"/>
              <w:jc w:val="center"/>
              <w:rPr>
                <w:b/>
                <w:bCs/>
              </w:rPr>
            </w:pPr>
            <w:r w:rsidRPr="00601192">
              <w:rPr>
                <w:b/>
                <w:bCs/>
              </w:rPr>
              <w:t xml:space="preserve">Уточнен план </w:t>
            </w:r>
          </w:p>
          <w:p w:rsidR="00601192" w:rsidRPr="00601192" w:rsidRDefault="00601192" w:rsidP="00601192">
            <w:pPr>
              <w:spacing w:before="0" w:after="0" w:line="264" w:lineRule="auto"/>
              <w:ind w:firstLine="0"/>
              <w:jc w:val="center"/>
              <w:rPr>
                <w:b/>
                <w:bCs/>
              </w:rPr>
            </w:pPr>
            <w:r w:rsidRPr="00601192">
              <w:rPr>
                <w:b/>
                <w:bCs/>
              </w:rPr>
              <w:t>2017 г.</w:t>
            </w:r>
          </w:p>
        </w:tc>
        <w:tc>
          <w:tcPr>
            <w:tcW w:w="851" w:type="dxa"/>
            <w:tcBorders>
              <w:top w:val="single" w:sz="4" w:space="0" w:color="auto"/>
              <w:left w:val="nil"/>
              <w:bottom w:val="single" w:sz="4" w:space="0" w:color="auto"/>
              <w:right w:val="single" w:sz="4" w:space="0" w:color="auto"/>
            </w:tcBorders>
            <w:shd w:val="clear" w:color="auto" w:fill="FFFF99"/>
            <w:vAlign w:val="center"/>
          </w:tcPr>
          <w:p w:rsidR="00601192" w:rsidRPr="00601192" w:rsidRDefault="00601192" w:rsidP="00601192">
            <w:pPr>
              <w:spacing w:before="0" w:after="0" w:line="264" w:lineRule="auto"/>
              <w:ind w:firstLine="0"/>
              <w:jc w:val="center"/>
              <w:rPr>
                <w:b/>
                <w:bCs/>
              </w:rPr>
            </w:pPr>
            <w:r w:rsidRPr="00601192">
              <w:rPr>
                <w:b/>
                <w:bCs/>
              </w:rPr>
              <w:t>Отчет</w:t>
            </w:r>
          </w:p>
          <w:p w:rsidR="00601192" w:rsidRPr="00601192" w:rsidRDefault="00601192" w:rsidP="00601192">
            <w:pPr>
              <w:spacing w:before="0" w:after="0" w:line="264" w:lineRule="auto"/>
              <w:ind w:firstLine="0"/>
              <w:jc w:val="center"/>
              <w:rPr>
                <w:b/>
                <w:bCs/>
              </w:rPr>
            </w:pPr>
            <w:r w:rsidRPr="00601192">
              <w:rPr>
                <w:b/>
                <w:bCs/>
              </w:rPr>
              <w:t xml:space="preserve"> 2017 г.</w:t>
            </w:r>
          </w:p>
        </w:tc>
        <w:tc>
          <w:tcPr>
            <w:tcW w:w="991" w:type="dxa"/>
            <w:tcBorders>
              <w:top w:val="single" w:sz="4" w:space="0" w:color="auto"/>
              <w:left w:val="nil"/>
              <w:bottom w:val="single" w:sz="4" w:space="0" w:color="auto"/>
              <w:right w:val="single" w:sz="4" w:space="0" w:color="auto"/>
            </w:tcBorders>
            <w:tcMar>
              <w:left w:w="28" w:type="dxa"/>
              <w:right w:w="28" w:type="dxa"/>
            </w:tcMar>
            <w:vAlign w:val="center"/>
          </w:tcPr>
          <w:p w:rsidR="00601192" w:rsidRPr="00601192" w:rsidRDefault="00601192" w:rsidP="00601192">
            <w:pPr>
              <w:spacing w:before="0" w:after="0" w:line="264" w:lineRule="auto"/>
              <w:ind w:firstLine="0"/>
              <w:jc w:val="center"/>
              <w:rPr>
                <w:b/>
                <w:bCs/>
              </w:rPr>
            </w:pPr>
            <w:r w:rsidRPr="00601192">
              <w:rPr>
                <w:b/>
                <w:bCs/>
              </w:rPr>
              <w:t xml:space="preserve">% от </w:t>
            </w:r>
          </w:p>
          <w:p w:rsidR="00601192" w:rsidRPr="00601192" w:rsidRDefault="00601192" w:rsidP="00601192">
            <w:pPr>
              <w:spacing w:before="0" w:after="0" w:line="264" w:lineRule="auto"/>
              <w:ind w:firstLine="0"/>
              <w:jc w:val="center"/>
              <w:rPr>
                <w:b/>
                <w:bCs/>
              </w:rPr>
            </w:pPr>
            <w:r w:rsidRPr="00601192">
              <w:rPr>
                <w:b/>
                <w:bCs/>
              </w:rPr>
              <w:t>общо разходите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01192" w:rsidRPr="00601192" w:rsidRDefault="00601192" w:rsidP="00601192">
            <w:pPr>
              <w:spacing w:before="0" w:after="0" w:line="264" w:lineRule="auto"/>
              <w:ind w:firstLine="0"/>
              <w:jc w:val="center"/>
              <w:rPr>
                <w:b/>
                <w:bCs/>
              </w:rPr>
            </w:pPr>
            <w:r w:rsidRPr="00601192">
              <w:rPr>
                <w:b/>
                <w:bCs/>
              </w:rPr>
              <w:t>% на изпълнение спрямо закона</w:t>
            </w:r>
          </w:p>
        </w:tc>
      </w:tr>
      <w:tr w:rsidR="00601192" w:rsidRPr="00601192" w:rsidTr="00952728">
        <w:trPr>
          <w:trHeight w:val="630"/>
        </w:trPr>
        <w:tc>
          <w:tcPr>
            <w:tcW w:w="4825" w:type="dxa"/>
            <w:tcBorders>
              <w:top w:val="nil"/>
              <w:left w:val="single" w:sz="4" w:space="0" w:color="auto"/>
              <w:bottom w:val="single" w:sz="4" w:space="0" w:color="auto"/>
              <w:right w:val="single" w:sz="4" w:space="0" w:color="auto"/>
            </w:tcBorders>
            <w:shd w:val="clear" w:color="auto" w:fill="auto"/>
            <w:vAlign w:val="center"/>
          </w:tcPr>
          <w:p w:rsidR="00601192" w:rsidRPr="00601192" w:rsidRDefault="00601192" w:rsidP="00601192">
            <w:pPr>
              <w:spacing w:before="0" w:after="0"/>
              <w:ind w:firstLine="0"/>
              <w:rPr>
                <w:b/>
                <w:bCs/>
              </w:rPr>
            </w:pPr>
            <w:r w:rsidRPr="00601192">
              <w:rPr>
                <w:b/>
                <w:bCs/>
              </w:rPr>
              <w:t>Политика в областта на отбранителните способности</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rPr>
                <w:b/>
                <w:bCs/>
              </w:rPr>
            </w:pPr>
            <w:r w:rsidRPr="00601192">
              <w:rPr>
                <w:b/>
                <w:bCs/>
              </w:rPr>
              <w:t>1 034,7</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rPr>
                <w:b/>
                <w:bCs/>
              </w:rPr>
            </w:pPr>
            <w:r w:rsidRPr="00601192">
              <w:rPr>
                <w:b/>
                <w:bCs/>
              </w:rPr>
              <w:t>1 223,2</w:t>
            </w:r>
          </w:p>
        </w:tc>
        <w:tc>
          <w:tcPr>
            <w:tcW w:w="851" w:type="dxa"/>
            <w:tcBorders>
              <w:top w:val="single" w:sz="4" w:space="0" w:color="auto"/>
              <w:left w:val="nil"/>
              <w:bottom w:val="single" w:sz="4" w:space="0" w:color="auto"/>
              <w:right w:val="single" w:sz="4" w:space="0" w:color="auto"/>
            </w:tcBorders>
            <w:shd w:val="clear" w:color="auto" w:fill="FFFF99"/>
            <w:vAlign w:val="center"/>
          </w:tcPr>
          <w:p w:rsidR="00601192" w:rsidRPr="00601192" w:rsidRDefault="00601192" w:rsidP="00601192">
            <w:pPr>
              <w:spacing w:before="0" w:after="0"/>
              <w:ind w:firstLine="0"/>
              <w:jc w:val="right"/>
              <w:rPr>
                <w:b/>
                <w:bCs/>
              </w:rPr>
            </w:pPr>
            <w:r w:rsidRPr="00601192">
              <w:rPr>
                <w:b/>
                <w:bCs/>
              </w:rPr>
              <w:t>1 191,9</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
                <w:bCs/>
              </w:rPr>
            </w:pPr>
            <w:r w:rsidRPr="00601192">
              <w:rPr>
                <w:b/>
                <w:bCs/>
              </w:rPr>
              <w:t>94,3%</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rPr>
                <w:b/>
                <w:bCs/>
              </w:rPr>
            </w:pPr>
            <w:r w:rsidRPr="00601192">
              <w:rPr>
                <w:b/>
                <w:bCs/>
              </w:rPr>
              <w:t>115,2%</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„Подготовка и използване на въоръжените сили”</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721,4</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835,4</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840,5</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66,5%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116,5%</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„Управление на човешките ресурси и резерв”</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14,8</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14,0</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13,9</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1,1%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94,0%</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
                <w:bCs/>
              </w:rPr>
            </w:pPr>
            <w:r w:rsidRPr="00601192">
              <w:rPr>
                <w:bCs/>
              </w:rPr>
              <w:t>Бюджетна програма № 3 “Военна полиция”</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26,3</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26,3</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26,3</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2,1%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99,6%</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 5 “Медицинско осигуряване”</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84,7</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165,1</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165,1</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13,1%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194,8%</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„Военно-патриотично възпитание и военно-почивно дело”</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27,9</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27,8</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27,7</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2,2%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99,4%</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„Изследвания и технологии”</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8,1</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7,4</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7,4</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0,6%</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92,0%</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„Военно образование”</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27,8</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75,5</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39,8</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3,1%</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143,3%</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„Административно осигуряване, инфраструктура и управление на риска”</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123,8</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71,7</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71,4</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5,6%</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57,7%</w:t>
            </w:r>
          </w:p>
        </w:tc>
      </w:tr>
      <w:tr w:rsidR="00601192" w:rsidRPr="00601192" w:rsidTr="00952728">
        <w:trPr>
          <w:trHeight w:val="576"/>
        </w:trPr>
        <w:tc>
          <w:tcPr>
            <w:tcW w:w="4825" w:type="dxa"/>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601192" w:rsidRPr="00601192" w:rsidRDefault="00601192" w:rsidP="00601192">
            <w:pPr>
              <w:spacing w:before="0" w:after="0"/>
              <w:ind w:firstLine="0"/>
              <w:rPr>
                <w:b/>
                <w:bCs/>
              </w:rPr>
            </w:pPr>
            <w:r w:rsidRPr="00601192">
              <w:rPr>
                <w:b/>
                <w:bCs/>
              </w:rPr>
              <w:t>Политика в областта на съюзната и международна сигурност</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rPr>
                <w:b/>
                <w:bCs/>
              </w:rPr>
            </w:pPr>
            <w:r w:rsidRPr="00601192">
              <w:rPr>
                <w:b/>
                <w:bCs/>
              </w:rPr>
              <w:t>71,4</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rPr>
                <w:b/>
                <w:bCs/>
              </w:rPr>
            </w:pPr>
            <w:r w:rsidRPr="00601192">
              <w:rPr>
                <w:b/>
                <w:bCs/>
              </w:rPr>
              <w:t>72,4</w:t>
            </w:r>
          </w:p>
        </w:tc>
        <w:tc>
          <w:tcPr>
            <w:tcW w:w="851" w:type="dxa"/>
            <w:tcBorders>
              <w:top w:val="single" w:sz="4" w:space="0" w:color="auto"/>
              <w:left w:val="nil"/>
              <w:bottom w:val="single" w:sz="4" w:space="0" w:color="auto"/>
              <w:right w:val="single" w:sz="4" w:space="0" w:color="auto"/>
            </w:tcBorders>
            <w:shd w:val="clear" w:color="auto" w:fill="FFFF99"/>
            <w:vAlign w:val="center"/>
          </w:tcPr>
          <w:p w:rsidR="00601192" w:rsidRPr="00601192" w:rsidRDefault="00601192" w:rsidP="00601192">
            <w:pPr>
              <w:spacing w:before="0" w:after="0"/>
              <w:ind w:firstLine="0"/>
              <w:jc w:val="right"/>
              <w:rPr>
                <w:b/>
                <w:bCs/>
              </w:rPr>
            </w:pPr>
            <w:r w:rsidRPr="00601192">
              <w:rPr>
                <w:b/>
                <w:bCs/>
              </w:rPr>
              <w:t>72,3</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
                <w:bCs/>
              </w:rPr>
            </w:pPr>
            <w:r w:rsidRPr="00601192">
              <w:rPr>
                <w:b/>
                <w:bCs/>
              </w:rPr>
              <w:t>5,7%</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rPr>
                <w:b/>
                <w:bCs/>
              </w:rPr>
            </w:pPr>
            <w:r w:rsidRPr="00601192">
              <w:rPr>
                <w:b/>
                <w:bCs/>
              </w:rPr>
              <w:t>101,3%</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„Членство в НАТО и ЕС и международно сътрудничество”</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27,9</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27,9</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27,8</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2,2%</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99,8%</w:t>
            </w:r>
          </w:p>
        </w:tc>
      </w:tr>
      <w:tr w:rsidR="00601192" w:rsidRPr="00601192" w:rsidTr="00952728">
        <w:trPr>
          <w:trHeight w:val="300"/>
        </w:trPr>
        <w:tc>
          <w:tcPr>
            <w:tcW w:w="4825"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rPr>
                <w:bCs/>
              </w:rPr>
            </w:pPr>
            <w:r w:rsidRPr="00601192">
              <w:rPr>
                <w:bCs/>
              </w:rPr>
              <w:t>Бюджетна програма „Военна информация”</w:t>
            </w:r>
          </w:p>
        </w:tc>
        <w:tc>
          <w:tcPr>
            <w:tcW w:w="851"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43,5</w:t>
            </w:r>
          </w:p>
        </w:tc>
        <w:tc>
          <w:tcPr>
            <w:tcW w:w="992" w:type="dxa"/>
            <w:tcBorders>
              <w:top w:val="nil"/>
              <w:left w:val="nil"/>
              <w:bottom w:val="single" w:sz="4" w:space="0" w:color="auto"/>
              <w:right w:val="single" w:sz="4" w:space="0" w:color="auto"/>
            </w:tcBorders>
            <w:shd w:val="clear" w:color="auto" w:fill="auto"/>
            <w:vAlign w:val="center"/>
          </w:tcPr>
          <w:p w:rsidR="00601192" w:rsidRPr="00601192" w:rsidRDefault="00601192" w:rsidP="00601192">
            <w:pPr>
              <w:spacing w:before="0" w:after="0"/>
              <w:ind w:firstLine="0"/>
              <w:jc w:val="right"/>
            </w:pPr>
            <w:r w:rsidRPr="00601192">
              <w:t>44,5</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pPr>
            <w:r w:rsidRPr="00601192">
              <w:t>44,5</w:t>
            </w:r>
          </w:p>
        </w:tc>
        <w:tc>
          <w:tcPr>
            <w:tcW w:w="991" w:type="dxa"/>
            <w:tcBorders>
              <w:top w:val="single" w:sz="4" w:space="0" w:color="auto"/>
              <w:left w:val="nil"/>
              <w:bottom w:val="single" w:sz="4" w:space="0" w:color="auto"/>
              <w:right w:val="single" w:sz="4" w:space="0" w:color="auto"/>
            </w:tcBorders>
            <w:vAlign w:val="center"/>
          </w:tcPr>
          <w:p w:rsidR="00601192" w:rsidRPr="00601192" w:rsidRDefault="00601192" w:rsidP="00601192">
            <w:pPr>
              <w:spacing w:before="0" w:after="0"/>
              <w:ind w:firstLine="0"/>
              <w:jc w:val="right"/>
              <w:rPr>
                <w:bCs/>
              </w:rPr>
            </w:pPr>
            <w:r w:rsidRPr="00601192">
              <w:rPr>
                <w:bCs/>
              </w:rPr>
              <w:t>3,5%</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601192" w:rsidRPr="00601192" w:rsidRDefault="00601192" w:rsidP="00601192">
            <w:pPr>
              <w:spacing w:before="0" w:after="0"/>
              <w:ind w:firstLine="0"/>
              <w:jc w:val="right"/>
            </w:pPr>
            <w:r w:rsidRPr="00601192">
              <w:t>102,3%</w:t>
            </w:r>
          </w:p>
        </w:tc>
      </w:tr>
      <w:tr w:rsidR="00601192" w:rsidRPr="00601192" w:rsidTr="00952728">
        <w:trPr>
          <w:trHeight w:val="255"/>
        </w:trPr>
        <w:tc>
          <w:tcPr>
            <w:tcW w:w="4825" w:type="dxa"/>
            <w:tcBorders>
              <w:top w:val="nil"/>
              <w:left w:val="single" w:sz="4" w:space="0" w:color="auto"/>
              <w:bottom w:val="single" w:sz="4" w:space="0" w:color="auto"/>
              <w:right w:val="single" w:sz="4" w:space="0" w:color="auto"/>
            </w:tcBorders>
            <w:shd w:val="clear" w:color="auto" w:fill="FFFF99"/>
            <w:vAlign w:val="center"/>
          </w:tcPr>
          <w:p w:rsidR="00601192" w:rsidRPr="00601192" w:rsidRDefault="00601192" w:rsidP="00601192">
            <w:pPr>
              <w:spacing w:before="0" w:after="0"/>
              <w:ind w:firstLine="0"/>
              <w:jc w:val="center"/>
              <w:rPr>
                <w:b/>
                <w:bCs/>
              </w:rPr>
            </w:pPr>
            <w:r w:rsidRPr="00601192">
              <w:rPr>
                <w:b/>
                <w:bCs/>
              </w:rPr>
              <w:t xml:space="preserve">ОБЩО РАЗХОДИ </w:t>
            </w:r>
          </w:p>
        </w:tc>
        <w:tc>
          <w:tcPr>
            <w:tcW w:w="851" w:type="dxa"/>
            <w:tcBorders>
              <w:top w:val="nil"/>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rPr>
                <w:b/>
                <w:bCs/>
              </w:rPr>
            </w:pPr>
            <w:r w:rsidRPr="00601192">
              <w:rPr>
                <w:b/>
                <w:bCs/>
              </w:rPr>
              <w:t>1 106,0</w:t>
            </w:r>
          </w:p>
        </w:tc>
        <w:tc>
          <w:tcPr>
            <w:tcW w:w="992" w:type="dxa"/>
            <w:tcBorders>
              <w:top w:val="nil"/>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rPr>
                <w:b/>
                <w:bCs/>
              </w:rPr>
            </w:pPr>
            <w:r w:rsidRPr="00601192">
              <w:rPr>
                <w:b/>
                <w:bCs/>
              </w:rPr>
              <w:t>1 295,6</w:t>
            </w:r>
          </w:p>
        </w:tc>
        <w:tc>
          <w:tcPr>
            <w:tcW w:w="851" w:type="dxa"/>
            <w:tcBorders>
              <w:top w:val="single" w:sz="4" w:space="0" w:color="auto"/>
              <w:left w:val="nil"/>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rPr>
                <w:b/>
                <w:bCs/>
              </w:rPr>
            </w:pPr>
            <w:r w:rsidRPr="00601192">
              <w:rPr>
                <w:b/>
                <w:bCs/>
              </w:rPr>
              <w:t>1 264,2</w:t>
            </w:r>
          </w:p>
        </w:tc>
        <w:tc>
          <w:tcPr>
            <w:tcW w:w="991" w:type="dxa"/>
            <w:tcBorders>
              <w:top w:val="single" w:sz="4" w:space="0" w:color="auto"/>
              <w:left w:val="nil"/>
              <w:bottom w:val="single" w:sz="4" w:space="0" w:color="auto"/>
              <w:right w:val="single" w:sz="4" w:space="0" w:color="auto"/>
            </w:tcBorders>
            <w:shd w:val="clear" w:color="auto" w:fill="FFFF99"/>
            <w:vAlign w:val="center"/>
          </w:tcPr>
          <w:p w:rsidR="00601192" w:rsidRPr="00601192" w:rsidRDefault="00601192" w:rsidP="00601192">
            <w:pPr>
              <w:spacing w:before="0" w:after="0"/>
              <w:ind w:firstLine="0"/>
              <w:jc w:val="right"/>
              <w:rPr>
                <w:b/>
                <w:bCs/>
              </w:rPr>
            </w:pPr>
            <w:r w:rsidRPr="00601192">
              <w:rPr>
                <w:b/>
                <w:bCs/>
              </w:rPr>
              <w:t>100,0%</w:t>
            </w:r>
          </w:p>
        </w:tc>
        <w:tc>
          <w:tcPr>
            <w:tcW w:w="1134" w:type="dxa"/>
            <w:tcBorders>
              <w:top w:val="nil"/>
              <w:left w:val="single" w:sz="4" w:space="0" w:color="auto"/>
              <w:bottom w:val="single" w:sz="4" w:space="0" w:color="auto"/>
              <w:right w:val="single" w:sz="4" w:space="0" w:color="auto"/>
            </w:tcBorders>
            <w:shd w:val="clear" w:color="auto" w:fill="FFFF99"/>
            <w:noWrap/>
            <w:vAlign w:val="center"/>
          </w:tcPr>
          <w:p w:rsidR="00601192" w:rsidRPr="00601192" w:rsidRDefault="00601192" w:rsidP="00601192">
            <w:pPr>
              <w:spacing w:before="0" w:after="0"/>
              <w:ind w:firstLine="0"/>
              <w:jc w:val="right"/>
              <w:rPr>
                <w:b/>
                <w:bCs/>
              </w:rPr>
            </w:pPr>
            <w:r w:rsidRPr="00601192">
              <w:rPr>
                <w:b/>
                <w:bCs/>
              </w:rPr>
              <w:t>114,3%</w:t>
            </w:r>
          </w:p>
        </w:tc>
      </w:tr>
    </w:tbl>
    <w:p w:rsidR="00601192" w:rsidRPr="00601192" w:rsidRDefault="00601192" w:rsidP="00601192">
      <w:pPr>
        <w:autoSpaceDE w:val="0"/>
        <w:autoSpaceDN w:val="0"/>
        <w:adjustRightInd w:val="0"/>
        <w:spacing w:before="0" w:after="0" w:line="288" w:lineRule="auto"/>
        <w:ind w:firstLine="720"/>
        <w:rPr>
          <w:sz w:val="24"/>
          <w:szCs w:val="24"/>
        </w:rPr>
      </w:pPr>
      <w:r w:rsidRPr="00601192">
        <w:rPr>
          <w:sz w:val="24"/>
          <w:szCs w:val="24"/>
        </w:rPr>
        <w:t>По направления на разходите, разпределението на изразходваните финансови средства в проценти е показано на следващата графика:</w:t>
      </w:r>
    </w:p>
    <w:p w:rsidR="00601192" w:rsidRPr="00BF123C" w:rsidRDefault="00601192" w:rsidP="00601192">
      <w:pPr>
        <w:spacing w:before="0" w:after="0"/>
        <w:ind w:firstLine="0"/>
        <w:rPr>
          <w:color w:val="0000FF"/>
          <w:sz w:val="24"/>
          <w:szCs w:val="24"/>
        </w:rPr>
      </w:pPr>
    </w:p>
    <w:p w:rsidR="00601192" w:rsidRPr="00601192" w:rsidRDefault="00601192" w:rsidP="00601192">
      <w:pPr>
        <w:spacing w:before="0" w:after="0"/>
        <w:ind w:firstLine="0"/>
        <w:jc w:val="center"/>
        <w:rPr>
          <w:color w:val="0000FF"/>
          <w:sz w:val="24"/>
          <w:szCs w:val="24"/>
          <w:lang w:val="en-US"/>
        </w:rPr>
      </w:pPr>
      <w:r>
        <w:rPr>
          <w:noProof/>
          <w:sz w:val="24"/>
          <w:szCs w:val="24"/>
        </w:rPr>
        <w:drawing>
          <wp:inline distT="0" distB="0" distL="0" distR="0" wp14:anchorId="0D466E4F" wp14:editId="6202959A">
            <wp:extent cx="4587875" cy="3267710"/>
            <wp:effectExtent l="0" t="0" r="22225" b="2794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1192" w:rsidRPr="00601192" w:rsidRDefault="00601192" w:rsidP="00601192">
      <w:pPr>
        <w:spacing w:before="0" w:after="0"/>
        <w:ind w:firstLine="0"/>
        <w:rPr>
          <w:color w:val="0000FF"/>
          <w:sz w:val="24"/>
          <w:szCs w:val="24"/>
          <w:lang w:val="en-US"/>
        </w:rPr>
      </w:pPr>
    </w:p>
    <w:p w:rsidR="00601192" w:rsidRPr="00601192" w:rsidRDefault="00601192" w:rsidP="00601192">
      <w:pPr>
        <w:spacing w:before="0" w:after="0"/>
        <w:ind w:firstLine="0"/>
        <w:rPr>
          <w:color w:val="0000FF"/>
          <w:sz w:val="24"/>
          <w:szCs w:val="24"/>
          <w:lang w:val="en-US"/>
        </w:rPr>
      </w:pPr>
    </w:p>
    <w:p w:rsidR="00601192" w:rsidRPr="00601192" w:rsidRDefault="00601192" w:rsidP="00601192">
      <w:pPr>
        <w:ind w:firstLine="709"/>
        <w:jc w:val="both"/>
        <w:rPr>
          <w:b/>
          <w:sz w:val="24"/>
          <w:szCs w:val="24"/>
          <w:lang w:val="ru-RU"/>
        </w:rPr>
      </w:pPr>
      <w:r w:rsidRPr="00601192">
        <w:rPr>
          <w:b/>
          <w:sz w:val="24"/>
          <w:szCs w:val="24"/>
        </w:rPr>
        <w:t>ПРЕЗ 2017 г. СА ПОСТИГНАТИ СЛЕДНИТЕ РЕЗУЛТАТИ ПО БЮДЖЕТНИТЕ ПРОГРАМИ:</w:t>
      </w:r>
    </w:p>
    <w:p w:rsidR="00601192" w:rsidRPr="00601192" w:rsidRDefault="00601192" w:rsidP="00601192">
      <w:pPr>
        <w:tabs>
          <w:tab w:val="num" w:pos="720"/>
        </w:tabs>
        <w:spacing w:before="60" w:after="0"/>
        <w:jc w:val="both"/>
        <w:rPr>
          <w:b/>
          <w:sz w:val="24"/>
          <w:szCs w:val="24"/>
        </w:rPr>
      </w:pPr>
      <w:r w:rsidRPr="00601192">
        <w:rPr>
          <w:b/>
          <w:sz w:val="24"/>
          <w:szCs w:val="24"/>
        </w:rPr>
        <w:t xml:space="preserve">Бюджетна програма 1 “Подготовка и използване на въоръжените сили” </w:t>
      </w:r>
    </w:p>
    <w:p w:rsidR="00601192" w:rsidRPr="00601192" w:rsidRDefault="00601192" w:rsidP="00601192">
      <w:pPr>
        <w:tabs>
          <w:tab w:val="num" w:pos="720"/>
        </w:tabs>
        <w:spacing w:before="60" w:after="0"/>
        <w:jc w:val="both"/>
        <w:rPr>
          <w:bCs/>
          <w:sz w:val="24"/>
          <w:szCs w:val="24"/>
          <w:u w:val="single"/>
        </w:rPr>
      </w:pPr>
      <w:r w:rsidRPr="00601192">
        <w:rPr>
          <w:bCs/>
          <w:sz w:val="24"/>
          <w:szCs w:val="24"/>
          <w:u w:val="single"/>
        </w:rPr>
        <w:t>Доктрини, концепции и планове</w:t>
      </w:r>
    </w:p>
    <w:p w:rsidR="00601192" w:rsidRPr="00601192" w:rsidRDefault="00601192" w:rsidP="00601192">
      <w:pPr>
        <w:tabs>
          <w:tab w:val="left" w:pos="1080"/>
          <w:tab w:val="left" w:pos="1620"/>
          <w:tab w:val="left" w:pos="1980"/>
        </w:tabs>
        <w:spacing w:before="0" w:after="0" w:line="288" w:lineRule="auto"/>
        <w:ind w:firstLine="540"/>
        <w:jc w:val="both"/>
        <w:rPr>
          <w:bCs/>
          <w:color w:val="0000FF"/>
          <w:sz w:val="24"/>
          <w:szCs w:val="24"/>
        </w:rPr>
      </w:pPr>
      <w:r w:rsidRPr="00601192">
        <w:rPr>
          <w:sz w:val="24"/>
          <w:szCs w:val="24"/>
        </w:rPr>
        <w:t>През 2017 г. продължи изучаването и прилагането в подготовката на войските на базовите и поддържащите доктрини.</w:t>
      </w:r>
      <w:r w:rsidRPr="00601192">
        <w:rPr>
          <w:color w:val="0000FF"/>
          <w:sz w:val="24"/>
          <w:szCs w:val="24"/>
        </w:rPr>
        <w:t xml:space="preserve"> </w:t>
      </w:r>
      <w:r w:rsidRPr="00601192">
        <w:rPr>
          <w:sz w:val="24"/>
          <w:szCs w:val="24"/>
        </w:rPr>
        <w:t xml:space="preserve">Във Въоръжените сили (ВС) на Р България е изградена и функционира система за развитие на националните концептуални и </w:t>
      </w:r>
      <w:proofErr w:type="spellStart"/>
      <w:r w:rsidRPr="00601192">
        <w:rPr>
          <w:sz w:val="24"/>
          <w:szCs w:val="24"/>
        </w:rPr>
        <w:t>доктринални</w:t>
      </w:r>
      <w:proofErr w:type="spellEnd"/>
      <w:r w:rsidRPr="00601192">
        <w:rPr>
          <w:sz w:val="24"/>
          <w:szCs w:val="24"/>
        </w:rPr>
        <w:t xml:space="preserve"> документи обособени в йерархичен модел. Целта й е както да развива и поддържа в актуално състояние националните публикации, така и да осигурява тяхното адаптиране и хармонизиране с тези на НАТО и ЕС. През отчетния период завърши прегледа на „Доктрина на въоръжените сили на Република България“. Това предизвика извършване на преглед на базовите доктрини през 2017 г., като в ход е преглед на </w:t>
      </w:r>
      <w:r w:rsidRPr="00601192">
        <w:rPr>
          <w:sz w:val="24"/>
          <w:szCs w:val="24"/>
          <w:lang w:val="ru-RU"/>
        </w:rPr>
        <w:t xml:space="preserve">9 </w:t>
      </w:r>
      <w:r w:rsidRPr="00601192">
        <w:rPr>
          <w:sz w:val="24"/>
          <w:szCs w:val="24"/>
        </w:rPr>
        <w:t>базови доктрини. Паралелно с процеса на развитие на доктрините на ВС, през 2017 г. продължи развитието и актуализирането на приложните документи.</w:t>
      </w:r>
      <w:r w:rsidRPr="00601192">
        <w:rPr>
          <w:color w:val="0000FF"/>
          <w:sz w:val="24"/>
          <w:szCs w:val="24"/>
        </w:rPr>
        <w:t xml:space="preserve"> </w:t>
      </w:r>
    </w:p>
    <w:p w:rsidR="00601192" w:rsidRPr="00601192" w:rsidRDefault="00601192" w:rsidP="00601192">
      <w:pPr>
        <w:tabs>
          <w:tab w:val="num" w:pos="720"/>
        </w:tabs>
        <w:spacing w:before="60" w:after="0"/>
        <w:jc w:val="both"/>
        <w:rPr>
          <w:bCs/>
          <w:sz w:val="24"/>
          <w:szCs w:val="24"/>
          <w:u w:val="single"/>
        </w:rPr>
      </w:pPr>
      <w:r w:rsidRPr="00601192">
        <w:rPr>
          <w:bCs/>
          <w:sz w:val="24"/>
          <w:szCs w:val="24"/>
          <w:u w:val="single"/>
        </w:rPr>
        <w:t>Изпълнение на плановете по подготовката</w:t>
      </w:r>
    </w:p>
    <w:p w:rsidR="00601192" w:rsidRPr="00601192" w:rsidRDefault="00601192" w:rsidP="00601192">
      <w:pPr>
        <w:tabs>
          <w:tab w:val="num" w:pos="720"/>
        </w:tabs>
        <w:spacing w:before="60" w:after="0"/>
        <w:jc w:val="both"/>
        <w:rPr>
          <w:bCs/>
          <w:sz w:val="24"/>
          <w:szCs w:val="24"/>
        </w:rPr>
      </w:pPr>
      <w:r w:rsidRPr="00601192">
        <w:rPr>
          <w:bCs/>
          <w:sz w:val="24"/>
          <w:szCs w:val="24"/>
        </w:rPr>
        <w:t xml:space="preserve">В Съвместно командване на силите (СКС) са проведени 13 оперативни сбора и командирски сборове и занятия, 28 щабни тренировки.   </w:t>
      </w:r>
    </w:p>
    <w:p w:rsidR="00601192" w:rsidRPr="00601192" w:rsidRDefault="00601192" w:rsidP="00601192">
      <w:pPr>
        <w:tabs>
          <w:tab w:val="num" w:pos="720"/>
        </w:tabs>
        <w:spacing w:before="60" w:after="0"/>
        <w:jc w:val="both"/>
        <w:rPr>
          <w:bCs/>
          <w:color w:val="0000FF"/>
          <w:sz w:val="24"/>
          <w:szCs w:val="24"/>
        </w:rPr>
      </w:pPr>
      <w:r w:rsidRPr="00601192">
        <w:rPr>
          <w:bCs/>
          <w:sz w:val="24"/>
          <w:szCs w:val="24"/>
        </w:rPr>
        <w:t xml:space="preserve">В Сухопътни войски (СВ) са проведени </w:t>
      </w:r>
      <w:r w:rsidRPr="00601192">
        <w:rPr>
          <w:bCs/>
          <w:sz w:val="24"/>
          <w:szCs w:val="24"/>
          <w:lang w:val="ru-RU"/>
        </w:rPr>
        <w:t>107</w:t>
      </w:r>
      <w:r w:rsidRPr="00601192">
        <w:rPr>
          <w:bCs/>
          <w:sz w:val="24"/>
          <w:szCs w:val="24"/>
        </w:rPr>
        <w:t xml:space="preserve"> тактически учения/тактико-специални учения с рота/батальон, </w:t>
      </w:r>
      <w:r w:rsidRPr="00601192">
        <w:rPr>
          <w:bCs/>
          <w:sz w:val="24"/>
          <w:szCs w:val="24"/>
          <w:lang w:val="ru-RU"/>
        </w:rPr>
        <w:t>65</w:t>
      </w:r>
      <w:r w:rsidRPr="00601192">
        <w:rPr>
          <w:bCs/>
          <w:sz w:val="24"/>
          <w:szCs w:val="24"/>
        </w:rPr>
        <w:t xml:space="preserve"> полеви лагери, </w:t>
      </w:r>
      <w:r w:rsidRPr="00601192">
        <w:rPr>
          <w:bCs/>
          <w:sz w:val="24"/>
          <w:szCs w:val="24"/>
          <w:lang w:val="ru-RU"/>
        </w:rPr>
        <w:t>15</w:t>
      </w:r>
      <w:r w:rsidRPr="00601192">
        <w:rPr>
          <w:bCs/>
          <w:sz w:val="24"/>
          <w:szCs w:val="24"/>
        </w:rPr>
        <w:t xml:space="preserve"> командно-щабни учения и компютърно подпомогнати командно-щабни учения, </w:t>
      </w:r>
      <w:r w:rsidRPr="00601192">
        <w:rPr>
          <w:bCs/>
          <w:sz w:val="24"/>
          <w:szCs w:val="24"/>
          <w:lang w:val="ru-RU"/>
        </w:rPr>
        <w:t>5</w:t>
      </w:r>
      <w:r w:rsidRPr="00601192">
        <w:rPr>
          <w:bCs/>
          <w:sz w:val="24"/>
          <w:szCs w:val="24"/>
        </w:rPr>
        <w:t xml:space="preserve"> национални </w:t>
      </w:r>
      <w:proofErr w:type="spellStart"/>
      <w:r w:rsidRPr="00601192">
        <w:rPr>
          <w:bCs/>
          <w:sz w:val="24"/>
          <w:szCs w:val="24"/>
        </w:rPr>
        <w:t>сертификации</w:t>
      </w:r>
      <w:proofErr w:type="spellEnd"/>
      <w:r w:rsidRPr="00601192">
        <w:rPr>
          <w:bCs/>
          <w:sz w:val="24"/>
          <w:szCs w:val="24"/>
        </w:rPr>
        <w:t xml:space="preserve">, </w:t>
      </w:r>
      <w:r w:rsidRPr="00601192">
        <w:rPr>
          <w:bCs/>
          <w:sz w:val="24"/>
          <w:szCs w:val="24"/>
          <w:lang w:val="ru-RU"/>
        </w:rPr>
        <w:t>6</w:t>
      </w:r>
      <w:r w:rsidRPr="00601192">
        <w:rPr>
          <w:bCs/>
          <w:sz w:val="24"/>
          <w:szCs w:val="24"/>
        </w:rPr>
        <w:t xml:space="preserve"> </w:t>
      </w:r>
      <w:proofErr w:type="spellStart"/>
      <w:r w:rsidRPr="00601192">
        <w:rPr>
          <w:bCs/>
          <w:sz w:val="24"/>
          <w:szCs w:val="24"/>
        </w:rPr>
        <w:t>сертификации</w:t>
      </w:r>
      <w:proofErr w:type="spellEnd"/>
      <w:r w:rsidRPr="00601192">
        <w:rPr>
          <w:bCs/>
          <w:sz w:val="24"/>
          <w:szCs w:val="24"/>
        </w:rPr>
        <w:t xml:space="preserve"> за участие в мисии и операции извън територията на Република България, </w:t>
      </w:r>
      <w:r w:rsidRPr="00601192">
        <w:rPr>
          <w:bCs/>
          <w:sz w:val="24"/>
          <w:szCs w:val="24"/>
          <w:lang w:val="ru-RU"/>
        </w:rPr>
        <w:t>137</w:t>
      </w:r>
      <w:r w:rsidRPr="00601192">
        <w:rPr>
          <w:bCs/>
          <w:sz w:val="24"/>
          <w:szCs w:val="24"/>
        </w:rPr>
        <w:t xml:space="preserve"> семинари, национални и международни учения, конференции и др.</w:t>
      </w:r>
      <w:r w:rsidRPr="00601192">
        <w:rPr>
          <w:bCs/>
          <w:color w:val="0000FF"/>
          <w:sz w:val="24"/>
          <w:szCs w:val="24"/>
        </w:rPr>
        <w:t xml:space="preserve">   </w:t>
      </w:r>
    </w:p>
    <w:p w:rsidR="00601192" w:rsidRPr="00601192" w:rsidRDefault="00601192" w:rsidP="00601192">
      <w:pPr>
        <w:tabs>
          <w:tab w:val="num" w:pos="720"/>
        </w:tabs>
        <w:spacing w:before="60" w:after="0"/>
        <w:jc w:val="both"/>
        <w:rPr>
          <w:bCs/>
          <w:color w:val="0000FF"/>
          <w:sz w:val="24"/>
          <w:szCs w:val="24"/>
        </w:rPr>
      </w:pPr>
      <w:r w:rsidRPr="00601192">
        <w:rPr>
          <w:bCs/>
          <w:sz w:val="24"/>
          <w:szCs w:val="24"/>
        </w:rPr>
        <w:lastRenderedPageBreak/>
        <w:t xml:space="preserve">Във Военновъздушни сили (ВВС) </w:t>
      </w:r>
      <w:r w:rsidRPr="00601192">
        <w:rPr>
          <w:bCs/>
          <w:sz w:val="24"/>
          <w:szCs w:val="24"/>
          <w:lang w:val="en-US"/>
        </w:rPr>
        <w:t>e</w:t>
      </w:r>
      <w:r w:rsidRPr="00601192">
        <w:rPr>
          <w:bCs/>
          <w:sz w:val="24"/>
          <w:szCs w:val="24"/>
        </w:rPr>
        <w:t xml:space="preserve"> проведен</w:t>
      </w:r>
      <w:r w:rsidRPr="00601192">
        <w:rPr>
          <w:bCs/>
          <w:sz w:val="24"/>
          <w:szCs w:val="24"/>
          <w:lang w:val="en-US"/>
        </w:rPr>
        <w:t>o</w:t>
      </w:r>
      <w:r w:rsidRPr="00601192">
        <w:rPr>
          <w:bCs/>
          <w:sz w:val="24"/>
          <w:szCs w:val="24"/>
        </w:rPr>
        <w:t xml:space="preserve"> 1 командно-щабно учение, 9 </w:t>
      </w:r>
      <w:proofErr w:type="spellStart"/>
      <w:r w:rsidRPr="00601192">
        <w:rPr>
          <w:bCs/>
          <w:sz w:val="24"/>
          <w:szCs w:val="24"/>
        </w:rPr>
        <w:t>ескадрилни</w:t>
      </w:r>
      <w:proofErr w:type="spellEnd"/>
      <w:r w:rsidRPr="00601192">
        <w:rPr>
          <w:bCs/>
          <w:sz w:val="24"/>
          <w:szCs w:val="24"/>
        </w:rPr>
        <w:t xml:space="preserve"> летателно-тактически учения, изпълнени са </w:t>
      </w:r>
      <w:r w:rsidRPr="00601192">
        <w:rPr>
          <w:sz w:val="24"/>
          <w:szCs w:val="24"/>
        </w:rPr>
        <w:t>5 190</w:t>
      </w:r>
      <w:r w:rsidRPr="00601192">
        <w:rPr>
          <w:kern w:val="16"/>
          <w:sz w:val="24"/>
          <w:szCs w:val="24"/>
        </w:rPr>
        <w:t xml:space="preserve"> </w:t>
      </w:r>
      <w:r w:rsidRPr="00601192">
        <w:rPr>
          <w:bCs/>
          <w:sz w:val="24"/>
          <w:szCs w:val="24"/>
        </w:rPr>
        <w:t xml:space="preserve">летателни часа, представители на ВВС са участвали в </w:t>
      </w:r>
      <w:r w:rsidRPr="00601192">
        <w:rPr>
          <w:bCs/>
          <w:sz w:val="24"/>
          <w:szCs w:val="24"/>
          <w:lang w:val="ru-RU"/>
        </w:rPr>
        <w:t>13</w:t>
      </w:r>
      <w:r w:rsidRPr="00601192">
        <w:rPr>
          <w:bCs/>
          <w:sz w:val="24"/>
          <w:szCs w:val="24"/>
        </w:rPr>
        <w:t xml:space="preserve"> международни учения.</w:t>
      </w:r>
      <w:r w:rsidRPr="00601192">
        <w:rPr>
          <w:bCs/>
          <w:color w:val="0000FF"/>
          <w:sz w:val="24"/>
          <w:szCs w:val="24"/>
        </w:rPr>
        <w:t xml:space="preserve">  </w:t>
      </w:r>
    </w:p>
    <w:p w:rsidR="00601192" w:rsidRPr="00601192" w:rsidRDefault="00601192" w:rsidP="00601192">
      <w:pPr>
        <w:tabs>
          <w:tab w:val="num" w:pos="720"/>
        </w:tabs>
        <w:spacing w:before="60" w:after="0"/>
        <w:jc w:val="both"/>
        <w:rPr>
          <w:bCs/>
          <w:sz w:val="24"/>
          <w:szCs w:val="24"/>
        </w:rPr>
      </w:pPr>
      <w:r w:rsidRPr="00601192">
        <w:rPr>
          <w:bCs/>
          <w:sz w:val="24"/>
          <w:szCs w:val="24"/>
        </w:rPr>
        <w:t xml:space="preserve">Във Военноморски сили (ВМС) са проведени 1 тактическо учение на база, </w:t>
      </w:r>
      <w:r w:rsidRPr="00601192">
        <w:rPr>
          <w:bCs/>
          <w:sz w:val="24"/>
          <w:szCs w:val="24"/>
          <w:lang w:val="ru-RU"/>
        </w:rPr>
        <w:t xml:space="preserve">4 </w:t>
      </w:r>
      <w:r w:rsidRPr="00601192">
        <w:rPr>
          <w:bCs/>
          <w:sz w:val="24"/>
          <w:szCs w:val="24"/>
        </w:rPr>
        <w:t xml:space="preserve">дивизионни тактически учения, </w:t>
      </w:r>
      <w:r w:rsidRPr="00601192">
        <w:rPr>
          <w:bCs/>
          <w:sz w:val="24"/>
          <w:szCs w:val="24"/>
          <w:lang w:val="ru-RU"/>
        </w:rPr>
        <w:t>46</w:t>
      </w:r>
      <w:r w:rsidRPr="00601192">
        <w:rPr>
          <w:bCs/>
          <w:sz w:val="24"/>
          <w:szCs w:val="24"/>
        </w:rPr>
        <w:t xml:space="preserve"> тактически учения на единичен кораб, </w:t>
      </w:r>
      <w:r w:rsidRPr="00601192">
        <w:rPr>
          <w:bCs/>
          <w:sz w:val="24"/>
          <w:szCs w:val="24"/>
          <w:lang w:val="ru-RU"/>
        </w:rPr>
        <w:t>18</w:t>
      </w:r>
      <w:r w:rsidRPr="00601192">
        <w:rPr>
          <w:bCs/>
          <w:sz w:val="24"/>
          <w:szCs w:val="24"/>
        </w:rPr>
        <w:t xml:space="preserve"> батальонни тактически учения, 18 ротни тактически учения, изпълнени са </w:t>
      </w:r>
      <w:r w:rsidRPr="00601192">
        <w:rPr>
          <w:bCs/>
          <w:sz w:val="24"/>
          <w:szCs w:val="24"/>
          <w:lang w:val="ru-RU"/>
        </w:rPr>
        <w:t>415</w:t>
      </w:r>
      <w:r w:rsidRPr="00601192">
        <w:rPr>
          <w:bCs/>
          <w:sz w:val="24"/>
          <w:szCs w:val="24"/>
        </w:rPr>
        <w:t xml:space="preserve"> летателни часа на екипаж, проведени средно по </w:t>
      </w:r>
      <w:r w:rsidRPr="00601192">
        <w:rPr>
          <w:bCs/>
          <w:sz w:val="24"/>
          <w:szCs w:val="24"/>
          <w:lang w:val="ru-RU"/>
        </w:rPr>
        <w:t>79</w:t>
      </w:r>
      <w:r w:rsidRPr="00601192">
        <w:rPr>
          <w:bCs/>
          <w:sz w:val="24"/>
          <w:szCs w:val="24"/>
        </w:rPr>
        <w:t xml:space="preserve"> дни на море от Силите за развръщане. </w:t>
      </w:r>
    </w:p>
    <w:p w:rsidR="00601192" w:rsidRPr="00601192" w:rsidRDefault="00601192" w:rsidP="00601192">
      <w:pPr>
        <w:spacing w:before="0" w:after="0"/>
        <w:jc w:val="both"/>
        <w:rPr>
          <w:bCs/>
          <w:sz w:val="24"/>
          <w:szCs w:val="24"/>
        </w:rPr>
      </w:pPr>
      <w:r w:rsidRPr="00601192">
        <w:rPr>
          <w:iCs/>
          <w:sz w:val="24"/>
          <w:szCs w:val="24"/>
        </w:rPr>
        <w:t xml:space="preserve">В бригадата специални сили са проведени 248 бр. стрелкови тренировки, 492 бр. тактически занятия с отделение, 3956 бр. парашутни скока, 14 бр. полеви лагера. </w:t>
      </w:r>
    </w:p>
    <w:p w:rsidR="00601192" w:rsidRPr="00601192" w:rsidRDefault="00601192" w:rsidP="00601192">
      <w:pPr>
        <w:tabs>
          <w:tab w:val="num" w:pos="720"/>
        </w:tabs>
        <w:spacing w:before="60" w:after="0"/>
        <w:jc w:val="both"/>
        <w:rPr>
          <w:bCs/>
          <w:sz w:val="24"/>
          <w:szCs w:val="24"/>
          <w:u w:val="single"/>
        </w:rPr>
      </w:pPr>
      <w:r w:rsidRPr="00601192">
        <w:rPr>
          <w:bCs/>
          <w:sz w:val="24"/>
          <w:szCs w:val="24"/>
          <w:u w:val="single"/>
        </w:rPr>
        <w:t>Участие в операции и мисии извън територията на страната:</w:t>
      </w:r>
    </w:p>
    <w:p w:rsidR="00601192" w:rsidRPr="00601192" w:rsidRDefault="00601192" w:rsidP="00601192">
      <w:pPr>
        <w:tabs>
          <w:tab w:val="num" w:pos="720"/>
        </w:tabs>
        <w:spacing w:before="60" w:after="0"/>
        <w:jc w:val="both"/>
        <w:rPr>
          <w:bCs/>
          <w:sz w:val="24"/>
          <w:szCs w:val="24"/>
        </w:rPr>
      </w:pPr>
      <w:r w:rsidRPr="00601192">
        <w:rPr>
          <w:bCs/>
          <w:sz w:val="24"/>
          <w:szCs w:val="24"/>
        </w:rPr>
        <w:t>По международни споразумения</w:t>
      </w:r>
    </w:p>
    <w:p w:rsidR="00601192" w:rsidRPr="00601192" w:rsidRDefault="00601192" w:rsidP="00601192">
      <w:pPr>
        <w:tabs>
          <w:tab w:val="num" w:pos="720"/>
        </w:tabs>
        <w:spacing w:before="60" w:after="0"/>
        <w:jc w:val="both"/>
        <w:rPr>
          <w:bCs/>
          <w:sz w:val="24"/>
          <w:szCs w:val="24"/>
        </w:rPr>
      </w:pPr>
      <w:r w:rsidRPr="00601192">
        <w:rPr>
          <w:bCs/>
          <w:sz w:val="24"/>
          <w:szCs w:val="24"/>
        </w:rPr>
        <w:t xml:space="preserve">Република България участва в бригада Югоизточна Европа и в  Оперативна група “BLACKESEAFOR”. </w:t>
      </w:r>
    </w:p>
    <w:p w:rsidR="00601192" w:rsidRPr="00601192" w:rsidRDefault="00601192" w:rsidP="00601192">
      <w:pPr>
        <w:tabs>
          <w:tab w:val="num" w:pos="720"/>
        </w:tabs>
        <w:spacing w:before="60" w:after="0"/>
        <w:jc w:val="both"/>
        <w:rPr>
          <w:bCs/>
          <w:sz w:val="24"/>
          <w:szCs w:val="24"/>
        </w:rPr>
      </w:pPr>
      <w:r w:rsidRPr="00601192">
        <w:rPr>
          <w:bCs/>
          <w:sz w:val="24"/>
          <w:szCs w:val="24"/>
        </w:rPr>
        <w:t>Участие в операции</w:t>
      </w:r>
    </w:p>
    <w:p w:rsidR="00601192" w:rsidRPr="00601192" w:rsidRDefault="00601192" w:rsidP="00601192">
      <w:pPr>
        <w:tabs>
          <w:tab w:val="num" w:pos="720"/>
        </w:tabs>
        <w:spacing w:before="60" w:after="0"/>
        <w:jc w:val="both"/>
        <w:rPr>
          <w:bCs/>
          <w:sz w:val="24"/>
          <w:szCs w:val="24"/>
        </w:rPr>
      </w:pPr>
      <w:r w:rsidRPr="00601192">
        <w:rPr>
          <w:sz w:val="24"/>
          <w:szCs w:val="24"/>
        </w:rPr>
        <w:t xml:space="preserve">ВС на Р. България участват в </w:t>
      </w:r>
      <w:r w:rsidRPr="00601192">
        <w:rPr>
          <w:bCs/>
          <w:sz w:val="24"/>
          <w:szCs w:val="24"/>
        </w:rPr>
        <w:t xml:space="preserve">EUFOR – Босна и Херцеговина, KFOR – Косово, с военни наблюдатели в мисията за наблюдение на Европейския съюз в Грузия, с щабни офицери във военноморската операция на ЕС за възпрепятстване, предотвратяване и възпиране на пиратски действия и въоръжени грабежи край бреговете на Сомалия – </w:t>
      </w:r>
      <w:proofErr w:type="spellStart"/>
      <w:r w:rsidRPr="00601192">
        <w:rPr>
          <w:bCs/>
          <w:sz w:val="24"/>
          <w:szCs w:val="24"/>
        </w:rPr>
        <w:t>Аталанта</w:t>
      </w:r>
      <w:proofErr w:type="spellEnd"/>
      <w:r w:rsidRPr="00601192">
        <w:rPr>
          <w:bCs/>
          <w:sz w:val="24"/>
          <w:szCs w:val="24"/>
        </w:rPr>
        <w:t xml:space="preserve">, в постоянните военноморски групи на НАТО, с медицински екип в тренировъчната мисия на ЕС в Мали (EUTM </w:t>
      </w:r>
      <w:proofErr w:type="spellStart"/>
      <w:r w:rsidRPr="00601192">
        <w:rPr>
          <w:bCs/>
          <w:sz w:val="24"/>
          <w:szCs w:val="24"/>
        </w:rPr>
        <w:t>Mali</w:t>
      </w:r>
      <w:proofErr w:type="spellEnd"/>
      <w:r w:rsidRPr="00601192">
        <w:rPr>
          <w:bCs/>
          <w:sz w:val="24"/>
          <w:szCs w:val="24"/>
        </w:rPr>
        <w:t>), Мобилен комуникационен модул DCM, „Решителна подкрепа” в Афганистан, във военната операция на ЕС в южната част на централното Средиземноморие (EUNAVFOR MED).</w:t>
      </w:r>
    </w:p>
    <w:p w:rsidR="00601192" w:rsidRPr="00601192" w:rsidRDefault="00601192" w:rsidP="00601192">
      <w:pPr>
        <w:tabs>
          <w:tab w:val="num" w:pos="720"/>
        </w:tabs>
        <w:spacing w:before="60" w:after="0"/>
        <w:jc w:val="both"/>
        <w:rPr>
          <w:b/>
          <w:bCs/>
          <w:sz w:val="24"/>
          <w:szCs w:val="24"/>
        </w:rPr>
      </w:pPr>
      <w:r w:rsidRPr="00601192">
        <w:rPr>
          <w:b/>
          <w:bCs/>
          <w:sz w:val="24"/>
          <w:szCs w:val="24"/>
        </w:rPr>
        <w:t>Принос към националната сигурност в мирно време</w:t>
      </w:r>
    </w:p>
    <w:p w:rsidR="00601192" w:rsidRPr="00601192" w:rsidRDefault="00601192" w:rsidP="00601192">
      <w:pPr>
        <w:tabs>
          <w:tab w:val="left" w:pos="900"/>
        </w:tabs>
        <w:spacing w:before="0" w:after="0"/>
        <w:jc w:val="both"/>
        <w:rPr>
          <w:sz w:val="24"/>
          <w:szCs w:val="24"/>
        </w:rPr>
      </w:pPr>
      <w:r w:rsidRPr="00601192">
        <w:rPr>
          <w:sz w:val="24"/>
          <w:szCs w:val="24"/>
        </w:rPr>
        <w:t>През отчетния период формированията за овладяване и/или преодоляване на последствията от бедствия (ФОППБ) и групите за евакуация на населението са участвали в следните дейности: През отчетния период ФОППБ са участвали в следните дейности:</w:t>
      </w:r>
    </w:p>
    <w:p w:rsidR="00601192" w:rsidRPr="00601192" w:rsidRDefault="00601192" w:rsidP="00601192">
      <w:pPr>
        <w:numPr>
          <w:ilvl w:val="0"/>
          <w:numId w:val="37"/>
        </w:numPr>
        <w:tabs>
          <w:tab w:val="left" w:pos="1134"/>
        </w:tabs>
        <w:spacing w:before="0" w:after="0"/>
        <w:ind w:left="0" w:firstLine="567"/>
        <w:jc w:val="both"/>
        <w:rPr>
          <w:sz w:val="24"/>
          <w:szCs w:val="24"/>
        </w:rPr>
      </w:pPr>
      <w:r w:rsidRPr="00601192">
        <w:rPr>
          <w:sz w:val="24"/>
          <w:szCs w:val="24"/>
        </w:rPr>
        <w:t xml:space="preserve">по разузнаване и унищожаване на открити невзривени бойни припаси – През 2017 г. 11 ФОППБ от Сухопътните войски, общо в състав 415 военнослужещи и 146 единици техника, взеха участие в 82 мероприятия по разузнаване, транспортиране и унищожаване на открити невзривени бойни припаси на територията на страната, като са разузнати и унищожени чрез взривяване общо 15 852  бойни припаси, разпределени по категории: 98 артилерийски снаряда; 7 танкови и противотанкови снаряда; 346 гранати; 5 противотанкови и </w:t>
      </w:r>
      <w:proofErr w:type="spellStart"/>
      <w:r w:rsidRPr="00601192">
        <w:rPr>
          <w:sz w:val="24"/>
          <w:szCs w:val="24"/>
        </w:rPr>
        <w:t>противопехотни</w:t>
      </w:r>
      <w:proofErr w:type="spellEnd"/>
      <w:r w:rsidRPr="00601192">
        <w:rPr>
          <w:sz w:val="24"/>
          <w:szCs w:val="24"/>
        </w:rPr>
        <w:t xml:space="preserve"> мини; 27 мини за минохвъргачка; 19 авиационни боеприпаса и 15 350 боеприпаса от друг вид  </w:t>
      </w:r>
    </w:p>
    <w:p w:rsidR="00601192" w:rsidRPr="00601192" w:rsidRDefault="00601192" w:rsidP="00601192">
      <w:pPr>
        <w:numPr>
          <w:ilvl w:val="0"/>
          <w:numId w:val="37"/>
        </w:numPr>
        <w:tabs>
          <w:tab w:val="left" w:pos="1134"/>
        </w:tabs>
        <w:spacing w:before="0" w:after="0"/>
        <w:ind w:left="0" w:firstLine="567"/>
        <w:jc w:val="both"/>
        <w:rPr>
          <w:sz w:val="24"/>
          <w:szCs w:val="24"/>
        </w:rPr>
      </w:pPr>
      <w:r w:rsidRPr="00601192">
        <w:rPr>
          <w:sz w:val="24"/>
          <w:szCs w:val="24"/>
        </w:rPr>
        <w:t xml:space="preserve">операция „СТРАНДЖА” по логистична поддръжка от военни формирования от СВ на ГД „Гранична полиция”. </w:t>
      </w:r>
    </w:p>
    <w:p w:rsidR="00601192" w:rsidRPr="00601192" w:rsidRDefault="00601192" w:rsidP="00601192">
      <w:pPr>
        <w:tabs>
          <w:tab w:val="left" w:pos="1134"/>
        </w:tabs>
        <w:spacing w:before="0" w:after="0"/>
        <w:jc w:val="both"/>
        <w:rPr>
          <w:sz w:val="24"/>
          <w:szCs w:val="24"/>
        </w:rPr>
      </w:pPr>
      <w:r w:rsidRPr="00601192">
        <w:rPr>
          <w:sz w:val="24"/>
          <w:szCs w:val="24"/>
        </w:rPr>
        <w:t xml:space="preserve">В операцията взеха участие взеха военнослужещи и техника, разпределени на 2-седмични ротации, средно с по 70 военнослужещи и 36 единици техника на смяна. Поставени бяха следните задачи: транспортиране на установени и задържани лица, преминали незаконно държавната граница; транспортиране на служители на МВР до и от местата за осъществяване на граничното наблюдение; транспортиране на служители на МВР за осъществяване на контролна дейност върху службата на излъчваните полицейски патрули; изпълнение на дейности по извличане на затънала техника, ремонт и евакуация на аварирали транспортни средства, участващи в операцията; извършване на ремонт и възстановяване на нарушената цялост на изграденото от БА по българо-турската граница инженерно съоръжение от възпрепятстващ тип при опити за неговото незаконно преодоляване; осъществяване на дейности по разпъване, събиране, </w:t>
      </w:r>
      <w:r w:rsidRPr="00601192">
        <w:rPr>
          <w:sz w:val="24"/>
          <w:szCs w:val="24"/>
        </w:rPr>
        <w:lastRenderedPageBreak/>
        <w:t xml:space="preserve">преместване и транспортиране на палатки и друго оборудване за разполагане на служители, изпълняващи задачи по линията на границата. </w:t>
      </w:r>
    </w:p>
    <w:p w:rsidR="00601192" w:rsidRPr="00601192" w:rsidRDefault="00601192" w:rsidP="00601192">
      <w:pPr>
        <w:numPr>
          <w:ilvl w:val="0"/>
          <w:numId w:val="37"/>
        </w:numPr>
        <w:tabs>
          <w:tab w:val="left" w:pos="1134"/>
        </w:tabs>
        <w:spacing w:before="0" w:after="0"/>
        <w:ind w:left="0" w:firstLine="567"/>
        <w:jc w:val="both"/>
        <w:rPr>
          <w:sz w:val="24"/>
          <w:szCs w:val="24"/>
        </w:rPr>
      </w:pPr>
      <w:r w:rsidRPr="00601192">
        <w:rPr>
          <w:sz w:val="24"/>
          <w:szCs w:val="24"/>
        </w:rPr>
        <w:t xml:space="preserve">Участие на военни формирования от Сухопътните войски в операция за оказване на съдействие на МВР при изпълнение на допълнителни задачи при масово навлизане на чужденци на територията на Република България (операция „СТРЕЛЕЦ”). </w:t>
      </w:r>
    </w:p>
    <w:p w:rsidR="00601192" w:rsidRPr="00601192" w:rsidRDefault="00601192" w:rsidP="00601192">
      <w:pPr>
        <w:tabs>
          <w:tab w:val="left" w:pos="1134"/>
        </w:tabs>
        <w:spacing w:before="0" w:after="0"/>
        <w:jc w:val="both"/>
        <w:rPr>
          <w:sz w:val="24"/>
          <w:szCs w:val="24"/>
        </w:rPr>
      </w:pPr>
      <w:r w:rsidRPr="00601192">
        <w:rPr>
          <w:sz w:val="24"/>
          <w:szCs w:val="24"/>
        </w:rPr>
        <w:t xml:space="preserve">В операция „Стрелец” взеха участие военнослужещи и техника, разпределени на 2-седмични ротации, на ротация 157 военнослужещи и 26 единици техника (за всички ГПУ). Изпълнени са над 20 600 задачи – съвместни патрули, наблюдателни и секретни постове, действие на КПП (в районите на ГКПП), поддържане на сили за бързо реагиране при дислоциране в критични участъци. </w:t>
      </w:r>
    </w:p>
    <w:p w:rsidR="00601192" w:rsidRPr="00601192" w:rsidRDefault="00601192" w:rsidP="00601192">
      <w:pPr>
        <w:numPr>
          <w:ilvl w:val="0"/>
          <w:numId w:val="79"/>
        </w:numPr>
        <w:tabs>
          <w:tab w:val="left" w:pos="1134"/>
        </w:tabs>
        <w:spacing w:before="0" w:after="0"/>
        <w:ind w:left="0" w:firstLine="567"/>
        <w:jc w:val="both"/>
        <w:rPr>
          <w:sz w:val="24"/>
          <w:szCs w:val="24"/>
        </w:rPr>
      </w:pPr>
      <w:r w:rsidRPr="00601192">
        <w:rPr>
          <w:sz w:val="24"/>
          <w:szCs w:val="24"/>
        </w:rPr>
        <w:t xml:space="preserve">дейност на формированията от СВ за оказване на помощ на населението при бедствия, аварии и катастрофи. </w:t>
      </w:r>
    </w:p>
    <w:p w:rsidR="00601192" w:rsidRPr="00601192" w:rsidRDefault="00601192" w:rsidP="00601192">
      <w:pPr>
        <w:tabs>
          <w:tab w:val="left" w:pos="1134"/>
        </w:tabs>
        <w:spacing w:before="0" w:after="0"/>
        <w:jc w:val="both"/>
        <w:rPr>
          <w:sz w:val="24"/>
          <w:szCs w:val="24"/>
        </w:rPr>
      </w:pPr>
      <w:r w:rsidRPr="00601192">
        <w:rPr>
          <w:sz w:val="24"/>
          <w:szCs w:val="24"/>
        </w:rPr>
        <w:t xml:space="preserve">През 2017 г. ФОППБ от Сухопътни войски, общо в състав над 900 военнослужещи и 150 единици техника, взеха участие в 29 мероприятия по оказване на помощ на населението при бедствия и аварии (потушаване на пожари, извличане на закъсала техника, спешно транспортиране на хора при тежки зимни условия и др.).; </w:t>
      </w:r>
    </w:p>
    <w:p w:rsidR="00601192" w:rsidRPr="00601192" w:rsidRDefault="00601192" w:rsidP="00601192">
      <w:pPr>
        <w:numPr>
          <w:ilvl w:val="0"/>
          <w:numId w:val="79"/>
        </w:numPr>
        <w:tabs>
          <w:tab w:val="left" w:pos="1134"/>
        </w:tabs>
        <w:spacing w:before="0" w:after="0"/>
        <w:ind w:left="0" w:firstLine="567"/>
        <w:jc w:val="both"/>
        <w:rPr>
          <w:sz w:val="24"/>
          <w:szCs w:val="24"/>
        </w:rPr>
      </w:pPr>
      <w:r w:rsidRPr="00601192">
        <w:rPr>
          <w:sz w:val="24"/>
          <w:szCs w:val="24"/>
        </w:rPr>
        <w:t>Съвместни действия с органите на МВР:</w:t>
      </w:r>
    </w:p>
    <w:p w:rsidR="00601192" w:rsidRPr="00601192" w:rsidRDefault="00601192" w:rsidP="00601192">
      <w:pPr>
        <w:tabs>
          <w:tab w:val="left" w:pos="900"/>
        </w:tabs>
        <w:spacing w:before="0" w:after="0"/>
        <w:jc w:val="both"/>
        <w:rPr>
          <w:sz w:val="24"/>
          <w:szCs w:val="24"/>
        </w:rPr>
      </w:pPr>
      <w:r w:rsidRPr="00601192">
        <w:rPr>
          <w:sz w:val="24"/>
          <w:szCs w:val="24"/>
        </w:rPr>
        <w:t xml:space="preserve">Съгласно „Плана за действие при временна закрила” СВ подготвят и поддържат определени формирования в готовност за изграждане на ВПЦ (временни приемателни центрове) и за участие в изграждането на ППП (пунктове за първоначален прием на бежанци). </w:t>
      </w:r>
    </w:p>
    <w:p w:rsidR="00601192" w:rsidRPr="00601192" w:rsidRDefault="00601192" w:rsidP="00601192">
      <w:pPr>
        <w:tabs>
          <w:tab w:val="left" w:pos="1134"/>
        </w:tabs>
        <w:spacing w:before="0" w:after="0"/>
        <w:jc w:val="both"/>
        <w:rPr>
          <w:color w:val="0000FF"/>
          <w:sz w:val="24"/>
          <w:szCs w:val="24"/>
        </w:rPr>
      </w:pPr>
      <w:r w:rsidRPr="00601192">
        <w:rPr>
          <w:sz w:val="24"/>
          <w:szCs w:val="24"/>
        </w:rPr>
        <w:t>Формированията от ВВС, в интерес на сигурността на въздухоплаването на територията на страната носеха постоянно дежурство за аварийно-спасително осигуряване със самолет и вертолет. Изпълнените специални задачи са, както следва: Специални полети за нуждите на министерството на здравеопазването - 8 бр. с 8 – самолета; Обезвреждане на бойни припаси - 3 бр. с 9 бр. автомобилна техника; Специални полети за осигуряване на въздушен транспорт в интерес на други министерства и ведомства 9 полета.</w:t>
      </w:r>
    </w:p>
    <w:p w:rsidR="00601192" w:rsidRPr="00601192" w:rsidRDefault="00601192" w:rsidP="00601192">
      <w:pPr>
        <w:tabs>
          <w:tab w:val="left" w:pos="900"/>
        </w:tabs>
        <w:spacing w:before="0" w:after="0"/>
        <w:jc w:val="both"/>
        <w:rPr>
          <w:color w:val="0000FF"/>
          <w:sz w:val="24"/>
          <w:szCs w:val="24"/>
        </w:rPr>
      </w:pPr>
      <w:r w:rsidRPr="00601192">
        <w:rPr>
          <w:sz w:val="24"/>
          <w:szCs w:val="24"/>
        </w:rPr>
        <w:t>Формированията от ВМС за оказване на помощ на населението при бедствия участваха в 30 мероприятия в източната част на Р България на територията на областите Варна, Добрич и Бургас, в териториалното море и в отговорния район по търсене и спасяване на Р България. Оказването на помощ на населението при бедствия през 2017 г. се заключаваше в 9 мероприятия по оказване на помощ на населението в зимни условия и 17 мероприятия по разузнаване и унищожаване на невзривени бойни припаси и морски мини. Бяха унищожени 18 броя ръчни гранати, артилерийски снаряди, мини и изстрели и 4 бр. предмети, наподобяващи невзривени бойни припаси. При изпълнението на поставените задачи участие взеха общо 140 военнослужещи и цивилни служители. Използвана беше разнородна транспортна техника – 41 броя автомобили и 1 бр. моторна лодка.</w:t>
      </w:r>
      <w:r w:rsidRPr="00601192">
        <w:rPr>
          <w:color w:val="0000FF"/>
          <w:sz w:val="24"/>
          <w:szCs w:val="24"/>
        </w:rPr>
        <w:t xml:space="preserve">  </w:t>
      </w:r>
    </w:p>
    <w:p w:rsidR="00601192" w:rsidRPr="00601192" w:rsidRDefault="00601192" w:rsidP="00601192">
      <w:pPr>
        <w:tabs>
          <w:tab w:val="left" w:pos="900"/>
        </w:tabs>
        <w:spacing w:before="0" w:after="0"/>
        <w:jc w:val="both"/>
        <w:rPr>
          <w:sz w:val="24"/>
          <w:szCs w:val="24"/>
        </w:rPr>
      </w:pPr>
      <w:r w:rsidRPr="00601192">
        <w:rPr>
          <w:sz w:val="24"/>
          <w:szCs w:val="24"/>
        </w:rPr>
        <w:t xml:space="preserve">Съгласно плана за дейността на ВМС за 2017 г., на 12.05.2017 г. беше проведена тренировка на Поста за търсене и спасяване (ПТС) на ВМС съвместно с Поста за аварийно-спасителни работи (ПАСР) на </w:t>
      </w:r>
      <w:proofErr w:type="spellStart"/>
      <w:r w:rsidRPr="00601192">
        <w:rPr>
          <w:sz w:val="24"/>
          <w:szCs w:val="24"/>
        </w:rPr>
        <w:t>фбск-ВМС</w:t>
      </w:r>
      <w:proofErr w:type="spellEnd"/>
      <w:r w:rsidRPr="00601192">
        <w:rPr>
          <w:sz w:val="24"/>
          <w:szCs w:val="24"/>
        </w:rPr>
        <w:t xml:space="preserve">, насочена към управление на силите и средствата за търсене и спасяване на бедстващи хора на море и действия при гасене на горски пожари.  </w:t>
      </w:r>
    </w:p>
    <w:p w:rsidR="00601192" w:rsidRPr="00601192" w:rsidRDefault="00601192" w:rsidP="00601192">
      <w:pPr>
        <w:tabs>
          <w:tab w:val="left" w:pos="900"/>
        </w:tabs>
        <w:spacing w:before="0" w:after="0"/>
        <w:jc w:val="both"/>
        <w:rPr>
          <w:sz w:val="24"/>
          <w:szCs w:val="24"/>
        </w:rPr>
      </w:pPr>
      <w:r w:rsidRPr="00601192">
        <w:rPr>
          <w:sz w:val="24"/>
          <w:szCs w:val="24"/>
        </w:rPr>
        <w:t xml:space="preserve">В изпълнение на заповед на министъра на отбраната на Р България, от 15.09.2016 г. сили и средства от ВМС участват на ротационен принцип през две седмици в операция по логистична поддръжка на органите на МВР по охрана на държавната граница, като до настоящия момент ВМС са участвали в 14 ротации.  </w:t>
      </w:r>
    </w:p>
    <w:p w:rsidR="00601192" w:rsidRPr="00601192" w:rsidRDefault="00601192" w:rsidP="00601192">
      <w:pPr>
        <w:spacing w:before="0" w:after="0"/>
        <w:jc w:val="both"/>
        <w:rPr>
          <w:bCs/>
          <w:iCs/>
          <w:sz w:val="24"/>
          <w:szCs w:val="24"/>
        </w:rPr>
      </w:pPr>
      <w:r w:rsidRPr="00601192">
        <w:rPr>
          <w:bCs/>
          <w:iCs/>
          <w:sz w:val="24"/>
          <w:szCs w:val="24"/>
          <w:u w:val="single"/>
        </w:rPr>
        <w:t>Програма  1.4 „СКС”</w:t>
      </w:r>
    </w:p>
    <w:p w:rsidR="00601192" w:rsidRPr="00601192" w:rsidRDefault="00601192" w:rsidP="00601192">
      <w:pPr>
        <w:spacing w:before="0" w:after="0"/>
        <w:jc w:val="both"/>
        <w:rPr>
          <w:bCs/>
          <w:iCs/>
          <w:sz w:val="24"/>
          <w:szCs w:val="24"/>
        </w:rPr>
      </w:pPr>
      <w:r w:rsidRPr="00601192">
        <w:rPr>
          <w:bCs/>
          <w:iCs/>
          <w:sz w:val="24"/>
          <w:szCs w:val="24"/>
        </w:rPr>
        <w:lastRenderedPageBreak/>
        <w:t>През 2017 г. ФОППБ от в.ф. 32450-Мокрен е активирано през януари и е изпълнило мероприятие при тежки зимни условия на 14.01.2017 г. и 15.01.2017 г. като е оказана помощ на населението и местната власт за преодоляване на тежката зимна обстановка на пътен участък между селата Велислав и Пчелин, община Сунгурларе, област Бургас.</w:t>
      </w:r>
    </w:p>
    <w:p w:rsidR="00601192" w:rsidRPr="00601192" w:rsidRDefault="00601192" w:rsidP="00601192">
      <w:pPr>
        <w:spacing w:before="0" w:after="0"/>
        <w:jc w:val="both"/>
        <w:rPr>
          <w:bCs/>
          <w:iCs/>
          <w:color w:val="0000FF"/>
          <w:sz w:val="24"/>
          <w:szCs w:val="24"/>
        </w:rPr>
      </w:pPr>
      <w:r w:rsidRPr="00601192">
        <w:rPr>
          <w:bCs/>
          <w:iCs/>
          <w:sz w:val="24"/>
          <w:szCs w:val="24"/>
        </w:rPr>
        <w:t>Във връзка с осъществяване на стратегическата дейност по охрана на българо-турската граница, през 2017 г. военни формирования от СКС от състава на бригада „Логистика”, оказваха логистична поддръжка на военните формирования от СВ и бригада „Специални сили”, по овладяването на миграционния натиск</w:t>
      </w:r>
      <w:r w:rsidRPr="00601192">
        <w:rPr>
          <w:bCs/>
          <w:iCs/>
          <w:color w:val="0000FF"/>
          <w:sz w:val="24"/>
          <w:szCs w:val="24"/>
        </w:rPr>
        <w:t xml:space="preserve">. </w:t>
      </w:r>
    </w:p>
    <w:p w:rsidR="00601192" w:rsidRPr="00601192" w:rsidRDefault="00601192" w:rsidP="00601192">
      <w:pPr>
        <w:tabs>
          <w:tab w:val="left" w:pos="900"/>
        </w:tabs>
        <w:spacing w:before="0" w:after="0"/>
        <w:jc w:val="both"/>
        <w:rPr>
          <w:sz w:val="24"/>
          <w:szCs w:val="24"/>
        </w:rPr>
      </w:pPr>
      <w:r w:rsidRPr="00601192">
        <w:rPr>
          <w:sz w:val="24"/>
          <w:szCs w:val="24"/>
          <w:u w:val="single"/>
        </w:rPr>
        <w:t>Програма 1.11 „68 бригада Специални Сили”.</w:t>
      </w:r>
    </w:p>
    <w:p w:rsidR="00601192" w:rsidRPr="00601192" w:rsidRDefault="00601192" w:rsidP="00601192">
      <w:pPr>
        <w:spacing w:before="0" w:after="0"/>
        <w:jc w:val="both"/>
        <w:rPr>
          <w:bCs/>
          <w:iCs/>
          <w:sz w:val="24"/>
          <w:szCs w:val="24"/>
        </w:rPr>
      </w:pPr>
      <w:r w:rsidRPr="00601192">
        <w:rPr>
          <w:bCs/>
          <w:iCs/>
          <w:sz w:val="24"/>
          <w:szCs w:val="24"/>
        </w:rPr>
        <w:t xml:space="preserve">За изпълнението на ангажиментите произтичащи от мисията „Принос към националната сигурност в мирно време” в 68 </w:t>
      </w:r>
      <w:proofErr w:type="spellStart"/>
      <w:r w:rsidRPr="00601192">
        <w:rPr>
          <w:bCs/>
          <w:iCs/>
          <w:sz w:val="24"/>
          <w:szCs w:val="24"/>
        </w:rPr>
        <w:t>брспс</w:t>
      </w:r>
      <w:proofErr w:type="spellEnd"/>
      <w:r w:rsidRPr="00601192">
        <w:rPr>
          <w:bCs/>
          <w:iCs/>
          <w:sz w:val="24"/>
          <w:szCs w:val="24"/>
        </w:rPr>
        <w:t xml:space="preserve"> се поддържат формирования за овладяване и/или преодоляване на последствията от бедствия (ФОППБ) за гасене на пожари и за действия при наводнения. </w:t>
      </w:r>
    </w:p>
    <w:p w:rsidR="00601192" w:rsidRPr="00601192" w:rsidRDefault="00601192" w:rsidP="00601192">
      <w:pPr>
        <w:spacing w:before="0" w:after="0"/>
        <w:jc w:val="both"/>
        <w:rPr>
          <w:bCs/>
          <w:iCs/>
          <w:sz w:val="24"/>
          <w:szCs w:val="24"/>
        </w:rPr>
      </w:pPr>
      <w:r w:rsidRPr="00601192">
        <w:rPr>
          <w:bCs/>
          <w:iCs/>
          <w:sz w:val="24"/>
          <w:szCs w:val="24"/>
        </w:rPr>
        <w:t xml:space="preserve">Участие в операция на ГД „Гранична полиция” при осъществяване на стратегическа дейност по охрана на българо-турската граница за противодействие на миграционния натиск от структурните звена на МВР. </w:t>
      </w:r>
    </w:p>
    <w:p w:rsidR="00601192" w:rsidRPr="00601192" w:rsidRDefault="00601192" w:rsidP="00601192">
      <w:pPr>
        <w:spacing w:before="0" w:after="0"/>
        <w:jc w:val="both"/>
        <w:rPr>
          <w:bCs/>
          <w:iCs/>
          <w:color w:val="0000FF"/>
          <w:sz w:val="24"/>
          <w:szCs w:val="24"/>
        </w:rPr>
      </w:pPr>
      <w:r w:rsidRPr="00601192">
        <w:rPr>
          <w:bCs/>
          <w:iCs/>
          <w:sz w:val="24"/>
          <w:szCs w:val="24"/>
        </w:rPr>
        <w:t>От 01.</w:t>
      </w:r>
      <w:proofErr w:type="spellStart"/>
      <w:r w:rsidRPr="00601192">
        <w:rPr>
          <w:bCs/>
          <w:iCs/>
          <w:sz w:val="24"/>
          <w:szCs w:val="24"/>
        </w:rPr>
        <w:t>01</w:t>
      </w:r>
      <w:proofErr w:type="spellEnd"/>
      <w:r w:rsidRPr="00601192">
        <w:rPr>
          <w:bCs/>
          <w:iCs/>
          <w:sz w:val="24"/>
          <w:szCs w:val="24"/>
        </w:rPr>
        <w:t xml:space="preserve">. до 31.12.2017 г. в района на ГПУ-Малко Търново, от 68 </w:t>
      </w:r>
      <w:proofErr w:type="spellStart"/>
      <w:r w:rsidRPr="00601192">
        <w:rPr>
          <w:bCs/>
          <w:iCs/>
          <w:sz w:val="24"/>
          <w:szCs w:val="24"/>
        </w:rPr>
        <w:t>БрСпС</w:t>
      </w:r>
      <w:proofErr w:type="spellEnd"/>
      <w:r w:rsidRPr="00601192">
        <w:rPr>
          <w:bCs/>
          <w:iCs/>
          <w:sz w:val="24"/>
          <w:szCs w:val="24"/>
        </w:rPr>
        <w:t xml:space="preserve"> взеха участие на ротационен принцип до 50 военнослужещи на ротация, период на ротация през две седмици, с 12 единици техника. Изпълнени задачи: разузнаване на района, наблюдение и група за бързо реагиране; готовност за локализиране, проследяване и задържане на бежанци съвместно с органите на Гранична полиция.</w:t>
      </w:r>
    </w:p>
    <w:p w:rsidR="00601192" w:rsidRPr="00601192" w:rsidRDefault="00601192" w:rsidP="00601192">
      <w:pPr>
        <w:tabs>
          <w:tab w:val="num" w:pos="720"/>
        </w:tabs>
        <w:spacing w:before="60" w:after="0"/>
        <w:jc w:val="both"/>
        <w:rPr>
          <w:b/>
          <w:bCs/>
          <w:sz w:val="24"/>
          <w:szCs w:val="24"/>
        </w:rPr>
      </w:pPr>
      <w:r w:rsidRPr="00601192">
        <w:rPr>
          <w:b/>
          <w:bCs/>
          <w:sz w:val="24"/>
          <w:szCs w:val="24"/>
        </w:rPr>
        <w:t>Бюджетна програма № 2 “Управление на човешките ресурси и резерв”</w:t>
      </w:r>
    </w:p>
    <w:p w:rsidR="00601192" w:rsidRPr="00601192" w:rsidRDefault="00601192" w:rsidP="00601192">
      <w:pPr>
        <w:tabs>
          <w:tab w:val="num" w:pos="720"/>
        </w:tabs>
        <w:spacing w:before="60" w:after="0"/>
        <w:jc w:val="both"/>
        <w:rPr>
          <w:bCs/>
          <w:color w:val="0000FF"/>
          <w:sz w:val="24"/>
          <w:szCs w:val="24"/>
        </w:rPr>
      </w:pPr>
      <w:r w:rsidRPr="00601192">
        <w:rPr>
          <w:bCs/>
          <w:sz w:val="24"/>
          <w:szCs w:val="24"/>
        </w:rPr>
        <w:t xml:space="preserve">Изпратени са </w:t>
      </w:r>
      <w:r w:rsidRPr="00601192">
        <w:rPr>
          <w:sz w:val="24"/>
          <w:szCs w:val="24"/>
        </w:rPr>
        <w:t>202 военнослужещи и цивилни служители за обучение в специализирани курсове в чужбина.</w:t>
      </w:r>
      <w:r w:rsidRPr="00601192">
        <w:rPr>
          <w:bCs/>
          <w:sz w:val="24"/>
          <w:szCs w:val="24"/>
        </w:rPr>
        <w:t xml:space="preserve"> </w:t>
      </w:r>
      <w:r w:rsidRPr="00601192">
        <w:rPr>
          <w:sz w:val="24"/>
          <w:szCs w:val="24"/>
        </w:rPr>
        <w:t>Общият брой обучени специализанти от МО, структурите на пряко подчинение на министъра на отбраната и БА през 2017 г. е 1 706 обучаеми</w:t>
      </w:r>
      <w:r w:rsidRPr="00601192">
        <w:rPr>
          <w:bCs/>
          <w:sz w:val="24"/>
          <w:szCs w:val="24"/>
        </w:rPr>
        <w:t xml:space="preserve">. </w:t>
      </w:r>
      <w:r w:rsidRPr="00601192">
        <w:rPr>
          <w:sz w:val="24"/>
          <w:szCs w:val="24"/>
        </w:rPr>
        <w:t xml:space="preserve">Проведени са 7 изпитни сесии за определяне на нивото на владеене на английски език съгласно </w:t>
      </w:r>
      <w:proofErr w:type="spellStart"/>
      <w:r w:rsidRPr="00601192">
        <w:rPr>
          <w:sz w:val="24"/>
          <w:szCs w:val="24"/>
        </w:rPr>
        <w:t>стандартизационно</w:t>
      </w:r>
      <w:proofErr w:type="spellEnd"/>
      <w:r w:rsidRPr="00601192">
        <w:rPr>
          <w:sz w:val="24"/>
          <w:szCs w:val="24"/>
        </w:rPr>
        <w:t xml:space="preserve"> споразумение на НАТО STANAG 6001 и са обхванати общо</w:t>
      </w:r>
      <w:r w:rsidRPr="00601192">
        <w:rPr>
          <w:b/>
          <w:sz w:val="24"/>
          <w:szCs w:val="24"/>
        </w:rPr>
        <w:t xml:space="preserve"> </w:t>
      </w:r>
      <w:r w:rsidRPr="00601192">
        <w:rPr>
          <w:sz w:val="24"/>
          <w:szCs w:val="24"/>
        </w:rPr>
        <w:t>1426 военнослужещи и цивилни служители.</w:t>
      </w:r>
      <w:r w:rsidRPr="00601192">
        <w:rPr>
          <w:color w:val="0000FF"/>
          <w:sz w:val="24"/>
          <w:szCs w:val="24"/>
        </w:rPr>
        <w:t xml:space="preserve">  </w:t>
      </w:r>
    </w:p>
    <w:p w:rsidR="00601192" w:rsidRPr="00601192" w:rsidRDefault="00601192" w:rsidP="00601192">
      <w:pPr>
        <w:tabs>
          <w:tab w:val="num" w:pos="720"/>
        </w:tabs>
        <w:spacing w:before="60" w:after="0"/>
        <w:jc w:val="both"/>
        <w:rPr>
          <w:bCs/>
          <w:sz w:val="24"/>
          <w:szCs w:val="24"/>
        </w:rPr>
      </w:pPr>
      <w:r w:rsidRPr="00601192">
        <w:rPr>
          <w:b/>
          <w:bCs/>
          <w:sz w:val="24"/>
          <w:szCs w:val="24"/>
        </w:rPr>
        <w:t>Бюджетна  програма № 3 “Военна полиция” (ВП)</w:t>
      </w:r>
    </w:p>
    <w:p w:rsidR="00601192" w:rsidRPr="00601192" w:rsidRDefault="00601192" w:rsidP="00601192">
      <w:pPr>
        <w:tabs>
          <w:tab w:val="num" w:pos="720"/>
        </w:tabs>
        <w:spacing w:before="60" w:after="0"/>
        <w:jc w:val="both"/>
        <w:rPr>
          <w:bCs/>
          <w:sz w:val="24"/>
          <w:szCs w:val="24"/>
        </w:rPr>
      </w:pPr>
      <w:r w:rsidRPr="00601192">
        <w:rPr>
          <w:bCs/>
          <w:sz w:val="24"/>
          <w:szCs w:val="24"/>
        </w:rPr>
        <w:t xml:space="preserve">В резултат от дейността на Служба ВП беше осигурен редът и сигурността в МО, структурите на пряко подчинение на министъра на отбраната и БА. </w:t>
      </w:r>
      <w:r w:rsidRPr="00601192">
        <w:rPr>
          <w:sz w:val="24"/>
          <w:szCs w:val="24"/>
        </w:rPr>
        <w:t>Осигурена беше охраната на 1314 мероприятия с участие на военнослужещи от БА, съюзнически и чужди войски</w:t>
      </w:r>
      <w:r w:rsidRPr="00601192">
        <w:rPr>
          <w:bCs/>
          <w:sz w:val="24"/>
          <w:szCs w:val="24"/>
        </w:rPr>
        <w:t>. Четири военнослужещи от служба „Военна полиция” са участвали в текущи операции на НАТО и ЕС. Бяха о</w:t>
      </w:r>
      <w:r w:rsidRPr="00601192">
        <w:rPr>
          <w:sz w:val="24"/>
          <w:szCs w:val="24"/>
        </w:rPr>
        <w:t>сигурени във военно-полицейско отношение</w:t>
      </w:r>
      <w:r w:rsidRPr="00601192">
        <w:rPr>
          <w:bCs/>
          <w:sz w:val="24"/>
          <w:szCs w:val="24"/>
        </w:rPr>
        <w:t xml:space="preserve"> 10 национални учения и подготовки. Издадени са 162 разрешения по Закона за защита на класифицираната информация.</w:t>
      </w:r>
    </w:p>
    <w:p w:rsidR="00601192" w:rsidRPr="00601192" w:rsidRDefault="00601192" w:rsidP="00601192">
      <w:pPr>
        <w:tabs>
          <w:tab w:val="num" w:pos="720"/>
        </w:tabs>
        <w:spacing w:before="60" w:after="0"/>
        <w:jc w:val="both"/>
        <w:rPr>
          <w:bCs/>
          <w:sz w:val="24"/>
          <w:szCs w:val="24"/>
        </w:rPr>
      </w:pPr>
      <w:r w:rsidRPr="00601192">
        <w:rPr>
          <w:b/>
          <w:bCs/>
          <w:sz w:val="24"/>
          <w:szCs w:val="24"/>
        </w:rPr>
        <w:t>Бюджетна програма № 4 “Членство в НАТО и ЕС и международно сътрудничество”</w:t>
      </w:r>
      <w:r w:rsidRPr="00601192">
        <w:rPr>
          <w:bCs/>
          <w:sz w:val="24"/>
          <w:szCs w:val="24"/>
        </w:rPr>
        <w:t xml:space="preserve">. </w:t>
      </w:r>
    </w:p>
    <w:p w:rsidR="00601192" w:rsidRPr="00601192" w:rsidRDefault="00601192" w:rsidP="00601192">
      <w:pPr>
        <w:tabs>
          <w:tab w:val="num" w:pos="720"/>
        </w:tabs>
        <w:spacing w:before="60" w:after="0"/>
        <w:jc w:val="both"/>
        <w:rPr>
          <w:bCs/>
          <w:sz w:val="24"/>
          <w:szCs w:val="24"/>
        </w:rPr>
      </w:pPr>
      <w:r w:rsidRPr="00601192">
        <w:rPr>
          <w:bCs/>
          <w:sz w:val="24"/>
          <w:szCs w:val="24"/>
        </w:rPr>
        <w:t xml:space="preserve">През </w:t>
      </w:r>
      <w:r w:rsidRPr="00601192">
        <w:rPr>
          <w:sz w:val="24"/>
          <w:szCs w:val="24"/>
        </w:rPr>
        <w:t>2017 г</w:t>
      </w:r>
      <w:r w:rsidRPr="00601192">
        <w:rPr>
          <w:bCs/>
          <w:sz w:val="24"/>
          <w:szCs w:val="24"/>
        </w:rPr>
        <w:t xml:space="preserve">. дейностите по линия на НАТО бяха насочени към създаване на условия за практическо реализиране на членството на България в НАТО, чрез финансовото осигуряване на участието на представители на МО в процесите на консултации и вземане на решения в НАТО и подпомагане на изпълнението на поетите съюзнически ангажименти. В областта на Общата политика за сигурност и отбрана на ЕС (ОПСО на ЕС) усилията бяха насочени към осигуряване на участието на МО в дейностите на институциите и структурите на ЕС в областта на сигурността и отбраната, както и координирането на участието на България в подготовката и провеждането на операции на ЕС по управление на кризи. През отчетния период продължиха усилията за ефективно и адекватно провеждане на регионалното и </w:t>
      </w:r>
      <w:r w:rsidRPr="00601192">
        <w:rPr>
          <w:bCs/>
          <w:sz w:val="24"/>
          <w:szCs w:val="24"/>
        </w:rPr>
        <w:lastRenderedPageBreak/>
        <w:t xml:space="preserve">двустранно военно сътрудничество за развитие на отношенията със стратегически </w:t>
      </w:r>
      <w:proofErr w:type="spellStart"/>
      <w:r w:rsidRPr="00601192">
        <w:rPr>
          <w:bCs/>
          <w:sz w:val="24"/>
          <w:szCs w:val="24"/>
        </w:rPr>
        <w:t>съюзници</w:t>
      </w:r>
      <w:proofErr w:type="spellEnd"/>
      <w:r w:rsidRPr="00601192">
        <w:rPr>
          <w:bCs/>
          <w:sz w:val="24"/>
          <w:szCs w:val="24"/>
        </w:rPr>
        <w:t xml:space="preserve"> на България от НАТО и в региона. Бяха осигурени разходите по международни ангажименти на МО, включително вноските към бюджетите на НАТО и ЕС, приноса към Програми и инициативи на НАТО.</w:t>
      </w:r>
    </w:p>
    <w:p w:rsidR="00601192" w:rsidRPr="00601192" w:rsidRDefault="00601192" w:rsidP="00601192">
      <w:pPr>
        <w:tabs>
          <w:tab w:val="num" w:pos="720"/>
        </w:tabs>
        <w:spacing w:before="60" w:after="0"/>
        <w:jc w:val="both"/>
        <w:rPr>
          <w:b/>
          <w:bCs/>
          <w:sz w:val="24"/>
          <w:szCs w:val="24"/>
        </w:rPr>
      </w:pPr>
      <w:r w:rsidRPr="00601192">
        <w:rPr>
          <w:b/>
          <w:bCs/>
          <w:sz w:val="24"/>
          <w:szCs w:val="24"/>
        </w:rPr>
        <w:t xml:space="preserve">Бюджетна  програма № 5 “Медицинско осигуряване” </w:t>
      </w:r>
    </w:p>
    <w:p w:rsidR="00601192" w:rsidRPr="00601192" w:rsidRDefault="00601192" w:rsidP="00601192">
      <w:pPr>
        <w:spacing w:before="0" w:after="0"/>
        <w:jc w:val="both"/>
        <w:rPr>
          <w:bCs/>
          <w:color w:val="0000FF"/>
          <w:sz w:val="24"/>
          <w:szCs w:val="24"/>
        </w:rPr>
      </w:pPr>
      <w:r w:rsidRPr="00601192">
        <w:rPr>
          <w:sz w:val="24"/>
          <w:szCs w:val="24"/>
        </w:rPr>
        <w:t>ВМА извършва болнична помощ по 645 клинични пътеки (КП), 91 амбулаторни процедури (</w:t>
      </w:r>
      <w:proofErr w:type="spellStart"/>
      <w:r w:rsidRPr="00601192">
        <w:rPr>
          <w:sz w:val="24"/>
          <w:szCs w:val="24"/>
        </w:rPr>
        <w:t>АПр</w:t>
      </w:r>
      <w:proofErr w:type="spellEnd"/>
      <w:r w:rsidRPr="00601192">
        <w:rPr>
          <w:sz w:val="24"/>
          <w:szCs w:val="24"/>
        </w:rPr>
        <w:t>), 5 клинични процедури (</w:t>
      </w:r>
      <w:proofErr w:type="spellStart"/>
      <w:r w:rsidRPr="00601192">
        <w:rPr>
          <w:sz w:val="24"/>
          <w:szCs w:val="24"/>
        </w:rPr>
        <w:t>КПр</w:t>
      </w:r>
      <w:proofErr w:type="spellEnd"/>
      <w:r w:rsidRPr="00601192">
        <w:rPr>
          <w:sz w:val="24"/>
          <w:szCs w:val="24"/>
        </w:rPr>
        <w:t>) и 2 бр. Комплексно диспансерно наблюдение (КДН) по договор с Националната здравноосигурителна каса № НРД-2017.</w:t>
      </w:r>
      <w:r w:rsidRPr="00601192">
        <w:rPr>
          <w:color w:val="0000FF"/>
          <w:sz w:val="24"/>
          <w:szCs w:val="24"/>
        </w:rPr>
        <w:t xml:space="preserve"> </w:t>
      </w:r>
      <w:r w:rsidRPr="00601192">
        <w:rPr>
          <w:sz w:val="24"/>
          <w:szCs w:val="24"/>
        </w:rPr>
        <w:t xml:space="preserve">Сключени са  договори за специализирана </w:t>
      </w:r>
      <w:proofErr w:type="spellStart"/>
      <w:r w:rsidRPr="00601192">
        <w:rPr>
          <w:sz w:val="24"/>
          <w:szCs w:val="24"/>
        </w:rPr>
        <w:t>извънболнична</w:t>
      </w:r>
      <w:proofErr w:type="spellEnd"/>
      <w:r w:rsidRPr="00601192">
        <w:rPr>
          <w:sz w:val="24"/>
          <w:szCs w:val="24"/>
        </w:rPr>
        <w:t xml:space="preserve"> медицинска помощ (СИМП) по 61 медицински специалности и 5 вида медико диагностични дейности (МДД) (Клинична лаборатория, Микробиология, Вирусология, Образна диагностика, Трансфузионна хематология).</w:t>
      </w:r>
      <w:r w:rsidRPr="00601192">
        <w:rPr>
          <w:color w:val="0000FF"/>
          <w:sz w:val="24"/>
          <w:szCs w:val="24"/>
        </w:rPr>
        <w:t xml:space="preserve"> </w:t>
      </w:r>
      <w:r w:rsidRPr="00601192">
        <w:rPr>
          <w:sz w:val="24"/>
          <w:szCs w:val="24"/>
        </w:rPr>
        <w:t xml:space="preserve">В </w:t>
      </w:r>
      <w:proofErr w:type="spellStart"/>
      <w:r w:rsidRPr="00601192">
        <w:rPr>
          <w:sz w:val="24"/>
          <w:szCs w:val="24"/>
        </w:rPr>
        <w:t>Многопрофилните</w:t>
      </w:r>
      <w:proofErr w:type="spellEnd"/>
      <w:r w:rsidRPr="00601192">
        <w:rPr>
          <w:sz w:val="24"/>
          <w:szCs w:val="24"/>
        </w:rPr>
        <w:t xml:space="preserve"> болници за активно лечение средният брой разкрити легла са 1 398, като са преминали </w:t>
      </w:r>
      <w:r w:rsidRPr="00601192">
        <w:rPr>
          <w:rFonts w:eastAsia="Batang"/>
          <w:sz w:val="24"/>
          <w:szCs w:val="24"/>
          <w:lang w:eastAsia="ko-KR" w:bidi="my-MM"/>
        </w:rPr>
        <w:t xml:space="preserve">61 102 </w:t>
      </w:r>
      <w:r w:rsidRPr="00601192">
        <w:rPr>
          <w:sz w:val="24"/>
          <w:szCs w:val="24"/>
        </w:rPr>
        <w:t xml:space="preserve">болни. Извършени са </w:t>
      </w:r>
      <w:r w:rsidRPr="00601192">
        <w:rPr>
          <w:rFonts w:eastAsia="Batang"/>
          <w:sz w:val="24"/>
          <w:szCs w:val="24"/>
          <w:lang w:eastAsia="ko-KR" w:bidi="my-MM"/>
        </w:rPr>
        <w:t xml:space="preserve">255 018 </w:t>
      </w:r>
      <w:r w:rsidRPr="00601192">
        <w:rPr>
          <w:sz w:val="24"/>
          <w:szCs w:val="24"/>
        </w:rPr>
        <w:t>амбулаторни прегледа.</w:t>
      </w:r>
      <w:r w:rsidRPr="00601192">
        <w:rPr>
          <w:color w:val="0000FF"/>
          <w:sz w:val="24"/>
          <w:szCs w:val="24"/>
        </w:rPr>
        <w:t xml:space="preserve"> </w:t>
      </w:r>
      <w:r w:rsidRPr="00601192">
        <w:rPr>
          <w:bCs/>
          <w:sz w:val="24"/>
          <w:szCs w:val="24"/>
        </w:rPr>
        <w:t xml:space="preserve">В болниците за </w:t>
      </w:r>
      <w:proofErr w:type="spellStart"/>
      <w:r w:rsidRPr="00601192">
        <w:rPr>
          <w:bCs/>
          <w:sz w:val="24"/>
          <w:szCs w:val="24"/>
        </w:rPr>
        <w:t>долекуване</w:t>
      </w:r>
      <w:proofErr w:type="spellEnd"/>
      <w:r w:rsidRPr="00601192">
        <w:rPr>
          <w:bCs/>
          <w:sz w:val="24"/>
          <w:szCs w:val="24"/>
        </w:rPr>
        <w:t xml:space="preserve">, продължително лечение и рехабилитация </w:t>
      </w:r>
      <w:r w:rsidRPr="00601192">
        <w:rPr>
          <w:rFonts w:eastAsia="Batang"/>
          <w:sz w:val="24"/>
          <w:szCs w:val="24"/>
          <w:lang w:eastAsia="ko-KR" w:bidi="my-MM"/>
        </w:rPr>
        <w:t>средният брой разкрити легла</w:t>
      </w:r>
      <w:r w:rsidRPr="00601192">
        <w:rPr>
          <w:sz w:val="24"/>
          <w:szCs w:val="24"/>
        </w:rPr>
        <w:t xml:space="preserve"> е 340</w:t>
      </w:r>
      <w:r w:rsidRPr="00601192">
        <w:rPr>
          <w:bCs/>
          <w:sz w:val="24"/>
          <w:szCs w:val="24"/>
        </w:rPr>
        <w:t xml:space="preserve"> и са </w:t>
      </w:r>
      <w:r w:rsidRPr="00601192">
        <w:rPr>
          <w:bCs/>
          <w:spacing w:val="-6"/>
          <w:sz w:val="24"/>
          <w:szCs w:val="24"/>
        </w:rPr>
        <w:t>преминали 13 418 болни</w:t>
      </w:r>
      <w:r w:rsidRPr="00601192">
        <w:rPr>
          <w:sz w:val="24"/>
          <w:szCs w:val="24"/>
        </w:rPr>
        <w:t xml:space="preserve">. </w:t>
      </w:r>
    </w:p>
    <w:p w:rsidR="00601192" w:rsidRPr="00601192" w:rsidRDefault="00601192" w:rsidP="00601192">
      <w:pPr>
        <w:tabs>
          <w:tab w:val="num" w:pos="720"/>
        </w:tabs>
        <w:spacing w:before="60" w:after="0"/>
        <w:jc w:val="both"/>
        <w:rPr>
          <w:bCs/>
          <w:sz w:val="24"/>
          <w:szCs w:val="24"/>
        </w:rPr>
      </w:pPr>
      <w:r w:rsidRPr="00601192">
        <w:rPr>
          <w:b/>
          <w:bCs/>
          <w:sz w:val="24"/>
          <w:szCs w:val="24"/>
        </w:rPr>
        <w:t>Бюджетна  програма № 6 “Военно-патриотично и военно-почивно дело”</w:t>
      </w:r>
      <w:r w:rsidRPr="00601192">
        <w:rPr>
          <w:bCs/>
          <w:sz w:val="24"/>
          <w:szCs w:val="24"/>
        </w:rPr>
        <w:t xml:space="preserve"> </w:t>
      </w:r>
    </w:p>
    <w:p w:rsidR="00601192" w:rsidRPr="00601192" w:rsidRDefault="00601192" w:rsidP="00601192">
      <w:pPr>
        <w:shd w:val="clear" w:color="auto" w:fill="FFFFFF"/>
        <w:tabs>
          <w:tab w:val="left" w:pos="-3290"/>
          <w:tab w:val="left" w:pos="0"/>
        </w:tabs>
        <w:spacing w:before="0" w:after="0"/>
        <w:jc w:val="both"/>
        <w:rPr>
          <w:color w:val="0000FF"/>
          <w:sz w:val="24"/>
          <w:szCs w:val="24"/>
        </w:rPr>
      </w:pPr>
      <w:r w:rsidRPr="00601192">
        <w:rPr>
          <w:bCs/>
          <w:sz w:val="24"/>
          <w:szCs w:val="24"/>
        </w:rPr>
        <w:t xml:space="preserve">Чрез тази програма се развива културно-художествена дейност в 36 клуба. Поддържат се 7 детски градини. През годината бяха предоставени 26 социални кухни. Обектите на ИА “Военни клубове и военно-почивно дело” през </w:t>
      </w:r>
      <w:r w:rsidRPr="00601192">
        <w:rPr>
          <w:sz w:val="24"/>
          <w:szCs w:val="24"/>
        </w:rPr>
        <w:t xml:space="preserve">2017 </w:t>
      </w:r>
      <w:r w:rsidRPr="00601192">
        <w:rPr>
          <w:bCs/>
          <w:sz w:val="24"/>
          <w:szCs w:val="24"/>
        </w:rPr>
        <w:t xml:space="preserve">г. са посетени от 75 885 души и са реализирани 279 627 </w:t>
      </w:r>
      <w:proofErr w:type="spellStart"/>
      <w:r w:rsidRPr="00601192">
        <w:rPr>
          <w:bCs/>
          <w:sz w:val="24"/>
          <w:szCs w:val="24"/>
        </w:rPr>
        <w:t>леглодни</w:t>
      </w:r>
      <w:proofErr w:type="spellEnd"/>
      <w:r w:rsidRPr="00601192">
        <w:rPr>
          <w:bCs/>
          <w:sz w:val="24"/>
          <w:szCs w:val="24"/>
        </w:rPr>
        <w:t xml:space="preserve"> в почивните бази.  </w:t>
      </w:r>
      <w:r w:rsidRPr="00601192">
        <w:rPr>
          <w:sz w:val="24"/>
          <w:szCs w:val="24"/>
        </w:rPr>
        <w:t xml:space="preserve">Приоритетите на НВИМ през 2017 г. бяха свързани с увеличаване на </w:t>
      </w:r>
      <w:proofErr w:type="spellStart"/>
      <w:r w:rsidRPr="00601192">
        <w:rPr>
          <w:sz w:val="24"/>
          <w:szCs w:val="24"/>
        </w:rPr>
        <w:t>посетителския</w:t>
      </w:r>
      <w:proofErr w:type="spellEnd"/>
      <w:r w:rsidRPr="00601192">
        <w:rPr>
          <w:sz w:val="24"/>
          <w:szCs w:val="24"/>
        </w:rPr>
        <w:t xml:space="preserve"> поток, чрез разнообразяване и обогатяване на музейните прояви. Приоритет е подрастващото поколение, с цел формиране на национална идентичност, култура и историческа памет. НВИМ работи с военнослужещи и цивилни служители на МО и с всички социални и възрастови групи. Бяха реализирани 8 760 часа излъчване на Военния телевизионен канал. Бяха издадени 52 бр. от вестник „Българска армия”.</w:t>
      </w:r>
    </w:p>
    <w:p w:rsidR="00601192" w:rsidRPr="00601192" w:rsidRDefault="00601192" w:rsidP="00601192">
      <w:pPr>
        <w:tabs>
          <w:tab w:val="num" w:pos="720"/>
        </w:tabs>
        <w:spacing w:before="60" w:after="0"/>
        <w:jc w:val="both"/>
        <w:rPr>
          <w:b/>
          <w:bCs/>
          <w:sz w:val="24"/>
          <w:szCs w:val="24"/>
        </w:rPr>
      </w:pPr>
      <w:r w:rsidRPr="00601192">
        <w:rPr>
          <w:b/>
          <w:bCs/>
          <w:sz w:val="24"/>
          <w:szCs w:val="24"/>
        </w:rPr>
        <w:t>Бюджетна  програма № 7 “Изследвания и технологии”</w:t>
      </w:r>
    </w:p>
    <w:p w:rsidR="00601192" w:rsidRPr="00601192" w:rsidRDefault="00601192" w:rsidP="00601192">
      <w:pPr>
        <w:shd w:val="clear" w:color="auto" w:fill="FFFFFF"/>
        <w:tabs>
          <w:tab w:val="left" w:pos="-3290"/>
          <w:tab w:val="left" w:pos="0"/>
        </w:tabs>
        <w:spacing w:before="0" w:after="0"/>
        <w:jc w:val="both"/>
        <w:rPr>
          <w:bCs/>
          <w:sz w:val="24"/>
          <w:szCs w:val="24"/>
        </w:rPr>
      </w:pPr>
      <w:r w:rsidRPr="00601192">
        <w:rPr>
          <w:bCs/>
          <w:sz w:val="24"/>
          <w:szCs w:val="24"/>
        </w:rPr>
        <w:t xml:space="preserve">Институтът по отбрана </w:t>
      </w:r>
      <w:r w:rsidRPr="00601192">
        <w:rPr>
          <w:sz w:val="24"/>
          <w:szCs w:val="24"/>
        </w:rPr>
        <w:t xml:space="preserve">„Професор Цветан Лазаров” има програмна акредитация от Националната агенция за оценяване и акредитация (НАОА) по 5 докторски програми и обучава в редовна, задочна и самостоятелна форма на обучение докторанти по акредитираните докторски програми. Към момента ИО е в процедура за потвърждаване акредитацията по акредитираните пет програми и акредитиране по още 4 нови докторски програми за обучение. Към 31.12.2017 г. броя на хабилитираните лица в ИО е 13 (2 професори и 11 доценти). </w:t>
      </w:r>
      <w:r w:rsidRPr="00601192">
        <w:rPr>
          <w:bCs/>
          <w:sz w:val="24"/>
          <w:szCs w:val="24"/>
        </w:rPr>
        <w:t xml:space="preserve">В ИО са извършени следните дейности: научноизследователска и опитно конструкторска работа по 54 теми;  </w:t>
      </w:r>
      <w:proofErr w:type="spellStart"/>
      <w:r w:rsidRPr="00601192">
        <w:rPr>
          <w:bCs/>
          <w:sz w:val="24"/>
          <w:szCs w:val="24"/>
        </w:rPr>
        <w:t>сертификационни</w:t>
      </w:r>
      <w:proofErr w:type="spellEnd"/>
      <w:r w:rsidRPr="00601192">
        <w:rPr>
          <w:bCs/>
          <w:sz w:val="24"/>
          <w:szCs w:val="24"/>
        </w:rPr>
        <w:t xml:space="preserve"> и надзорни одити на 25 отбранителни продукти; сертификация на 26 системи за управление на качеството; </w:t>
      </w:r>
      <w:r w:rsidRPr="00601192">
        <w:rPr>
          <w:sz w:val="24"/>
          <w:szCs w:val="24"/>
        </w:rPr>
        <w:t>4 468 бр.</w:t>
      </w:r>
      <w:r w:rsidRPr="00601192">
        <w:rPr>
          <w:bCs/>
          <w:sz w:val="24"/>
          <w:szCs w:val="24"/>
        </w:rPr>
        <w:t xml:space="preserve"> изпитания, </w:t>
      </w:r>
      <w:r w:rsidRPr="00601192">
        <w:rPr>
          <w:sz w:val="24"/>
          <w:szCs w:val="24"/>
        </w:rPr>
        <w:t>1 391 </w:t>
      </w:r>
      <w:r w:rsidRPr="00601192">
        <w:rPr>
          <w:bCs/>
          <w:sz w:val="24"/>
          <w:szCs w:val="24"/>
        </w:rPr>
        <w:t>бр. проверки и калибрирания.</w:t>
      </w:r>
    </w:p>
    <w:p w:rsidR="00601192" w:rsidRPr="00601192" w:rsidRDefault="00601192" w:rsidP="00601192">
      <w:pPr>
        <w:shd w:val="clear" w:color="auto" w:fill="FFFFFF"/>
        <w:tabs>
          <w:tab w:val="left" w:pos="-3290"/>
          <w:tab w:val="left" w:pos="0"/>
        </w:tabs>
        <w:spacing w:before="0" w:after="0"/>
        <w:jc w:val="both"/>
        <w:rPr>
          <w:bCs/>
          <w:sz w:val="24"/>
          <w:szCs w:val="24"/>
        </w:rPr>
      </w:pPr>
      <w:r w:rsidRPr="00601192">
        <w:rPr>
          <w:bCs/>
          <w:sz w:val="24"/>
          <w:szCs w:val="24"/>
        </w:rPr>
        <w:t xml:space="preserve">Проведени са </w:t>
      </w:r>
      <w:proofErr w:type="spellStart"/>
      <w:r w:rsidRPr="00601192">
        <w:rPr>
          <w:sz w:val="24"/>
          <w:szCs w:val="24"/>
        </w:rPr>
        <w:t>полигонни</w:t>
      </w:r>
      <w:proofErr w:type="spellEnd"/>
      <w:r w:rsidRPr="00601192">
        <w:rPr>
          <w:sz w:val="24"/>
          <w:szCs w:val="24"/>
        </w:rPr>
        <w:t xml:space="preserve"> изпитвания на 836 партиди артилерийски, стрелкови, инженерни бойни припаси  и пиротехнически средства от запасите.</w:t>
      </w:r>
    </w:p>
    <w:p w:rsidR="00601192" w:rsidRPr="00601192" w:rsidRDefault="00601192" w:rsidP="00601192">
      <w:pPr>
        <w:tabs>
          <w:tab w:val="num" w:pos="720"/>
        </w:tabs>
        <w:spacing w:before="60" w:after="0"/>
        <w:jc w:val="both"/>
        <w:rPr>
          <w:bCs/>
          <w:sz w:val="24"/>
          <w:szCs w:val="24"/>
        </w:rPr>
      </w:pPr>
      <w:r w:rsidRPr="00601192">
        <w:rPr>
          <w:b/>
          <w:bCs/>
          <w:sz w:val="24"/>
          <w:szCs w:val="24"/>
        </w:rPr>
        <w:t>Бюджетна  програма № 8 “Военно образование”</w:t>
      </w:r>
      <w:r w:rsidRPr="00601192">
        <w:rPr>
          <w:bCs/>
          <w:sz w:val="24"/>
          <w:szCs w:val="24"/>
        </w:rPr>
        <w:t xml:space="preserve"> </w:t>
      </w:r>
    </w:p>
    <w:p w:rsidR="00601192" w:rsidRPr="00601192" w:rsidRDefault="00601192" w:rsidP="00601192">
      <w:pPr>
        <w:tabs>
          <w:tab w:val="num" w:pos="720"/>
        </w:tabs>
        <w:spacing w:before="60" w:after="0"/>
        <w:jc w:val="both"/>
        <w:rPr>
          <w:bCs/>
          <w:color w:val="0000FF"/>
          <w:sz w:val="24"/>
          <w:szCs w:val="24"/>
        </w:rPr>
      </w:pPr>
      <w:r w:rsidRPr="00601192">
        <w:rPr>
          <w:bCs/>
          <w:sz w:val="24"/>
          <w:szCs w:val="24"/>
        </w:rPr>
        <w:t xml:space="preserve">ВА “Г.С.Раковски” провежда обучение по магистърски специалности с 683 слушатели и студенти и 11 акредитирани научни специалности със 68 докторанти. Организирани са и са проведени 106 курса с </w:t>
      </w:r>
      <w:r w:rsidRPr="00601192">
        <w:rPr>
          <w:sz w:val="24"/>
          <w:szCs w:val="24"/>
        </w:rPr>
        <w:t xml:space="preserve">1092 </w:t>
      </w:r>
      <w:r w:rsidRPr="00601192">
        <w:rPr>
          <w:bCs/>
          <w:sz w:val="24"/>
          <w:szCs w:val="24"/>
        </w:rPr>
        <w:t xml:space="preserve">специализанти. В НВУ “В.Левски” се обучават </w:t>
      </w:r>
      <w:r w:rsidRPr="00601192">
        <w:rPr>
          <w:sz w:val="24"/>
          <w:szCs w:val="24"/>
        </w:rPr>
        <w:t xml:space="preserve">720 курсанти, 1331 студенти,  36 </w:t>
      </w:r>
      <w:r w:rsidRPr="00601192">
        <w:rPr>
          <w:bCs/>
          <w:sz w:val="24"/>
          <w:szCs w:val="24"/>
        </w:rPr>
        <w:t xml:space="preserve">докторанти. Проведени са </w:t>
      </w:r>
      <w:r w:rsidRPr="00601192">
        <w:rPr>
          <w:sz w:val="24"/>
          <w:szCs w:val="24"/>
        </w:rPr>
        <w:t>89 курса за следдипломна квалификация</w:t>
      </w:r>
      <w:r w:rsidRPr="00601192">
        <w:rPr>
          <w:bCs/>
          <w:sz w:val="24"/>
          <w:szCs w:val="24"/>
        </w:rPr>
        <w:t xml:space="preserve">. Във ВВМУ “Н.Й.Вапцаров” се обучават </w:t>
      </w:r>
      <w:r w:rsidRPr="00601192">
        <w:rPr>
          <w:sz w:val="24"/>
          <w:szCs w:val="24"/>
        </w:rPr>
        <w:t>114 курсанта, 2657 студента, 32 докторанта</w:t>
      </w:r>
      <w:r w:rsidRPr="00601192">
        <w:rPr>
          <w:bCs/>
          <w:sz w:val="24"/>
          <w:szCs w:val="24"/>
        </w:rPr>
        <w:t xml:space="preserve">. Проведени са 9 курса за следдипломна квалификация. В Професионален сержантски колеж се обучават 323 кадета, а в Професионален </w:t>
      </w:r>
      <w:proofErr w:type="spellStart"/>
      <w:r w:rsidRPr="00601192">
        <w:rPr>
          <w:bCs/>
          <w:sz w:val="24"/>
          <w:szCs w:val="24"/>
        </w:rPr>
        <w:t>старшински</w:t>
      </w:r>
      <w:proofErr w:type="spellEnd"/>
      <w:r w:rsidRPr="00601192">
        <w:rPr>
          <w:bCs/>
          <w:sz w:val="24"/>
          <w:szCs w:val="24"/>
        </w:rPr>
        <w:t xml:space="preserve"> колеж към ВВМУ се обучават 75 кадета.</w:t>
      </w:r>
    </w:p>
    <w:p w:rsidR="00601192" w:rsidRPr="00601192" w:rsidRDefault="00601192" w:rsidP="00601192">
      <w:pPr>
        <w:tabs>
          <w:tab w:val="num" w:pos="720"/>
        </w:tabs>
        <w:spacing w:before="60" w:after="0"/>
        <w:jc w:val="both"/>
        <w:rPr>
          <w:b/>
          <w:bCs/>
          <w:sz w:val="24"/>
          <w:szCs w:val="24"/>
        </w:rPr>
      </w:pPr>
      <w:r w:rsidRPr="00601192">
        <w:rPr>
          <w:b/>
          <w:bCs/>
          <w:sz w:val="24"/>
          <w:szCs w:val="24"/>
        </w:rPr>
        <w:lastRenderedPageBreak/>
        <w:t>Бюджетна програма № 9 “Административно осигуряване, инфраструктура и управление на риска”</w:t>
      </w:r>
    </w:p>
    <w:p w:rsidR="00601192" w:rsidRPr="00601192" w:rsidRDefault="00601192" w:rsidP="00601192">
      <w:pPr>
        <w:spacing w:before="0" w:after="0"/>
        <w:jc w:val="both"/>
        <w:rPr>
          <w:bCs/>
          <w:sz w:val="24"/>
          <w:szCs w:val="24"/>
          <w:lang w:eastAsia="en-US"/>
        </w:rPr>
      </w:pPr>
      <w:r w:rsidRPr="00601192">
        <w:rPr>
          <w:bCs/>
          <w:sz w:val="24"/>
          <w:szCs w:val="24"/>
          <w:lang w:eastAsia="en-US"/>
        </w:rPr>
        <w:t xml:space="preserve"> Извършени са продажби след проведени тръжни процедури на 103 бр. имоти с отпаднала необходимост за МО. На общини, на други ведомства и чрез областни управители са предоставени 10 имота на МО. </w:t>
      </w:r>
      <w:r w:rsidRPr="00601192">
        <w:rPr>
          <w:sz w:val="24"/>
          <w:szCs w:val="24"/>
          <w:lang w:eastAsia="en-US"/>
        </w:rPr>
        <w:t>Във връзка с изпълнението на процеса на администриране и реализацията на инвестиционни проекти, както и с изпълнението и контрола на договорите за доставка на стоки и услуги са извършени дейности по възлагане общо на 90 обществени поръчки. Сключени са 103 договора, 2 рамкови споразумения и 24 допълнителни споразумения към тях за доставка на стоки и предоставяне на услуги за нуждите на МО, структурите на пряко подчинение на министъра на отбраната и БА</w:t>
      </w:r>
      <w:r w:rsidRPr="00601192">
        <w:rPr>
          <w:bCs/>
          <w:sz w:val="24"/>
          <w:szCs w:val="24"/>
          <w:lang w:eastAsia="en-US"/>
        </w:rPr>
        <w:t xml:space="preserve">. </w:t>
      </w:r>
    </w:p>
    <w:p w:rsidR="00601192" w:rsidRPr="00601192" w:rsidRDefault="00601192" w:rsidP="00601192">
      <w:pPr>
        <w:spacing w:before="0" w:after="0"/>
        <w:jc w:val="both"/>
        <w:rPr>
          <w:bCs/>
          <w:sz w:val="24"/>
          <w:szCs w:val="24"/>
          <w:lang w:eastAsia="en-US"/>
        </w:rPr>
      </w:pPr>
      <w:r w:rsidRPr="00601192">
        <w:rPr>
          <w:bCs/>
          <w:sz w:val="24"/>
          <w:szCs w:val="24"/>
          <w:lang w:eastAsia="en-US"/>
        </w:rPr>
        <w:t>Организирани и поддържани са мощности за военновременна дейност.</w:t>
      </w:r>
      <w:r w:rsidRPr="00601192">
        <w:rPr>
          <w:sz w:val="24"/>
          <w:szCs w:val="24"/>
          <w:lang w:eastAsia="en-US"/>
        </w:rPr>
        <w:t xml:space="preserve"> </w:t>
      </w:r>
      <w:r w:rsidRPr="00601192">
        <w:rPr>
          <w:bCs/>
          <w:sz w:val="24"/>
          <w:szCs w:val="24"/>
          <w:lang w:eastAsia="en-US"/>
        </w:rPr>
        <w:t xml:space="preserve">За повишаване на ефективността, оптимизиране процеса на управление и създаване на условия за изпълнението на възложените на „ТЕРЕМ” ЕАД”  задачи чрез усвояване на нови изделия и изпълнение на тренировъчни серии, в рамките на разполагаемите ресурси и приетите планове, усвояването на изделията се извършва по Програма за усвояване на изделия, изпълнявани в търговските дружества на „ТЕРЕМ” ЕАД. По осигуряване на здравословни и безопасни условия на труд са проведени 6 контролни проверки  на военни формирования и са обучени 1400 души. По социална адаптация на военнослужещи са проведени </w:t>
      </w:r>
      <w:r w:rsidRPr="00601192">
        <w:rPr>
          <w:sz w:val="24"/>
          <w:szCs w:val="24"/>
          <w:lang w:eastAsia="en-US"/>
        </w:rPr>
        <w:t>423 информационни беседи</w:t>
      </w:r>
      <w:r w:rsidRPr="00601192">
        <w:rPr>
          <w:bCs/>
          <w:sz w:val="24"/>
          <w:szCs w:val="24"/>
          <w:lang w:eastAsia="en-US"/>
        </w:rPr>
        <w:t xml:space="preserve">. По материално подпомагане са подпомогнати финансово </w:t>
      </w:r>
      <w:r w:rsidRPr="00601192">
        <w:rPr>
          <w:sz w:val="24"/>
          <w:szCs w:val="24"/>
          <w:lang w:eastAsia="en-US"/>
        </w:rPr>
        <w:t xml:space="preserve">1 951 </w:t>
      </w:r>
      <w:r w:rsidRPr="00601192">
        <w:rPr>
          <w:bCs/>
          <w:sz w:val="24"/>
          <w:szCs w:val="24"/>
          <w:lang w:eastAsia="en-US"/>
        </w:rPr>
        <w:t>военно-пострадали. По физическо възпитание и спорт са проведени 15</w:t>
      </w:r>
      <w:r w:rsidRPr="00601192">
        <w:rPr>
          <w:sz w:val="24"/>
          <w:szCs w:val="24"/>
          <w:lang w:eastAsia="en-US"/>
        </w:rPr>
        <w:t xml:space="preserve"> </w:t>
      </w:r>
      <w:r w:rsidRPr="00601192">
        <w:rPr>
          <w:bCs/>
          <w:sz w:val="24"/>
          <w:szCs w:val="24"/>
          <w:lang w:eastAsia="en-US"/>
        </w:rPr>
        <w:t>състезания и общоарме</w:t>
      </w:r>
      <w:r w:rsidRPr="00601192">
        <w:rPr>
          <w:sz w:val="24"/>
          <w:szCs w:val="24"/>
          <w:lang w:eastAsia="en-US"/>
        </w:rPr>
        <w:t>йски шампионати с участието на 1300 души</w:t>
      </w:r>
      <w:r w:rsidRPr="00601192">
        <w:rPr>
          <w:bCs/>
          <w:sz w:val="24"/>
          <w:szCs w:val="24"/>
          <w:lang w:eastAsia="en-US"/>
        </w:rPr>
        <w:t>.</w:t>
      </w:r>
    </w:p>
    <w:p w:rsidR="00601192" w:rsidRPr="00601192" w:rsidRDefault="00601192" w:rsidP="00601192">
      <w:pPr>
        <w:tabs>
          <w:tab w:val="num" w:pos="720"/>
        </w:tabs>
        <w:spacing w:before="60" w:after="0"/>
        <w:jc w:val="both"/>
        <w:rPr>
          <w:bCs/>
          <w:sz w:val="24"/>
          <w:szCs w:val="24"/>
        </w:rPr>
      </w:pPr>
      <w:r w:rsidRPr="00601192">
        <w:rPr>
          <w:b/>
          <w:bCs/>
          <w:sz w:val="24"/>
          <w:szCs w:val="24"/>
        </w:rPr>
        <w:t>Бюджетна  програма № 10 “Военна информация”</w:t>
      </w:r>
      <w:r w:rsidRPr="00601192">
        <w:rPr>
          <w:bCs/>
          <w:sz w:val="24"/>
          <w:szCs w:val="24"/>
        </w:rPr>
        <w:t xml:space="preserve"> </w:t>
      </w:r>
    </w:p>
    <w:p w:rsidR="00601192" w:rsidRPr="00601192" w:rsidRDefault="00601192" w:rsidP="00601192">
      <w:pPr>
        <w:spacing w:before="0"/>
        <w:jc w:val="both"/>
        <w:rPr>
          <w:sz w:val="24"/>
          <w:szCs w:val="24"/>
        </w:rPr>
      </w:pPr>
      <w:r w:rsidRPr="00601192">
        <w:rPr>
          <w:sz w:val="24"/>
          <w:szCs w:val="24"/>
        </w:rPr>
        <w:t xml:space="preserve">Изпълнени са целите и приоритети на програмата. Изпълнени са задачи по отношение на разузнаване на операции и мисии на НАТО и ЕС. Основните усилия бяха насочени към добиването на разузнавателна информация и изготвянето на анализи и прогнози; информационното осигуряване на дейността на държавното и военното ръководство за ефективно участие във формирането на отбранителната политика на НАТО и на ЕС и за управление на националните контингенти. Беше осъществено сътрудничество и обмен на информация с разузнавателните структури на НАТО и ЕС, както и подпомагането на ръководството на МО при провеждане на </w:t>
      </w:r>
      <w:proofErr w:type="spellStart"/>
      <w:r w:rsidRPr="00601192">
        <w:rPr>
          <w:sz w:val="24"/>
          <w:szCs w:val="24"/>
        </w:rPr>
        <w:t>военнодипломатическата</w:t>
      </w:r>
      <w:proofErr w:type="spellEnd"/>
      <w:r w:rsidRPr="00601192">
        <w:rPr>
          <w:sz w:val="24"/>
          <w:szCs w:val="24"/>
        </w:rPr>
        <w:t xml:space="preserve"> дейност и военното сътрудничество. </w:t>
      </w:r>
    </w:p>
    <w:p w:rsidR="00056DFA" w:rsidRPr="00056DFA" w:rsidRDefault="00056DFA" w:rsidP="00056DFA">
      <w:pPr>
        <w:rPr>
          <w:b/>
          <w:sz w:val="24"/>
          <w:szCs w:val="24"/>
        </w:rPr>
      </w:pPr>
    </w:p>
    <w:p w:rsidR="00056DFA" w:rsidRPr="00056DFA" w:rsidRDefault="00056DFA" w:rsidP="00056DFA">
      <w:pPr>
        <w:rPr>
          <w:b/>
          <w:sz w:val="24"/>
          <w:szCs w:val="24"/>
        </w:rPr>
      </w:pPr>
    </w:p>
    <w:p w:rsidR="002B5440" w:rsidRPr="006370A1" w:rsidRDefault="002B5440" w:rsidP="007E4882">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5" w:name="_Toc523492627"/>
      <w:r w:rsidRPr="006370A1">
        <w:rPr>
          <w:rFonts w:ascii="Times New Roman" w:eastAsia="Batang" w:hAnsi="Times New Roman" w:cs="Times New Roman"/>
          <w:b/>
          <w:bCs/>
          <w:caps/>
          <w:lang w:val="bg-BG" w:eastAsia="ko-KR"/>
        </w:rPr>
        <w:t>Министерството на вътрешните работи</w:t>
      </w:r>
      <w:bookmarkEnd w:id="5"/>
      <w:r w:rsidRPr="006370A1">
        <w:rPr>
          <w:rFonts w:ascii="Times New Roman" w:eastAsia="Batang" w:hAnsi="Times New Roman" w:cs="Times New Roman"/>
          <w:b/>
          <w:bCs/>
          <w:caps/>
          <w:lang w:val="bg-BG" w:eastAsia="ko-KR"/>
        </w:rPr>
        <w:t xml:space="preserve"> </w:t>
      </w:r>
    </w:p>
    <w:p w:rsidR="002B5440" w:rsidRPr="00056DFA" w:rsidRDefault="002B5440" w:rsidP="00056DFA">
      <w:pPr>
        <w:tabs>
          <w:tab w:val="left" w:pos="540"/>
        </w:tabs>
        <w:spacing w:before="0" w:after="0"/>
        <w:jc w:val="both"/>
        <w:rPr>
          <w:sz w:val="24"/>
          <w:szCs w:val="24"/>
        </w:rPr>
      </w:pPr>
      <w:r w:rsidRPr="00056DFA">
        <w:rPr>
          <w:sz w:val="24"/>
          <w:szCs w:val="24"/>
        </w:rPr>
        <w:t>За реализиране на приоритетни цели и дейностите, свързани с тях, в МВР са обособени следните политики и програми:</w:t>
      </w:r>
    </w:p>
    <w:p w:rsidR="002B5440" w:rsidRPr="00056DFA" w:rsidRDefault="003D7BCA" w:rsidP="002A1989">
      <w:pPr>
        <w:keepNext/>
        <w:shd w:val="clear" w:color="auto" w:fill="FFFFFF"/>
        <w:tabs>
          <w:tab w:val="left" w:pos="567"/>
          <w:tab w:val="left" w:leader="dot" w:pos="1771"/>
          <w:tab w:val="left" w:leader="dot" w:pos="2880"/>
        </w:tabs>
        <w:snapToGrid w:val="0"/>
        <w:spacing w:before="0" w:after="0"/>
        <w:ind w:left="567" w:firstLine="0"/>
        <w:jc w:val="both"/>
        <w:rPr>
          <w:b/>
          <w:sz w:val="24"/>
          <w:szCs w:val="24"/>
        </w:rPr>
      </w:pPr>
      <w:r w:rsidRPr="00056DFA">
        <w:rPr>
          <w:b/>
          <w:sz w:val="24"/>
          <w:szCs w:val="24"/>
        </w:rPr>
        <w:t>Политика в областта на противодействието на престъпността и опазването на обществения ред</w:t>
      </w:r>
    </w:p>
    <w:p w:rsidR="002B5440" w:rsidRPr="00056DFA" w:rsidRDefault="002B5440" w:rsidP="002A1989">
      <w:pPr>
        <w:tabs>
          <w:tab w:val="left" w:pos="0"/>
        </w:tabs>
        <w:spacing w:before="0" w:after="0"/>
        <w:jc w:val="both"/>
        <w:rPr>
          <w:bCs/>
          <w:sz w:val="24"/>
          <w:szCs w:val="24"/>
        </w:rPr>
      </w:pPr>
      <w:r w:rsidRPr="00056DFA">
        <w:rPr>
          <w:bCs/>
          <w:sz w:val="24"/>
          <w:szCs w:val="24"/>
        </w:rPr>
        <w:tab/>
        <w:t>За изпълнение на целите на политиката е обособена:</w:t>
      </w:r>
    </w:p>
    <w:p w:rsidR="002B5440" w:rsidRPr="00056DFA" w:rsidRDefault="003D7BCA" w:rsidP="002A1989">
      <w:pPr>
        <w:keepNext/>
        <w:shd w:val="clear" w:color="auto" w:fill="FFFFFF"/>
        <w:tabs>
          <w:tab w:val="left" w:pos="567"/>
          <w:tab w:val="left" w:leader="dot" w:pos="1771"/>
          <w:tab w:val="left" w:leader="dot" w:pos="2880"/>
        </w:tabs>
        <w:snapToGrid w:val="0"/>
        <w:spacing w:before="0" w:after="0"/>
        <w:jc w:val="both"/>
        <w:rPr>
          <w:b/>
          <w:sz w:val="24"/>
          <w:szCs w:val="24"/>
          <w:lang w:val="ru-RU"/>
        </w:rPr>
      </w:pPr>
      <w:r w:rsidRPr="00056DFA">
        <w:rPr>
          <w:b/>
          <w:bCs/>
          <w:iCs/>
          <w:sz w:val="24"/>
          <w:szCs w:val="24"/>
        </w:rPr>
        <w:t xml:space="preserve">Бюджетна програма </w:t>
      </w:r>
      <w:r w:rsidR="002B5440" w:rsidRPr="00056DFA">
        <w:rPr>
          <w:b/>
          <w:sz w:val="24"/>
          <w:szCs w:val="24"/>
        </w:rPr>
        <w:t xml:space="preserve">„Противодействие на престъпността, опазване на обществения ред и превенция”.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701.1  млн.лв., по уточнен план същите възлизат на 747.2 млн.лв., а по отчет са 743.0 млн.лв.</w:t>
      </w:r>
    </w:p>
    <w:p w:rsidR="002B5440" w:rsidRPr="00056DFA" w:rsidRDefault="002B5440" w:rsidP="002A1989">
      <w:pPr>
        <w:spacing w:before="0" w:after="0"/>
        <w:jc w:val="both"/>
        <w:rPr>
          <w:sz w:val="24"/>
          <w:szCs w:val="24"/>
          <w:lang w:val="x-none" w:eastAsia="x-none"/>
        </w:rPr>
      </w:pPr>
      <w:r w:rsidRPr="00056DFA">
        <w:rPr>
          <w:sz w:val="24"/>
          <w:szCs w:val="24"/>
          <w:lang w:val="x-none" w:eastAsia="x-none"/>
        </w:rPr>
        <w:t xml:space="preserve">През 2017 г. е изготвен отчет за осъществените превантивни дейности през 2016 г. от </w:t>
      </w:r>
      <w:r w:rsidRPr="00056DFA">
        <w:rPr>
          <w:bCs/>
          <w:iCs/>
          <w:sz w:val="24"/>
          <w:szCs w:val="24"/>
          <w:lang w:val="x-none" w:eastAsia="x-none"/>
        </w:rPr>
        <w:t>Националния съвет по превенция на престъпността</w:t>
      </w:r>
      <w:r w:rsidRPr="00056DFA">
        <w:rPr>
          <w:b/>
          <w:bCs/>
          <w:iCs/>
          <w:sz w:val="24"/>
          <w:szCs w:val="24"/>
          <w:lang w:val="x-none" w:eastAsia="x-none"/>
        </w:rPr>
        <w:t xml:space="preserve">, </w:t>
      </w:r>
      <w:r w:rsidRPr="00056DFA">
        <w:rPr>
          <w:bCs/>
          <w:iCs/>
          <w:sz w:val="24"/>
          <w:szCs w:val="24"/>
          <w:lang w:val="x-none" w:eastAsia="x-none"/>
        </w:rPr>
        <w:t>който</w:t>
      </w:r>
      <w:r w:rsidRPr="00056DFA">
        <w:rPr>
          <w:sz w:val="24"/>
          <w:szCs w:val="24"/>
          <w:lang w:val="x-none" w:eastAsia="x-none"/>
        </w:rPr>
        <w:t xml:space="preserve"> разработва приоритети и мерки за противодействие и превенция на конвенционалната престъпност с акцент върху дейностите, насочени към уязвимите групи от населението (подрастващи и </w:t>
      </w:r>
      <w:r w:rsidRPr="00056DFA">
        <w:rPr>
          <w:sz w:val="24"/>
          <w:szCs w:val="24"/>
          <w:lang w:val="x-none" w:eastAsia="x-none"/>
        </w:rPr>
        <w:lastRenderedPageBreak/>
        <w:t xml:space="preserve">младежи, възрастни и </w:t>
      </w:r>
      <w:proofErr w:type="spellStart"/>
      <w:r w:rsidRPr="00056DFA">
        <w:rPr>
          <w:sz w:val="24"/>
          <w:szCs w:val="24"/>
          <w:lang w:val="x-none" w:eastAsia="x-none"/>
        </w:rPr>
        <w:t>самотноживеещи</w:t>
      </w:r>
      <w:proofErr w:type="spellEnd"/>
      <w:r w:rsidRPr="00056DFA">
        <w:rPr>
          <w:sz w:val="24"/>
          <w:szCs w:val="24"/>
          <w:lang w:val="x-none" w:eastAsia="x-none"/>
        </w:rPr>
        <w:t xml:space="preserve"> хора в малките и отдалечените населени места, </w:t>
      </w:r>
      <w:proofErr w:type="spellStart"/>
      <w:r w:rsidRPr="00056DFA">
        <w:rPr>
          <w:sz w:val="24"/>
          <w:szCs w:val="24"/>
          <w:lang w:val="x-none" w:eastAsia="x-none"/>
        </w:rPr>
        <w:t>маргинализирани</w:t>
      </w:r>
      <w:proofErr w:type="spellEnd"/>
      <w:r w:rsidRPr="00056DFA">
        <w:rPr>
          <w:sz w:val="24"/>
          <w:szCs w:val="24"/>
          <w:lang w:val="x-none" w:eastAsia="x-none"/>
        </w:rPr>
        <w:t xml:space="preserve"> групи). В края на годината е проведено редовно заседание на съвета, на което е приета Работната му програма за 2018 г.</w:t>
      </w:r>
      <w:r w:rsidRPr="00056DFA">
        <w:rPr>
          <w:sz w:val="24"/>
          <w:szCs w:val="24"/>
          <w:lang w:val="x-none"/>
        </w:rPr>
        <w:t xml:space="preserve"> </w:t>
      </w:r>
      <w:r w:rsidRPr="00056DFA">
        <w:rPr>
          <w:sz w:val="24"/>
          <w:szCs w:val="24"/>
        </w:rPr>
        <w:t xml:space="preserve">От страна на </w:t>
      </w:r>
      <w:r w:rsidRPr="00056DFA">
        <w:rPr>
          <w:sz w:val="24"/>
          <w:szCs w:val="24"/>
          <w:lang w:val="x-none"/>
        </w:rPr>
        <w:t xml:space="preserve">МВР </w:t>
      </w:r>
      <w:r w:rsidRPr="00056DFA">
        <w:rPr>
          <w:sz w:val="24"/>
          <w:szCs w:val="24"/>
        </w:rPr>
        <w:t xml:space="preserve">са </w:t>
      </w:r>
      <w:r w:rsidRPr="00056DFA">
        <w:rPr>
          <w:sz w:val="24"/>
          <w:szCs w:val="24"/>
          <w:lang w:val="x-none"/>
        </w:rPr>
        <w:t>предприе</w:t>
      </w:r>
      <w:r w:rsidRPr="00056DFA">
        <w:rPr>
          <w:sz w:val="24"/>
          <w:szCs w:val="24"/>
        </w:rPr>
        <w:t>ти</w:t>
      </w:r>
      <w:r w:rsidRPr="00056DFA">
        <w:rPr>
          <w:sz w:val="24"/>
          <w:szCs w:val="24"/>
          <w:lang w:val="x-none"/>
        </w:rPr>
        <w:t xml:space="preserve"> мерки за подобряване и координиране на дейността по </w:t>
      </w:r>
      <w:r w:rsidRPr="00056DFA">
        <w:rPr>
          <w:i/>
          <w:sz w:val="24"/>
          <w:szCs w:val="24"/>
          <w:lang w:val="x-none"/>
        </w:rPr>
        <w:t>противодействие на конвенционалната престъпност</w:t>
      </w:r>
      <w:r w:rsidRPr="00056DFA">
        <w:rPr>
          <w:sz w:val="24"/>
          <w:szCs w:val="24"/>
          <w:lang w:val="x-none" w:eastAsia="x-none"/>
        </w:rPr>
        <w:t>, о</w:t>
      </w:r>
      <w:r w:rsidRPr="00056DFA">
        <w:rPr>
          <w:sz w:val="24"/>
          <w:szCs w:val="24"/>
          <w:lang w:val="x-none"/>
        </w:rPr>
        <w:t>тчитайки стратегическата роля на превенцията, чрез която се постига намаление на нивото на престъпността и на разходите за нейното противодействие</w:t>
      </w:r>
      <w:r w:rsidRPr="00056DFA">
        <w:rPr>
          <w:sz w:val="24"/>
          <w:szCs w:val="24"/>
          <w:lang w:val="x-none" w:eastAsia="x-none"/>
        </w:rPr>
        <w:t>.</w:t>
      </w:r>
    </w:p>
    <w:p w:rsidR="002B5440" w:rsidRPr="00056DFA" w:rsidRDefault="002B5440" w:rsidP="00056DFA">
      <w:pPr>
        <w:spacing w:before="0" w:after="0"/>
        <w:jc w:val="both"/>
        <w:rPr>
          <w:sz w:val="24"/>
          <w:szCs w:val="24"/>
          <w:lang w:val="x-none" w:eastAsia="x-none"/>
        </w:rPr>
      </w:pPr>
      <w:r w:rsidRPr="00056DFA">
        <w:rPr>
          <w:sz w:val="24"/>
          <w:szCs w:val="24"/>
          <w:lang w:val="x-none" w:eastAsia="x-none"/>
        </w:rPr>
        <w:t xml:space="preserve">Създадена е нова организация за </w:t>
      </w:r>
      <w:r w:rsidRPr="00056DFA">
        <w:rPr>
          <w:i/>
          <w:sz w:val="24"/>
          <w:szCs w:val="24"/>
          <w:lang w:val="x-none" w:eastAsia="x-none"/>
        </w:rPr>
        <w:t>опазване на обществения ред</w:t>
      </w:r>
      <w:r w:rsidRPr="00056DFA">
        <w:rPr>
          <w:sz w:val="24"/>
          <w:szCs w:val="24"/>
          <w:lang w:val="x-none" w:eastAsia="x-none"/>
        </w:rPr>
        <w:t xml:space="preserve"> и противодействие на конвенционалната престъпност в населените места, в които няма постоянно полицейско присъствие. В зоните с повишени нива на битова престъпност се осъществя координация със Зоналните жандармерийски управления към дирекция „Жандармерия“ за придаване на допълнителни сили.</w:t>
      </w:r>
    </w:p>
    <w:p w:rsidR="002B5440" w:rsidRPr="00056DFA" w:rsidRDefault="002B5440" w:rsidP="00056DFA">
      <w:pPr>
        <w:widowControl w:val="0"/>
        <w:autoSpaceDE w:val="0"/>
        <w:autoSpaceDN w:val="0"/>
        <w:adjustRightInd w:val="0"/>
        <w:spacing w:before="0" w:after="0"/>
        <w:jc w:val="both"/>
        <w:rPr>
          <w:bCs/>
          <w:sz w:val="24"/>
          <w:szCs w:val="24"/>
          <w:lang w:eastAsia="en-US"/>
        </w:rPr>
      </w:pPr>
      <w:r w:rsidRPr="00056DFA">
        <w:rPr>
          <w:sz w:val="24"/>
          <w:szCs w:val="24"/>
        </w:rPr>
        <w:t xml:space="preserve">Повишава се ефективността в работата на полицейските органи по превенция на престъпността и опазване на обществения ред, в резултат на които при проведените през годината национални форуми, международни мероприятия, спортни прояви и по време на официални и религиозни празници не са допуснати сериозни инциденти. МВР изпълни задачите си по осигуряване на обществения ред, сигурността, пожарната безопасност и защитата на населението по време на подготовката и произвеждането на </w:t>
      </w:r>
      <w:r w:rsidRPr="00056DFA">
        <w:rPr>
          <w:i/>
          <w:sz w:val="24"/>
          <w:szCs w:val="24"/>
        </w:rPr>
        <w:t>изборите</w:t>
      </w:r>
      <w:r w:rsidRPr="00056DFA">
        <w:rPr>
          <w:i/>
          <w:sz w:val="24"/>
          <w:szCs w:val="24"/>
          <w:lang w:val="ru-RU"/>
        </w:rPr>
        <w:t xml:space="preserve"> </w:t>
      </w:r>
      <w:r w:rsidRPr="00056DFA">
        <w:rPr>
          <w:i/>
          <w:sz w:val="24"/>
          <w:szCs w:val="24"/>
        </w:rPr>
        <w:t>за Народно събрание</w:t>
      </w:r>
      <w:r w:rsidRPr="00056DFA">
        <w:rPr>
          <w:sz w:val="24"/>
          <w:szCs w:val="24"/>
        </w:rPr>
        <w:t xml:space="preserve"> на Република България, като бе осигурено нормалното протичане на изборния процес. </w:t>
      </w:r>
      <w:r w:rsidRPr="00056DFA">
        <w:rPr>
          <w:bCs/>
          <w:sz w:val="24"/>
          <w:szCs w:val="24"/>
          <w:lang w:eastAsia="en-US"/>
        </w:rPr>
        <w:t>Не бе допуснато усложняване на оперативната обстановка в страната, както и груби нарушения на обществения ред и екстремистки прояви при подготовката и произвеждането на изборите.</w:t>
      </w:r>
    </w:p>
    <w:p w:rsidR="002B5440" w:rsidRPr="00056DFA" w:rsidRDefault="002B5440" w:rsidP="00056DFA">
      <w:pPr>
        <w:spacing w:before="0" w:after="0"/>
        <w:jc w:val="both"/>
        <w:rPr>
          <w:i/>
          <w:sz w:val="24"/>
          <w:szCs w:val="24"/>
          <w:u w:val="single"/>
        </w:rPr>
      </w:pPr>
      <w:r w:rsidRPr="00056DFA">
        <w:rPr>
          <w:i/>
          <w:sz w:val="24"/>
          <w:szCs w:val="24"/>
          <w:u w:val="single"/>
        </w:rPr>
        <w:t>Конвенционална престъпност</w:t>
      </w:r>
    </w:p>
    <w:p w:rsidR="002B5440" w:rsidRPr="00056DFA" w:rsidRDefault="002B5440" w:rsidP="00056DFA">
      <w:pPr>
        <w:spacing w:before="0" w:after="0"/>
        <w:jc w:val="both"/>
        <w:rPr>
          <w:sz w:val="24"/>
          <w:szCs w:val="24"/>
        </w:rPr>
      </w:pPr>
      <w:r w:rsidRPr="00056DFA">
        <w:rPr>
          <w:sz w:val="24"/>
          <w:szCs w:val="24"/>
        </w:rPr>
        <w:t xml:space="preserve">През 2017 г. са регистрирани общо </w:t>
      </w:r>
      <w:r w:rsidRPr="00056DFA">
        <w:rPr>
          <w:bCs/>
          <w:sz w:val="24"/>
          <w:szCs w:val="24"/>
        </w:rPr>
        <w:t xml:space="preserve">104 237 престъпления, от които 88% – против </w:t>
      </w:r>
      <w:r w:rsidRPr="00056DFA">
        <w:rPr>
          <w:sz w:val="24"/>
          <w:szCs w:val="24"/>
        </w:rPr>
        <w:t>личността и собствеността на гражданите и 12% – икономически. Спрямо 2016 г. се отчита увеличение на регистрираните престъпления с около 0,5%.</w:t>
      </w:r>
    </w:p>
    <w:p w:rsidR="002B5440" w:rsidRPr="00056DFA" w:rsidRDefault="002B5440" w:rsidP="00056DFA">
      <w:pPr>
        <w:spacing w:before="0" w:after="0"/>
        <w:jc w:val="both"/>
        <w:rPr>
          <w:bCs/>
          <w:sz w:val="24"/>
          <w:szCs w:val="24"/>
        </w:rPr>
      </w:pPr>
      <w:r w:rsidRPr="00056DFA">
        <w:rPr>
          <w:bCs/>
          <w:sz w:val="24"/>
          <w:szCs w:val="24"/>
        </w:rPr>
        <w:t xml:space="preserve">Нивото на </w:t>
      </w:r>
      <w:proofErr w:type="spellStart"/>
      <w:r w:rsidRPr="00056DFA">
        <w:rPr>
          <w:bCs/>
          <w:sz w:val="24"/>
          <w:szCs w:val="24"/>
        </w:rPr>
        <w:t>разкриваемост</w:t>
      </w:r>
      <w:proofErr w:type="spellEnd"/>
      <w:r w:rsidRPr="00056DFA">
        <w:rPr>
          <w:bCs/>
          <w:sz w:val="24"/>
          <w:szCs w:val="24"/>
        </w:rPr>
        <w:t xml:space="preserve"> намалява с 2,3 пункта – разкритите престъпления са 47 373, или 45,4%, докато през 2016 г. са разкрити 49 460 престъпления, или 47,7%.</w:t>
      </w:r>
    </w:p>
    <w:p w:rsidR="002B5440" w:rsidRPr="00056DFA" w:rsidRDefault="002B5440" w:rsidP="00056DFA">
      <w:pPr>
        <w:spacing w:before="0" w:after="0"/>
        <w:jc w:val="both"/>
        <w:rPr>
          <w:bCs/>
          <w:sz w:val="24"/>
          <w:szCs w:val="24"/>
        </w:rPr>
      </w:pPr>
      <w:r w:rsidRPr="00056DFA">
        <w:rPr>
          <w:bCs/>
          <w:sz w:val="24"/>
          <w:szCs w:val="24"/>
        </w:rPr>
        <w:t>Намалява и броят на разкритите престъпления, регистрирани през минали години – разкрити са 8279 престъпления, което е с 2,5% по-малко от предходната година (8491).</w:t>
      </w:r>
    </w:p>
    <w:p w:rsidR="002B5440" w:rsidRPr="00056DFA" w:rsidRDefault="002B5440" w:rsidP="00056DFA">
      <w:pPr>
        <w:spacing w:before="0" w:after="0"/>
        <w:jc w:val="both"/>
        <w:rPr>
          <w:bCs/>
          <w:iCs/>
          <w:sz w:val="24"/>
          <w:szCs w:val="24"/>
        </w:rPr>
      </w:pPr>
      <w:r w:rsidRPr="00056DFA">
        <w:rPr>
          <w:sz w:val="24"/>
          <w:szCs w:val="24"/>
        </w:rPr>
        <w:t>Престъпленията против собствеността продължават да са структуроопределящи за конвен</w:t>
      </w:r>
      <w:r w:rsidRPr="00056DFA">
        <w:rPr>
          <w:sz w:val="24"/>
          <w:szCs w:val="24"/>
        </w:rPr>
        <w:softHyphen/>
        <w:t>цио</w:t>
      </w:r>
      <w:r w:rsidRPr="00056DFA">
        <w:rPr>
          <w:sz w:val="24"/>
          <w:szCs w:val="24"/>
        </w:rPr>
        <w:softHyphen/>
        <w:t>налната престъпност</w:t>
      </w:r>
      <w:r w:rsidRPr="00056DFA">
        <w:rPr>
          <w:sz w:val="24"/>
          <w:szCs w:val="24"/>
          <w:lang w:val="ru-RU"/>
        </w:rPr>
        <w:t xml:space="preserve">, </w:t>
      </w:r>
      <w:r w:rsidRPr="00056DFA">
        <w:rPr>
          <w:sz w:val="24"/>
          <w:szCs w:val="24"/>
        </w:rPr>
        <w:t xml:space="preserve">като съставляват </w:t>
      </w:r>
      <w:r w:rsidRPr="00056DFA">
        <w:rPr>
          <w:bCs/>
          <w:iCs/>
          <w:sz w:val="24"/>
          <w:szCs w:val="24"/>
        </w:rPr>
        <w:t xml:space="preserve">54,4% от общия брой престъпления против личността и собствеността на гражданите, при 57% относителен дял за предходната година. Второ място в структурата заемат </w:t>
      </w:r>
      <w:proofErr w:type="spellStart"/>
      <w:r w:rsidRPr="00056DFA">
        <w:rPr>
          <w:bCs/>
          <w:iCs/>
          <w:sz w:val="24"/>
          <w:szCs w:val="24"/>
        </w:rPr>
        <w:t>общоопасните</w:t>
      </w:r>
      <w:proofErr w:type="spellEnd"/>
      <w:r w:rsidRPr="00056DFA">
        <w:rPr>
          <w:bCs/>
          <w:iCs/>
          <w:sz w:val="24"/>
          <w:szCs w:val="24"/>
        </w:rPr>
        <w:t xml:space="preserve"> престъпления с относителен дял от 31% (28,2% за 2016 г.). Относителният дял на престъпленията против личността е 5,4%, при 4,5% за 2016 г.</w:t>
      </w:r>
    </w:p>
    <w:p w:rsidR="002B5440" w:rsidRPr="00056DFA" w:rsidRDefault="002B5440" w:rsidP="00056DFA">
      <w:pPr>
        <w:spacing w:before="0" w:after="0"/>
        <w:jc w:val="both"/>
        <w:rPr>
          <w:bCs/>
          <w:iCs/>
          <w:sz w:val="24"/>
          <w:szCs w:val="24"/>
        </w:rPr>
      </w:pPr>
      <w:r w:rsidRPr="00056DFA">
        <w:rPr>
          <w:bCs/>
          <w:iCs/>
          <w:sz w:val="24"/>
          <w:szCs w:val="24"/>
        </w:rPr>
        <w:t>Регистрирани са 126 умишлени убийства (95 довършени и 31 опита), което е намаление от 17,6% спрямо 2016 г.</w:t>
      </w:r>
    </w:p>
    <w:p w:rsidR="002B5440" w:rsidRPr="00056DFA" w:rsidRDefault="002B5440" w:rsidP="00056DFA">
      <w:pPr>
        <w:numPr>
          <w:ilvl w:val="12"/>
          <w:numId w:val="0"/>
        </w:numPr>
        <w:spacing w:before="0" w:after="0"/>
        <w:ind w:firstLine="567"/>
        <w:jc w:val="both"/>
        <w:rPr>
          <w:rFonts w:eastAsia="Calibri"/>
          <w:sz w:val="24"/>
          <w:szCs w:val="24"/>
        </w:rPr>
      </w:pPr>
      <w:r w:rsidRPr="00056DFA">
        <w:rPr>
          <w:bCs/>
          <w:iCs/>
          <w:sz w:val="24"/>
          <w:szCs w:val="24"/>
        </w:rPr>
        <w:t xml:space="preserve">Съществен проблем през годината остават телефонните измами, обект на които са предимно възрастни хора. </w:t>
      </w:r>
      <w:r w:rsidRPr="00056DFA">
        <w:rPr>
          <w:sz w:val="24"/>
          <w:szCs w:val="24"/>
        </w:rPr>
        <w:t>През март 2017 г. в ГДНП е създаден сектор „Измами”, чиято дейност е ориентирана и към противодействие на телефонни измами. В ОДМВР Плевен, Русе и Велико Търново са сформирани групи за противодействие на телефонни измами, тъй като извършителите на тези престъпления произхождат и осъществяват престъпната си дейност основно от населени места на територията на посочените области.</w:t>
      </w:r>
      <w:r w:rsidRPr="00056DFA">
        <w:rPr>
          <w:rFonts w:eastAsia="Calibri"/>
          <w:sz w:val="24"/>
          <w:szCs w:val="24"/>
          <w:lang w:val="x-none"/>
        </w:rPr>
        <w:t xml:space="preserve"> </w:t>
      </w:r>
      <w:r w:rsidRPr="00056DFA">
        <w:rPr>
          <w:sz w:val="24"/>
          <w:szCs w:val="24"/>
        </w:rPr>
        <w:t>През 2017 г. са регистрирани с 8,3% по-малко телефонни измами (1283) в сравнение с 2016 г. (1399</w:t>
      </w:r>
      <w:r w:rsidRPr="00056DFA">
        <w:rPr>
          <w:sz w:val="24"/>
          <w:szCs w:val="24"/>
          <w:lang w:val="ru-RU"/>
        </w:rPr>
        <w:t>)</w:t>
      </w:r>
      <w:r w:rsidRPr="00056DFA">
        <w:rPr>
          <w:sz w:val="24"/>
          <w:szCs w:val="24"/>
        </w:rPr>
        <w:t xml:space="preserve">. Разкрити са 198 престъпления, което е увеличение на </w:t>
      </w:r>
      <w:proofErr w:type="spellStart"/>
      <w:r w:rsidRPr="00056DFA">
        <w:rPr>
          <w:sz w:val="24"/>
          <w:szCs w:val="24"/>
        </w:rPr>
        <w:t>разкриваемостта</w:t>
      </w:r>
      <w:proofErr w:type="spellEnd"/>
      <w:r w:rsidRPr="00056DFA">
        <w:rPr>
          <w:sz w:val="24"/>
          <w:szCs w:val="24"/>
        </w:rPr>
        <w:t xml:space="preserve"> със 7 пункта. П</w:t>
      </w:r>
      <w:proofErr w:type="spellStart"/>
      <w:r w:rsidRPr="00056DFA">
        <w:rPr>
          <w:rFonts w:eastAsia="Calibri"/>
          <w:sz w:val="24"/>
          <w:szCs w:val="24"/>
          <w:lang w:val="x-none"/>
        </w:rPr>
        <w:t>рове</w:t>
      </w:r>
      <w:r w:rsidRPr="00056DFA">
        <w:rPr>
          <w:rFonts w:eastAsia="Calibri"/>
          <w:sz w:val="24"/>
          <w:szCs w:val="24"/>
        </w:rPr>
        <w:t>дени</w:t>
      </w:r>
      <w:proofErr w:type="spellEnd"/>
      <w:r w:rsidRPr="00056DFA">
        <w:rPr>
          <w:rFonts w:eastAsia="Calibri"/>
          <w:sz w:val="24"/>
          <w:szCs w:val="24"/>
          <w:lang w:val="x-none"/>
        </w:rPr>
        <w:t xml:space="preserve"> </w:t>
      </w:r>
      <w:r w:rsidRPr="00056DFA">
        <w:rPr>
          <w:rFonts w:eastAsia="Calibri"/>
          <w:sz w:val="24"/>
          <w:szCs w:val="24"/>
        </w:rPr>
        <w:t xml:space="preserve">са </w:t>
      </w:r>
      <w:r w:rsidRPr="00056DFA">
        <w:rPr>
          <w:rFonts w:eastAsia="Calibri"/>
          <w:sz w:val="24"/>
          <w:szCs w:val="24"/>
          <w:lang w:val="x-none"/>
        </w:rPr>
        <w:t>23 полицейски операции, при които са задържани 67 извършители на телефонни измами.</w:t>
      </w:r>
    </w:p>
    <w:p w:rsidR="002B5440" w:rsidRPr="00056DFA" w:rsidRDefault="002B5440" w:rsidP="00056DFA">
      <w:pPr>
        <w:spacing w:before="0" w:after="0"/>
        <w:jc w:val="both"/>
        <w:rPr>
          <w:bCs/>
          <w:sz w:val="24"/>
          <w:szCs w:val="24"/>
          <w:lang w:eastAsia="en-US"/>
        </w:rPr>
      </w:pPr>
      <w:r w:rsidRPr="00056DFA">
        <w:rPr>
          <w:bCs/>
          <w:sz w:val="24"/>
          <w:szCs w:val="24"/>
        </w:rPr>
        <w:lastRenderedPageBreak/>
        <w:t>Регистрирани</w:t>
      </w:r>
      <w:r w:rsidRPr="00056DFA">
        <w:rPr>
          <w:sz w:val="24"/>
          <w:szCs w:val="24"/>
        </w:rPr>
        <w:t xml:space="preserve"> са 12 567 икономически престъпления, което е увеличение с 3,3% в сравнение с предходната </w:t>
      </w:r>
      <w:r w:rsidRPr="00056DFA">
        <w:rPr>
          <w:bCs/>
          <w:sz w:val="24"/>
          <w:szCs w:val="24"/>
        </w:rPr>
        <w:t>година</w:t>
      </w:r>
      <w:r w:rsidRPr="00056DFA">
        <w:rPr>
          <w:sz w:val="24"/>
          <w:szCs w:val="24"/>
        </w:rPr>
        <w:t xml:space="preserve"> (</w:t>
      </w:r>
      <w:r w:rsidRPr="00056DFA">
        <w:rPr>
          <w:bCs/>
          <w:sz w:val="24"/>
          <w:szCs w:val="24"/>
        </w:rPr>
        <w:t>12 161</w:t>
      </w:r>
      <w:r w:rsidRPr="00056DFA">
        <w:rPr>
          <w:sz w:val="24"/>
          <w:szCs w:val="24"/>
        </w:rPr>
        <w:t xml:space="preserve">). От тях са разкрити 4210, или 33,5%. Нивото на </w:t>
      </w:r>
      <w:proofErr w:type="spellStart"/>
      <w:r w:rsidRPr="00056DFA">
        <w:rPr>
          <w:sz w:val="24"/>
          <w:szCs w:val="24"/>
        </w:rPr>
        <w:t>разкриваемост</w:t>
      </w:r>
      <w:proofErr w:type="spellEnd"/>
      <w:r w:rsidRPr="00056DFA">
        <w:rPr>
          <w:sz w:val="24"/>
          <w:szCs w:val="24"/>
        </w:rPr>
        <w:t xml:space="preserve"> намалява със 7 пункта спрямо 2016 г. (40,5%). </w:t>
      </w:r>
      <w:r w:rsidRPr="00056DFA">
        <w:rPr>
          <w:bCs/>
          <w:sz w:val="24"/>
          <w:szCs w:val="24"/>
          <w:lang w:eastAsia="en-US"/>
        </w:rPr>
        <w:t>По видове регистрираните икономически престъпления се разпределят както следва: престъпления против стопанството, финансовата, данъчната и осигурителната система – 6616 (6097 за 2016 г.); документни престъпления – 3358 (3337 за 2016 г.); присвояване – 269 (284 за 2016 г.); престъпления против дейността на държавни органи и обществени организации – 166 (179 за 2016 г.) и други.</w:t>
      </w:r>
    </w:p>
    <w:p w:rsidR="002B5440" w:rsidRPr="00056DFA" w:rsidRDefault="002B5440" w:rsidP="00056DFA">
      <w:pPr>
        <w:tabs>
          <w:tab w:val="num" w:pos="1080"/>
        </w:tabs>
        <w:spacing w:before="0" w:after="0"/>
        <w:jc w:val="both"/>
        <w:rPr>
          <w:sz w:val="24"/>
          <w:szCs w:val="24"/>
        </w:rPr>
      </w:pPr>
      <w:r w:rsidRPr="00056DFA">
        <w:rPr>
          <w:bCs/>
          <w:sz w:val="24"/>
          <w:szCs w:val="24"/>
          <w:lang w:eastAsia="en-US"/>
        </w:rPr>
        <w:t xml:space="preserve">В структурите на МВР са разследвани общо 181 545 досъдебни производства </w:t>
      </w:r>
      <w:r w:rsidRPr="00056DFA">
        <w:rPr>
          <w:bCs/>
          <w:sz w:val="24"/>
          <w:szCs w:val="24"/>
          <w:lang w:val="ru-RU" w:eastAsia="en-US"/>
        </w:rPr>
        <w:t>(</w:t>
      </w:r>
      <w:r w:rsidRPr="00056DFA">
        <w:rPr>
          <w:bCs/>
          <w:sz w:val="24"/>
          <w:szCs w:val="24"/>
          <w:lang w:eastAsia="en-US"/>
        </w:rPr>
        <w:t>ДП</w:t>
      </w:r>
      <w:r w:rsidRPr="00056DFA">
        <w:rPr>
          <w:bCs/>
          <w:sz w:val="24"/>
          <w:szCs w:val="24"/>
          <w:lang w:val="ru-RU" w:eastAsia="en-US"/>
        </w:rPr>
        <w:t>)</w:t>
      </w:r>
      <w:r w:rsidRPr="00056DFA">
        <w:rPr>
          <w:bCs/>
          <w:sz w:val="24"/>
          <w:szCs w:val="24"/>
          <w:lang w:eastAsia="en-US"/>
        </w:rPr>
        <w:t xml:space="preserve">, от които 162 965 по общия ред, 17 278 бързи производства и 1302 незабавни производства. В сравнение с 2016 г. се отчита значително увеличение на общия брой разследвани ДП – с 9451. Общо приключени и изпратени в прокуратурата са 143 010 ДП, от които 45 138 са приключени с обвинително мнение, 37 821 с мнение за прекратяване на наказателното производство и 60 051 с мнение за спиране на наказателното производство. В сравнение с предходната година, през 2017 г. в структурите на МВР общо приключените и изпратени в прокуратурата ДП с мнение за повдигане на обвинение с обвинителен акт са 3213 повече, с мнение за прекратяване на наказателното  производство – 4091 повече и с мнение за спиране на наказателното производство – 2366 по-малко. </w:t>
      </w:r>
      <w:r w:rsidRPr="00056DFA">
        <w:rPr>
          <w:sz w:val="24"/>
          <w:szCs w:val="24"/>
        </w:rPr>
        <w:t>Върнати от прокуратурата са 4613 досъдебни производства.</w:t>
      </w:r>
    </w:p>
    <w:p w:rsidR="002B5440" w:rsidRPr="00D4695A" w:rsidRDefault="002B5440" w:rsidP="00056DFA">
      <w:pPr>
        <w:spacing w:before="0" w:after="0"/>
        <w:jc w:val="both"/>
        <w:rPr>
          <w:i/>
          <w:sz w:val="24"/>
          <w:szCs w:val="24"/>
          <w:u w:val="single"/>
        </w:rPr>
      </w:pPr>
      <w:r w:rsidRPr="00D4695A">
        <w:rPr>
          <w:i/>
          <w:sz w:val="24"/>
          <w:szCs w:val="24"/>
          <w:u w:val="single"/>
        </w:rPr>
        <w:t>Опазване на обществения ред</w:t>
      </w:r>
    </w:p>
    <w:p w:rsidR="002B5440" w:rsidRPr="00056DFA" w:rsidRDefault="002B5440" w:rsidP="00056DFA">
      <w:pPr>
        <w:widowControl w:val="0"/>
        <w:autoSpaceDE w:val="0"/>
        <w:autoSpaceDN w:val="0"/>
        <w:adjustRightInd w:val="0"/>
        <w:spacing w:before="0" w:after="0"/>
        <w:jc w:val="both"/>
        <w:rPr>
          <w:sz w:val="24"/>
          <w:szCs w:val="24"/>
        </w:rPr>
      </w:pPr>
      <w:r w:rsidRPr="00056DFA">
        <w:rPr>
          <w:sz w:val="24"/>
          <w:szCs w:val="24"/>
        </w:rPr>
        <w:t xml:space="preserve">Създадена е организация на дейността на териториалните структури по опазване на обществения ред и противодействие на престъпността, в курортните комплекси и селища в страната, през туристическите сезони. Целта е гарантиране на сигурността на българските и чуждестранни туристи. </w:t>
      </w:r>
    </w:p>
    <w:p w:rsidR="002B5440" w:rsidRPr="00056DFA" w:rsidRDefault="002B5440" w:rsidP="00056DFA">
      <w:pPr>
        <w:widowControl w:val="0"/>
        <w:autoSpaceDE w:val="0"/>
        <w:autoSpaceDN w:val="0"/>
        <w:adjustRightInd w:val="0"/>
        <w:spacing w:before="0" w:after="0"/>
        <w:jc w:val="both"/>
        <w:rPr>
          <w:sz w:val="24"/>
          <w:szCs w:val="24"/>
        </w:rPr>
      </w:pPr>
      <w:r w:rsidRPr="00056DFA">
        <w:rPr>
          <w:bCs/>
          <w:sz w:val="24"/>
          <w:szCs w:val="24"/>
        </w:rPr>
        <w:t>Утвърдена е и практиката за сформиране на съвместни наряди с полицейски служители от държави членки на Европейския съюз з</w:t>
      </w:r>
      <w:r w:rsidRPr="00056DFA">
        <w:rPr>
          <w:sz w:val="24"/>
          <w:szCs w:val="24"/>
        </w:rPr>
        <w:t xml:space="preserve">а гарантиране на обществения ред на територията на летните туристически курорти. Осъществена е съвместна патрулно-постова дейност с румънски, чешки и полски полицейски служители на територията на ОДМВР Бургас, Варна и Добрич. Продължи осъществяването на съвместна патрулно-постова дейност с румънски и гръцки полицейски служители на територията на община Банско. </w:t>
      </w:r>
    </w:p>
    <w:p w:rsidR="002B5440" w:rsidRPr="00056DFA" w:rsidRDefault="002B5440" w:rsidP="00056DFA">
      <w:pPr>
        <w:widowControl w:val="0"/>
        <w:autoSpaceDE w:val="0"/>
        <w:autoSpaceDN w:val="0"/>
        <w:adjustRightInd w:val="0"/>
        <w:spacing w:before="0" w:after="0"/>
        <w:jc w:val="both"/>
        <w:rPr>
          <w:sz w:val="24"/>
          <w:szCs w:val="24"/>
        </w:rPr>
      </w:pPr>
      <w:r w:rsidRPr="00056DFA">
        <w:rPr>
          <w:sz w:val="24"/>
          <w:szCs w:val="24"/>
        </w:rPr>
        <w:t xml:space="preserve">По време на активния зимен туристически сезон през 2017 г. е създадена и организация, за съвместни контролни действия между органи по приходите към Националната агенция за приходите </w:t>
      </w:r>
      <w:r w:rsidRPr="00056DFA">
        <w:rPr>
          <w:sz w:val="24"/>
          <w:szCs w:val="24"/>
          <w:lang w:val="ru-RU"/>
        </w:rPr>
        <w:t>(</w:t>
      </w:r>
      <w:r w:rsidRPr="00056DFA">
        <w:rPr>
          <w:sz w:val="24"/>
          <w:szCs w:val="24"/>
        </w:rPr>
        <w:t>НАП</w:t>
      </w:r>
      <w:r w:rsidRPr="00056DFA">
        <w:rPr>
          <w:sz w:val="24"/>
          <w:szCs w:val="24"/>
          <w:lang w:val="ru-RU"/>
        </w:rPr>
        <w:t>)</w:t>
      </w:r>
      <w:r w:rsidRPr="00056DFA">
        <w:rPr>
          <w:sz w:val="24"/>
          <w:szCs w:val="24"/>
        </w:rPr>
        <w:t xml:space="preserve"> и служители на МВР. През летния сезон български полицейски служители участваха в съвместна патрулно-постова дейност на територията на Северна Гърция. </w:t>
      </w:r>
    </w:p>
    <w:p w:rsidR="002B5440" w:rsidRPr="00056DFA" w:rsidRDefault="002B5440" w:rsidP="00056DFA">
      <w:pPr>
        <w:widowControl w:val="0"/>
        <w:autoSpaceDE w:val="0"/>
        <w:autoSpaceDN w:val="0"/>
        <w:adjustRightInd w:val="0"/>
        <w:spacing w:before="0" w:after="0"/>
        <w:jc w:val="both"/>
        <w:rPr>
          <w:sz w:val="24"/>
          <w:szCs w:val="24"/>
        </w:rPr>
      </w:pPr>
      <w:r w:rsidRPr="00056DFA">
        <w:rPr>
          <w:sz w:val="24"/>
          <w:szCs w:val="24"/>
        </w:rPr>
        <w:t xml:space="preserve">Създадена е организация за опазване на селскостопанската продукция-реколта 2017 г. </w:t>
      </w:r>
    </w:p>
    <w:p w:rsidR="002B5440" w:rsidRPr="00056DFA" w:rsidRDefault="002B5440" w:rsidP="00056DFA">
      <w:pPr>
        <w:widowControl w:val="0"/>
        <w:autoSpaceDE w:val="0"/>
        <w:autoSpaceDN w:val="0"/>
        <w:adjustRightInd w:val="0"/>
        <w:spacing w:before="0" w:after="0"/>
        <w:jc w:val="both"/>
        <w:rPr>
          <w:sz w:val="24"/>
          <w:szCs w:val="24"/>
        </w:rPr>
      </w:pPr>
      <w:r w:rsidRPr="00056DFA">
        <w:rPr>
          <w:bCs/>
          <w:iCs/>
          <w:sz w:val="24"/>
          <w:szCs w:val="24"/>
        </w:rPr>
        <w:t xml:space="preserve">МВР осигури сигурността и опазването на обществения ред при подготовката и произвеждането на избори за Народно събрание на 26 март 2017 г. </w:t>
      </w:r>
      <w:r w:rsidRPr="00056DFA">
        <w:rPr>
          <w:sz w:val="24"/>
          <w:szCs w:val="24"/>
        </w:rPr>
        <w:t xml:space="preserve">Не са допуснати </w:t>
      </w:r>
      <w:r w:rsidRPr="00056DFA">
        <w:rPr>
          <w:bCs/>
          <w:iCs/>
          <w:sz w:val="24"/>
          <w:szCs w:val="24"/>
        </w:rPr>
        <w:t>инциденти и правонарушения, свързани с политическите права на гражданите.</w:t>
      </w:r>
    </w:p>
    <w:p w:rsidR="002B5440" w:rsidRPr="00056DFA" w:rsidRDefault="002B5440" w:rsidP="00056DFA">
      <w:pPr>
        <w:widowControl w:val="0"/>
        <w:autoSpaceDE w:val="0"/>
        <w:autoSpaceDN w:val="0"/>
        <w:adjustRightInd w:val="0"/>
        <w:spacing w:before="0" w:after="0"/>
        <w:jc w:val="both"/>
        <w:rPr>
          <w:bCs/>
          <w:i/>
          <w:sz w:val="24"/>
          <w:szCs w:val="24"/>
          <w:u w:val="single"/>
        </w:rPr>
      </w:pPr>
      <w:r w:rsidRPr="00056DFA">
        <w:rPr>
          <w:bCs/>
          <w:i/>
          <w:sz w:val="24"/>
          <w:szCs w:val="24"/>
          <w:u w:val="single"/>
        </w:rPr>
        <w:t>Пътна безопасност</w:t>
      </w:r>
    </w:p>
    <w:p w:rsidR="002B5440" w:rsidRPr="00056DFA" w:rsidRDefault="002B5440" w:rsidP="00056DFA">
      <w:pPr>
        <w:spacing w:before="0" w:after="0"/>
        <w:jc w:val="both"/>
        <w:rPr>
          <w:sz w:val="24"/>
          <w:szCs w:val="24"/>
          <w:lang w:val="ru-RU"/>
        </w:rPr>
      </w:pPr>
      <w:r w:rsidRPr="00056DFA">
        <w:rPr>
          <w:bCs/>
          <w:sz w:val="24"/>
          <w:szCs w:val="24"/>
        </w:rPr>
        <w:t xml:space="preserve">Регистрирани са </w:t>
      </w:r>
      <w:r w:rsidRPr="00056DFA">
        <w:rPr>
          <w:sz w:val="24"/>
          <w:szCs w:val="24"/>
        </w:rPr>
        <w:t>6890 тежки ПТП, при които са загинали 682 и са ранени 8681 лица, което спрямо 2016 г. показва намаление на тежките ПТП с 514, или с 6,9 %, на загиналите с 26, или с 3,7 % и на ранените – с 693, или със 7,4%.</w:t>
      </w:r>
    </w:p>
    <w:p w:rsidR="002B5440" w:rsidRPr="00056DFA" w:rsidRDefault="002B5440" w:rsidP="00056DFA">
      <w:pPr>
        <w:spacing w:before="0" w:after="0"/>
        <w:jc w:val="both"/>
        <w:rPr>
          <w:bCs/>
          <w:iCs/>
          <w:sz w:val="24"/>
          <w:szCs w:val="24"/>
        </w:rPr>
      </w:pPr>
      <w:r w:rsidRPr="00056DFA">
        <w:rPr>
          <w:noProof/>
          <w:sz w:val="24"/>
          <w:szCs w:val="24"/>
        </w:rPr>
        <w:t>Вследствие засилената контролна и административнонаказателна дейност се увеличава броят на установените нарушения на правилата за движение по пътищата и съставените обикновени и електронни фишове.</w:t>
      </w:r>
    </w:p>
    <w:p w:rsidR="002B5440" w:rsidRPr="00056DFA" w:rsidRDefault="002B5440" w:rsidP="00056DFA">
      <w:pPr>
        <w:spacing w:before="0" w:after="0"/>
        <w:jc w:val="both"/>
        <w:rPr>
          <w:sz w:val="24"/>
          <w:szCs w:val="24"/>
        </w:rPr>
      </w:pPr>
      <w:r w:rsidRPr="00056DFA">
        <w:rPr>
          <w:sz w:val="24"/>
          <w:szCs w:val="24"/>
        </w:rPr>
        <w:lastRenderedPageBreak/>
        <w:t xml:space="preserve">В секторите „Пътна полиция“ на ОДМВР са получени 278 нови автомобила, оборудвани с „Интегрирана система за мобилно </w:t>
      </w:r>
      <w:proofErr w:type="spellStart"/>
      <w:r w:rsidRPr="00056DFA">
        <w:rPr>
          <w:sz w:val="24"/>
          <w:szCs w:val="24"/>
        </w:rPr>
        <w:t>видеонаблюдение</w:t>
      </w:r>
      <w:proofErr w:type="spellEnd"/>
      <w:r w:rsidRPr="00056DFA">
        <w:rPr>
          <w:sz w:val="24"/>
          <w:szCs w:val="24"/>
        </w:rPr>
        <w:t>“ за осъществяване на пътен контрол и аудио-визуален запис на контролната дейност. Реализирана е интеграция на</w:t>
      </w:r>
      <w:r w:rsidRPr="00056DFA">
        <w:rPr>
          <w:b/>
          <w:bCs/>
          <w:sz w:val="24"/>
          <w:szCs w:val="24"/>
        </w:rPr>
        <w:t xml:space="preserve"> </w:t>
      </w:r>
      <w:r w:rsidRPr="00056DFA">
        <w:rPr>
          <w:sz w:val="24"/>
          <w:szCs w:val="24"/>
        </w:rPr>
        <w:t>АИС-АНД</w:t>
      </w:r>
      <w:r w:rsidRPr="00056DFA">
        <w:rPr>
          <w:b/>
          <w:bCs/>
          <w:sz w:val="24"/>
          <w:szCs w:val="24"/>
        </w:rPr>
        <w:t xml:space="preserve"> </w:t>
      </w:r>
      <w:r w:rsidRPr="00056DFA">
        <w:rPr>
          <w:sz w:val="24"/>
          <w:szCs w:val="24"/>
        </w:rPr>
        <w:t>с информационната система „Събиране“ на Национална агенция за приходите. Продължава работата по изграждането на централизирана система за обработка на нарушенията от автоматизирани технически средства и системи – Единен център за обработка на нарушенията.</w:t>
      </w:r>
    </w:p>
    <w:p w:rsidR="002B5440" w:rsidRPr="00056DFA" w:rsidRDefault="00C77253" w:rsidP="002A1989">
      <w:pPr>
        <w:keepNext/>
        <w:shd w:val="clear" w:color="auto" w:fill="FFFFFF"/>
        <w:tabs>
          <w:tab w:val="left" w:pos="567"/>
          <w:tab w:val="left" w:leader="dot" w:pos="1771"/>
          <w:tab w:val="left" w:leader="dot" w:pos="2880"/>
        </w:tabs>
        <w:snapToGrid w:val="0"/>
        <w:spacing w:before="0" w:after="0"/>
        <w:jc w:val="both"/>
        <w:rPr>
          <w:b/>
          <w:sz w:val="24"/>
          <w:szCs w:val="24"/>
        </w:rPr>
      </w:pPr>
      <w:r w:rsidRPr="00056DFA">
        <w:rPr>
          <w:b/>
          <w:sz w:val="24"/>
          <w:szCs w:val="24"/>
        </w:rPr>
        <w:t>Политика в областта на защитата на границите и контрол на миграционните процеси</w:t>
      </w:r>
    </w:p>
    <w:p w:rsidR="002B5440" w:rsidRPr="00056DFA" w:rsidRDefault="002B5440" w:rsidP="002A1989">
      <w:pPr>
        <w:tabs>
          <w:tab w:val="left" w:pos="0"/>
        </w:tabs>
        <w:spacing w:before="0" w:after="0"/>
        <w:jc w:val="both"/>
        <w:rPr>
          <w:sz w:val="24"/>
          <w:szCs w:val="24"/>
        </w:rPr>
      </w:pPr>
      <w:r w:rsidRPr="00056DFA">
        <w:rPr>
          <w:bCs/>
          <w:sz w:val="24"/>
          <w:szCs w:val="24"/>
        </w:rPr>
        <w:t>За изпълнение на целите на политиката е обособена:</w:t>
      </w:r>
    </w:p>
    <w:p w:rsidR="002B5440" w:rsidRPr="00056DFA" w:rsidRDefault="006818F0" w:rsidP="002A1989">
      <w:pPr>
        <w:tabs>
          <w:tab w:val="left" w:pos="540"/>
          <w:tab w:val="left" w:pos="720"/>
        </w:tabs>
        <w:spacing w:before="0" w:after="0"/>
        <w:jc w:val="both"/>
        <w:rPr>
          <w:b/>
          <w:sz w:val="24"/>
          <w:szCs w:val="24"/>
        </w:rPr>
      </w:pPr>
      <w:r w:rsidRPr="003A4B70">
        <w:rPr>
          <w:b/>
          <w:sz w:val="24"/>
          <w:szCs w:val="24"/>
        </w:rPr>
        <w:t>Бюджетна програма</w:t>
      </w:r>
      <w:r w:rsidR="002B5440" w:rsidRPr="003A4B70">
        <w:rPr>
          <w:b/>
          <w:caps/>
          <w:sz w:val="24"/>
          <w:szCs w:val="24"/>
        </w:rPr>
        <w:t>:</w:t>
      </w:r>
      <w:r w:rsidR="002B5440" w:rsidRPr="003A4B70">
        <w:rPr>
          <w:sz w:val="24"/>
          <w:szCs w:val="24"/>
        </w:rPr>
        <w:t xml:space="preserve"> „</w:t>
      </w:r>
      <w:r w:rsidR="002B5440" w:rsidRPr="003A4B70">
        <w:rPr>
          <w:b/>
          <w:sz w:val="24"/>
          <w:szCs w:val="24"/>
        </w:rPr>
        <w:t>Граничен контрол, охрана на държавната граница, регулиране</w:t>
      </w:r>
      <w:r w:rsidR="002B5440" w:rsidRPr="00056DFA">
        <w:rPr>
          <w:b/>
          <w:sz w:val="24"/>
          <w:szCs w:val="24"/>
        </w:rPr>
        <w:t xml:space="preserve"> и контрол на миграционните процеси”.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181.5  млн.лв., по уточнен план същите възлизат на 180.4 млн.лв., а по отчет са 172.8 млн.лв.</w:t>
      </w:r>
    </w:p>
    <w:p w:rsidR="002B5440" w:rsidRPr="00056DFA" w:rsidRDefault="002B5440" w:rsidP="002A1989">
      <w:pPr>
        <w:tabs>
          <w:tab w:val="left" w:pos="0"/>
        </w:tabs>
        <w:spacing w:before="0" w:after="0"/>
        <w:jc w:val="both"/>
        <w:rPr>
          <w:i/>
          <w:sz w:val="24"/>
          <w:szCs w:val="24"/>
          <w:u w:val="single"/>
        </w:rPr>
      </w:pPr>
      <w:r w:rsidRPr="00056DFA">
        <w:rPr>
          <w:i/>
          <w:sz w:val="24"/>
          <w:szCs w:val="24"/>
          <w:u w:val="single"/>
        </w:rPr>
        <w:t>Граничен контрол</w:t>
      </w:r>
    </w:p>
    <w:p w:rsidR="002B5440" w:rsidRPr="00056DFA" w:rsidRDefault="002B5440" w:rsidP="002A1989">
      <w:pPr>
        <w:tabs>
          <w:tab w:val="left" w:pos="90"/>
        </w:tabs>
        <w:spacing w:before="0" w:after="0"/>
        <w:jc w:val="both"/>
        <w:rPr>
          <w:sz w:val="24"/>
          <w:szCs w:val="24"/>
        </w:rPr>
      </w:pPr>
      <w:r w:rsidRPr="00056DFA">
        <w:rPr>
          <w:sz w:val="24"/>
          <w:szCs w:val="24"/>
        </w:rPr>
        <w:t>През 2017 г. дейността на ГДГП се осъществява в условията на намаляваща активност на миграционния натиск по границите на Република България. Към момента се наблюдава значително намаляване на миграционния натиск след „затварянето” на Балканския маршрут, но Р България продължава да поддържа готовност за своевременна реакция при установяване на нови тенденции или изместване на маршрутите на придвижване.</w:t>
      </w:r>
    </w:p>
    <w:p w:rsidR="002B5440" w:rsidRPr="00056DFA" w:rsidRDefault="002B5440" w:rsidP="002A1989">
      <w:pPr>
        <w:tabs>
          <w:tab w:val="left" w:pos="709"/>
        </w:tabs>
        <w:spacing w:before="0" w:after="0"/>
        <w:jc w:val="both"/>
        <w:rPr>
          <w:sz w:val="24"/>
          <w:szCs w:val="24"/>
          <w:lang w:eastAsia="pl-PL"/>
        </w:rPr>
      </w:pPr>
      <w:r w:rsidRPr="00056DFA">
        <w:rPr>
          <w:sz w:val="24"/>
          <w:szCs w:val="24"/>
          <w:lang w:eastAsia="pl-PL"/>
        </w:rPr>
        <w:t xml:space="preserve">Основните усилия на МВР и приоритетно на ГДГП са насочени към овладяване на бежанския поток по българо-турската граница, както и за ограничаване в максимална степен процесите на вторично придвижване през българо-сръбската граница към страните от Централна и Западна Европа. </w:t>
      </w:r>
    </w:p>
    <w:p w:rsidR="002B5440" w:rsidRPr="00056DFA" w:rsidRDefault="002B5440" w:rsidP="002A1989">
      <w:pPr>
        <w:tabs>
          <w:tab w:val="left" w:pos="540"/>
          <w:tab w:val="left" w:pos="720"/>
        </w:tabs>
        <w:spacing w:before="0" w:after="0"/>
        <w:jc w:val="both"/>
        <w:rPr>
          <w:sz w:val="24"/>
          <w:szCs w:val="24"/>
        </w:rPr>
      </w:pPr>
      <w:r w:rsidRPr="00056DFA">
        <w:rPr>
          <w:sz w:val="24"/>
          <w:szCs w:val="24"/>
        </w:rPr>
        <w:t>Предвид очакванията за увеличаване на незаконно преминаващите държавната граница с Р Турция чужденци, продължава стартиралата през 2013 г. специализирана</w:t>
      </w:r>
      <w:r w:rsidRPr="00056DFA">
        <w:rPr>
          <w:sz w:val="24"/>
          <w:szCs w:val="24"/>
          <w:lang w:val="ru-RU"/>
        </w:rPr>
        <w:t xml:space="preserve"> </w:t>
      </w:r>
      <w:r w:rsidRPr="00056DFA">
        <w:rPr>
          <w:sz w:val="24"/>
          <w:szCs w:val="24"/>
        </w:rPr>
        <w:t>операция с участие на сили и средства от ГДГП и военнослужещи от военните формирования на МО.</w:t>
      </w:r>
    </w:p>
    <w:p w:rsidR="002B5440" w:rsidRPr="00056DFA" w:rsidRDefault="002B5440" w:rsidP="002A1989">
      <w:pPr>
        <w:tabs>
          <w:tab w:val="left" w:pos="0"/>
        </w:tabs>
        <w:spacing w:before="0" w:after="0"/>
        <w:jc w:val="both"/>
        <w:rPr>
          <w:sz w:val="24"/>
          <w:szCs w:val="24"/>
          <w:lang w:eastAsia="pl-PL"/>
        </w:rPr>
      </w:pPr>
      <w:r w:rsidRPr="00056DFA">
        <w:rPr>
          <w:sz w:val="24"/>
          <w:szCs w:val="24"/>
          <w:lang w:eastAsia="pl-PL"/>
        </w:rPr>
        <w:t>През 2017 г. н</w:t>
      </w:r>
      <w:r w:rsidRPr="00056DFA">
        <w:rPr>
          <w:sz w:val="24"/>
          <w:szCs w:val="24"/>
          <w:lang w:val="pl-PL" w:eastAsia="pl-PL"/>
        </w:rPr>
        <w:t xml:space="preserve">е са допуснати да влязат на територията на страната </w:t>
      </w:r>
      <w:r w:rsidRPr="00056DFA">
        <w:rPr>
          <w:sz w:val="24"/>
          <w:szCs w:val="24"/>
          <w:lang w:eastAsia="pl-PL"/>
        </w:rPr>
        <w:t>2998</w:t>
      </w:r>
      <w:r w:rsidRPr="00056DFA">
        <w:rPr>
          <w:sz w:val="24"/>
          <w:szCs w:val="24"/>
          <w:lang w:val="pl-PL" w:eastAsia="pl-PL"/>
        </w:rPr>
        <w:t xml:space="preserve"> лица, от които </w:t>
      </w:r>
      <w:r w:rsidRPr="00056DFA">
        <w:rPr>
          <w:sz w:val="24"/>
          <w:szCs w:val="24"/>
          <w:lang w:eastAsia="pl-PL"/>
        </w:rPr>
        <w:t>2868</w:t>
      </w:r>
      <w:r w:rsidRPr="00056DFA">
        <w:rPr>
          <w:sz w:val="24"/>
          <w:szCs w:val="24"/>
          <w:lang w:val="pl-PL" w:eastAsia="pl-PL"/>
        </w:rPr>
        <w:t xml:space="preserve"> са граждани на трети страни.</w:t>
      </w:r>
      <w:r w:rsidRPr="00056DFA">
        <w:rPr>
          <w:sz w:val="24"/>
          <w:szCs w:val="24"/>
          <w:lang w:eastAsia="pl-PL"/>
        </w:rPr>
        <w:t xml:space="preserve"> През периода по официален път от съседни гранични власти са върнати на Р България </w:t>
      </w:r>
      <w:r w:rsidRPr="00056DFA">
        <w:rPr>
          <w:sz w:val="24"/>
          <w:szCs w:val="24"/>
          <w:lang w:val="ru-RU" w:eastAsia="pl-PL"/>
        </w:rPr>
        <w:t>54</w:t>
      </w:r>
      <w:r w:rsidRPr="00056DFA">
        <w:rPr>
          <w:sz w:val="24"/>
          <w:szCs w:val="24"/>
          <w:lang w:eastAsia="pl-PL"/>
        </w:rPr>
        <w:t xml:space="preserve"> лица. Постъпили са и са обработени 630 входящи молби по нормалната процедура за обратно приемане на незаконно пребиваващи лица (</w:t>
      </w:r>
      <w:proofErr w:type="spellStart"/>
      <w:r w:rsidRPr="00056DFA">
        <w:rPr>
          <w:sz w:val="24"/>
          <w:szCs w:val="24"/>
          <w:lang w:eastAsia="pl-PL"/>
        </w:rPr>
        <w:t>реадмисия</w:t>
      </w:r>
      <w:proofErr w:type="spellEnd"/>
      <w:r w:rsidRPr="00056DFA">
        <w:rPr>
          <w:sz w:val="24"/>
          <w:szCs w:val="24"/>
          <w:lang w:eastAsia="pl-PL"/>
        </w:rPr>
        <w:t xml:space="preserve">). В изпълнение на </w:t>
      </w:r>
      <w:proofErr w:type="spellStart"/>
      <w:r w:rsidRPr="00056DFA">
        <w:rPr>
          <w:sz w:val="24"/>
          <w:szCs w:val="24"/>
          <w:lang w:eastAsia="pl-PL"/>
        </w:rPr>
        <w:t>реадмисионните</w:t>
      </w:r>
      <w:proofErr w:type="spellEnd"/>
      <w:r w:rsidRPr="00056DFA">
        <w:rPr>
          <w:sz w:val="24"/>
          <w:szCs w:val="24"/>
          <w:lang w:eastAsia="pl-PL"/>
        </w:rPr>
        <w:t xml:space="preserve"> споразумения по нормалната процедура са върнати в Р България, съответно 124 чужденци. </w:t>
      </w:r>
    </w:p>
    <w:p w:rsidR="002B5440" w:rsidRPr="00056DFA" w:rsidRDefault="002B5440" w:rsidP="002A1989">
      <w:pPr>
        <w:tabs>
          <w:tab w:val="left" w:pos="0"/>
        </w:tabs>
        <w:spacing w:before="0" w:after="0"/>
        <w:jc w:val="both"/>
        <w:rPr>
          <w:sz w:val="24"/>
          <w:szCs w:val="24"/>
          <w:lang w:eastAsia="pl-PL"/>
        </w:rPr>
      </w:pPr>
      <w:r w:rsidRPr="00056DFA">
        <w:rPr>
          <w:sz w:val="24"/>
          <w:szCs w:val="24"/>
          <w:lang w:eastAsia="pl-PL"/>
        </w:rPr>
        <w:t xml:space="preserve">Обявените за общодържавно издирване лица са част от активния контингент, пряко влияещ на оперативната обстановка на държавната граница на Р България. На ГКПП са установени </w:t>
      </w:r>
      <w:r w:rsidRPr="00056DFA">
        <w:rPr>
          <w:sz w:val="24"/>
          <w:szCs w:val="24"/>
          <w:lang w:val="ru-RU" w:eastAsia="pl-PL"/>
        </w:rPr>
        <w:t>9876</w:t>
      </w:r>
      <w:r w:rsidRPr="00056DFA">
        <w:rPr>
          <w:sz w:val="24"/>
          <w:szCs w:val="24"/>
          <w:lang w:eastAsia="pl-PL"/>
        </w:rPr>
        <w:t xml:space="preserve"> лица, обявени за издирване, от които </w:t>
      </w:r>
      <w:r w:rsidRPr="00056DFA">
        <w:rPr>
          <w:sz w:val="24"/>
          <w:szCs w:val="24"/>
          <w:lang w:val="ru-RU" w:eastAsia="pl-PL"/>
        </w:rPr>
        <w:t>689</w:t>
      </w:r>
      <w:r w:rsidRPr="00056DFA">
        <w:rPr>
          <w:sz w:val="24"/>
          <w:szCs w:val="24"/>
          <w:lang w:eastAsia="pl-PL"/>
        </w:rPr>
        <w:t xml:space="preserve"> са граждани на трети страни и </w:t>
      </w:r>
      <w:r w:rsidRPr="00056DFA">
        <w:rPr>
          <w:sz w:val="24"/>
          <w:szCs w:val="24"/>
          <w:lang w:val="ru-RU" w:eastAsia="pl-PL"/>
        </w:rPr>
        <w:t>9187</w:t>
      </w:r>
      <w:r w:rsidRPr="00056DFA">
        <w:rPr>
          <w:sz w:val="24"/>
          <w:szCs w:val="24"/>
          <w:lang w:eastAsia="pl-PL"/>
        </w:rPr>
        <w:t xml:space="preserve"> са европейски и български граждани. От общия брой – </w:t>
      </w:r>
      <w:r w:rsidRPr="00056DFA">
        <w:rPr>
          <w:sz w:val="24"/>
          <w:szCs w:val="24"/>
          <w:lang w:val="ru-RU" w:eastAsia="pl-PL"/>
        </w:rPr>
        <w:t>483</w:t>
      </w:r>
      <w:r w:rsidRPr="00056DFA">
        <w:rPr>
          <w:sz w:val="24"/>
          <w:szCs w:val="24"/>
          <w:lang w:eastAsia="pl-PL"/>
        </w:rPr>
        <w:t xml:space="preserve"> лица са обявени за издирване от ШИС и </w:t>
      </w:r>
      <w:r w:rsidRPr="00056DFA">
        <w:rPr>
          <w:sz w:val="24"/>
          <w:szCs w:val="24"/>
          <w:lang w:val="ru-RU" w:eastAsia="pl-PL"/>
        </w:rPr>
        <w:t>93</w:t>
      </w:r>
      <w:r w:rsidRPr="00056DFA">
        <w:rPr>
          <w:sz w:val="24"/>
          <w:szCs w:val="24"/>
          <w:lang w:eastAsia="pl-PL"/>
        </w:rPr>
        <w:t xml:space="preserve"> лица от Интерпол. От всички обявени за издирване лица – </w:t>
      </w:r>
      <w:r w:rsidRPr="00056DFA">
        <w:rPr>
          <w:sz w:val="24"/>
          <w:szCs w:val="24"/>
          <w:lang w:val="ru-RU" w:eastAsia="pl-PL"/>
        </w:rPr>
        <w:t>1171</w:t>
      </w:r>
      <w:r w:rsidRPr="00056DFA">
        <w:rPr>
          <w:sz w:val="24"/>
          <w:szCs w:val="24"/>
          <w:lang w:eastAsia="pl-PL"/>
        </w:rPr>
        <w:t xml:space="preserve"> са задържани и предадени на издирващия ги орган. </w:t>
      </w:r>
    </w:p>
    <w:p w:rsidR="002B5440" w:rsidRPr="00056DFA" w:rsidRDefault="002B5440" w:rsidP="002A1989">
      <w:pPr>
        <w:tabs>
          <w:tab w:val="left" w:pos="0"/>
        </w:tabs>
        <w:spacing w:before="0" w:after="0"/>
        <w:jc w:val="both"/>
        <w:rPr>
          <w:sz w:val="24"/>
          <w:szCs w:val="24"/>
          <w:lang w:eastAsia="pl-PL"/>
        </w:rPr>
      </w:pPr>
      <w:r w:rsidRPr="00056DFA">
        <w:rPr>
          <w:sz w:val="24"/>
          <w:szCs w:val="24"/>
          <w:lang w:eastAsia="pl-PL"/>
        </w:rPr>
        <w:t xml:space="preserve">Установени са </w:t>
      </w:r>
      <w:r w:rsidRPr="00056DFA">
        <w:rPr>
          <w:sz w:val="24"/>
          <w:szCs w:val="24"/>
          <w:lang w:val="ru-RU" w:eastAsia="pl-PL"/>
        </w:rPr>
        <w:t>182</w:t>
      </w:r>
      <w:r w:rsidRPr="00056DFA">
        <w:rPr>
          <w:sz w:val="24"/>
          <w:szCs w:val="24"/>
          <w:lang w:eastAsia="pl-PL"/>
        </w:rPr>
        <w:t xml:space="preserve"> МПС, обявени за издирване, като </w:t>
      </w:r>
      <w:r w:rsidRPr="00056DFA">
        <w:rPr>
          <w:sz w:val="24"/>
          <w:szCs w:val="24"/>
          <w:lang w:val="ru-RU" w:eastAsia="pl-PL"/>
        </w:rPr>
        <w:t>127</w:t>
      </w:r>
      <w:r w:rsidRPr="00056DFA">
        <w:rPr>
          <w:sz w:val="24"/>
          <w:szCs w:val="24"/>
          <w:lang w:eastAsia="pl-PL"/>
        </w:rPr>
        <w:t xml:space="preserve"> от тях са задържани. От общия брой установени МПС – </w:t>
      </w:r>
      <w:r w:rsidRPr="00056DFA">
        <w:rPr>
          <w:sz w:val="24"/>
          <w:szCs w:val="24"/>
          <w:lang w:val="ru-RU" w:eastAsia="pl-PL"/>
        </w:rPr>
        <w:t>172</w:t>
      </w:r>
      <w:r w:rsidRPr="00056DFA">
        <w:rPr>
          <w:sz w:val="24"/>
          <w:szCs w:val="24"/>
          <w:lang w:eastAsia="pl-PL"/>
        </w:rPr>
        <w:t xml:space="preserve"> са обявени за издирване от ШИС и </w:t>
      </w:r>
      <w:r w:rsidRPr="00056DFA">
        <w:rPr>
          <w:sz w:val="24"/>
          <w:szCs w:val="24"/>
          <w:lang w:val="ru-RU" w:eastAsia="pl-PL"/>
        </w:rPr>
        <w:t>25</w:t>
      </w:r>
      <w:r w:rsidRPr="00056DFA">
        <w:rPr>
          <w:sz w:val="24"/>
          <w:szCs w:val="24"/>
          <w:lang w:eastAsia="pl-PL"/>
        </w:rPr>
        <w:t xml:space="preserve"> от Интерпол.</w:t>
      </w:r>
    </w:p>
    <w:p w:rsidR="002B5440" w:rsidRPr="00056DFA" w:rsidRDefault="002B5440" w:rsidP="002A1989">
      <w:pPr>
        <w:tabs>
          <w:tab w:val="left" w:pos="0"/>
        </w:tabs>
        <w:spacing w:before="0" w:after="0"/>
        <w:jc w:val="both"/>
        <w:rPr>
          <w:i/>
          <w:sz w:val="24"/>
          <w:szCs w:val="24"/>
          <w:u w:val="single"/>
        </w:rPr>
      </w:pPr>
      <w:r w:rsidRPr="00056DFA">
        <w:rPr>
          <w:i/>
          <w:sz w:val="24"/>
          <w:szCs w:val="24"/>
          <w:u w:val="single"/>
        </w:rPr>
        <w:t>Противодействие на миграционния натиск</w:t>
      </w:r>
    </w:p>
    <w:p w:rsidR="002B5440" w:rsidRPr="00056DFA" w:rsidRDefault="002B5440" w:rsidP="002A1989">
      <w:pPr>
        <w:spacing w:before="0" w:after="0"/>
        <w:jc w:val="both"/>
        <w:rPr>
          <w:sz w:val="24"/>
          <w:szCs w:val="24"/>
        </w:rPr>
      </w:pPr>
      <w:r w:rsidRPr="00056DFA">
        <w:rPr>
          <w:sz w:val="24"/>
          <w:szCs w:val="24"/>
        </w:rPr>
        <w:t>През последните две години се отчита значително увеличение в броя на върнатите от страната чужденци, като през 2015 г. са 797 и 2016 г. са1410. Тази тенденция се запазва и през 2017 г., като от страната са върнати общо 1904 незаконно пребиваващи граждани на трети страни, което е увеличение с 40 %, в сравнение с 2016 г. През 2017 г. са върнати от Република България и 10 граждани на ЕС със заповеди, наложени от Държавна агенция „Национална сигурност“.</w:t>
      </w:r>
    </w:p>
    <w:p w:rsidR="002B5440" w:rsidRPr="00056DFA" w:rsidRDefault="002B5440" w:rsidP="002A1989">
      <w:pPr>
        <w:spacing w:before="0" w:after="0"/>
        <w:jc w:val="both"/>
        <w:rPr>
          <w:sz w:val="24"/>
          <w:szCs w:val="24"/>
        </w:rPr>
      </w:pPr>
      <w:r w:rsidRPr="00056DFA">
        <w:rPr>
          <w:sz w:val="24"/>
          <w:szCs w:val="24"/>
        </w:rPr>
        <w:lastRenderedPageBreak/>
        <w:t>През годината в затворените центрове на дирекция „Миграция“ са настанени чужденци от 51 рискови в миграционно отношение трети страни. Въпреки това се запазва очертаната от последните години тенденция в СДВНЧ да бъдат настанявани предимно граждани на Сирия, Афганистан и Ирак – 87 % от общия брой на настанените през 2017 г. чужденци.</w:t>
      </w:r>
    </w:p>
    <w:p w:rsidR="002B5440" w:rsidRPr="00056DFA" w:rsidRDefault="002B5440" w:rsidP="002A1989">
      <w:pPr>
        <w:spacing w:before="0" w:after="0"/>
        <w:jc w:val="both"/>
        <w:rPr>
          <w:sz w:val="24"/>
          <w:szCs w:val="24"/>
        </w:rPr>
      </w:pPr>
      <w:r w:rsidRPr="00056DFA">
        <w:rPr>
          <w:sz w:val="24"/>
          <w:szCs w:val="24"/>
        </w:rPr>
        <w:t>Отчитат се добри резултати в дейността по насърчаване на доброволното връщане в страна на произход, като през годината от чужденците в СДВНЧ са подадени 491 декларации за доброволно връщане, от тях 117 в СДВНЧ София и 374 в СДВНЧ Любимец. Това е предпоставка за осъществяването на ефективно изпълнение на връщането на настанените чужденци.</w:t>
      </w:r>
    </w:p>
    <w:p w:rsidR="002B5440" w:rsidRPr="00056DFA" w:rsidRDefault="002B5440" w:rsidP="002A1989">
      <w:pPr>
        <w:spacing w:before="0" w:after="0"/>
        <w:jc w:val="both"/>
        <w:rPr>
          <w:sz w:val="24"/>
          <w:szCs w:val="24"/>
        </w:rPr>
      </w:pPr>
      <w:r w:rsidRPr="00056DFA">
        <w:rPr>
          <w:sz w:val="24"/>
          <w:szCs w:val="24"/>
        </w:rPr>
        <w:t>През 2017 г., от дирекция „Миграция“, сектори и групи “Миграция” към СДВР и ОДМВР са проведени 88 специализирани полицейски операции за разкриване на незаконно пребиваващи граждани на трети страни. Извършени са 1203 проверки на хотели, 222 на частни адреси, проверени са 10 търговски обекта и 5121 обществени места.</w:t>
      </w:r>
    </w:p>
    <w:p w:rsidR="002B5440" w:rsidRPr="00056DFA" w:rsidRDefault="002B5440" w:rsidP="002A1989">
      <w:pPr>
        <w:spacing w:before="0" w:after="0"/>
        <w:jc w:val="both"/>
        <w:rPr>
          <w:sz w:val="24"/>
          <w:szCs w:val="24"/>
        </w:rPr>
      </w:pPr>
      <w:r w:rsidRPr="00056DFA">
        <w:rPr>
          <w:sz w:val="24"/>
          <w:szCs w:val="24"/>
        </w:rPr>
        <w:t>Вследствие на предприетите мерки се отчита засилен контрол, като за 2017 г. в незаконен престой във вътрешността на страната са установени 1801 незаконно пребиваващи чужденци, което е намаление с над 80 % спрямо предходната година, когато са били 9267.</w:t>
      </w:r>
    </w:p>
    <w:p w:rsidR="002B5440" w:rsidRPr="00056DFA" w:rsidRDefault="00C77253" w:rsidP="002A1989">
      <w:pPr>
        <w:spacing w:before="0" w:after="0"/>
        <w:jc w:val="both"/>
        <w:rPr>
          <w:b/>
          <w:sz w:val="24"/>
          <w:szCs w:val="24"/>
        </w:rPr>
      </w:pPr>
      <w:r w:rsidRPr="00056DFA">
        <w:rPr>
          <w:b/>
          <w:bCs/>
          <w:sz w:val="24"/>
          <w:szCs w:val="24"/>
        </w:rPr>
        <w:t xml:space="preserve">Политика в областта на </w:t>
      </w:r>
      <w:r w:rsidRPr="00056DFA">
        <w:rPr>
          <w:b/>
          <w:sz w:val="24"/>
          <w:szCs w:val="24"/>
        </w:rPr>
        <w:t>пожарната безопасност и защитата на населението при извънредни ситуации</w:t>
      </w:r>
    </w:p>
    <w:p w:rsidR="002B5440" w:rsidRPr="00056DFA" w:rsidRDefault="002B5440" w:rsidP="002A1989">
      <w:pPr>
        <w:tabs>
          <w:tab w:val="left" w:pos="0"/>
        </w:tabs>
        <w:spacing w:before="0" w:after="0"/>
        <w:jc w:val="both"/>
        <w:rPr>
          <w:sz w:val="24"/>
          <w:szCs w:val="24"/>
        </w:rPr>
      </w:pPr>
      <w:r w:rsidRPr="00056DFA">
        <w:rPr>
          <w:bCs/>
          <w:sz w:val="24"/>
          <w:szCs w:val="24"/>
        </w:rPr>
        <w:t>За изпълнение на целите на политиката е обособена:</w:t>
      </w:r>
    </w:p>
    <w:p w:rsidR="002B5440" w:rsidRPr="00056DFA" w:rsidRDefault="006818F0" w:rsidP="002A1989">
      <w:pPr>
        <w:spacing w:before="0" w:after="0"/>
        <w:jc w:val="both"/>
        <w:rPr>
          <w:b/>
          <w:sz w:val="24"/>
          <w:szCs w:val="24"/>
        </w:rPr>
      </w:pPr>
      <w:r>
        <w:rPr>
          <w:b/>
          <w:sz w:val="24"/>
          <w:szCs w:val="24"/>
          <w:u w:val="single"/>
        </w:rPr>
        <w:t>Бюджетна програма</w:t>
      </w:r>
      <w:r w:rsidR="002B5440" w:rsidRPr="00056DFA">
        <w:rPr>
          <w:b/>
          <w:caps/>
          <w:sz w:val="24"/>
          <w:szCs w:val="24"/>
          <w:u w:val="single"/>
        </w:rPr>
        <w:t>:</w:t>
      </w:r>
      <w:r w:rsidR="002B5440" w:rsidRPr="00056DFA">
        <w:rPr>
          <w:sz w:val="24"/>
          <w:szCs w:val="24"/>
        </w:rPr>
        <w:t xml:space="preserve"> </w:t>
      </w:r>
      <w:r w:rsidR="002B5440" w:rsidRPr="00056DFA">
        <w:rPr>
          <w:b/>
          <w:sz w:val="24"/>
          <w:szCs w:val="24"/>
        </w:rPr>
        <w:t>„Пожарна безопасност и защита на населението при пожари, бедствия и извънредни ситуации”</w:t>
      </w:r>
      <w:r w:rsidR="002B5440" w:rsidRPr="00056DFA">
        <w:rPr>
          <w:sz w:val="24"/>
          <w:szCs w:val="24"/>
        </w:rPr>
        <w:t>.</w:t>
      </w:r>
      <w:r w:rsidR="002B5440" w:rsidRPr="00056DFA">
        <w:rPr>
          <w:b/>
          <w:sz w:val="24"/>
          <w:szCs w:val="24"/>
        </w:rPr>
        <w:t xml:space="preserve">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211.9  млн.лв., по уточнен план същите възлизат на 209.5 млн.лв., а по отчет са 202.5 млн.лв.</w:t>
      </w:r>
    </w:p>
    <w:p w:rsidR="002B5440" w:rsidRPr="00056DFA" w:rsidRDefault="002B5440" w:rsidP="002A1989">
      <w:pPr>
        <w:shd w:val="clear" w:color="auto" w:fill="FFFFFF"/>
        <w:tabs>
          <w:tab w:val="left" w:leader="dot" w:pos="1771"/>
          <w:tab w:val="left" w:leader="dot" w:pos="2880"/>
        </w:tabs>
        <w:spacing w:before="0" w:after="0"/>
        <w:jc w:val="both"/>
        <w:rPr>
          <w:sz w:val="24"/>
          <w:szCs w:val="24"/>
          <w:lang w:val="ru-RU"/>
        </w:rPr>
      </w:pPr>
      <w:r w:rsidRPr="00056DFA">
        <w:rPr>
          <w:sz w:val="24"/>
          <w:szCs w:val="24"/>
        </w:rPr>
        <w:t>През 2017 г. за осъществяване на държавен противопожарен контрол (ДПК), от органите за ПБЗН са извършени 140 922 проверки, при които са констатирани 62 508 нарушения. Връчени са 20 201 разпоредителни документи, съставени са 2517 акта за установяване на административни нарушения (АУАН) и са наложени 313 принудителни административни мерки (ПАМ) за предотвратяване и преустановяване на нарушенията, свързани с изпълнението на задълженията по ЗМВР или с дейности, които създават опасност от възникване на пожари и производствени аварии.</w:t>
      </w:r>
    </w:p>
    <w:p w:rsidR="002B5440" w:rsidRPr="00056DFA" w:rsidRDefault="002B5440" w:rsidP="002A1989">
      <w:pPr>
        <w:shd w:val="clear" w:color="auto" w:fill="FFFFFF"/>
        <w:tabs>
          <w:tab w:val="left" w:leader="dot" w:pos="1771"/>
          <w:tab w:val="left" w:leader="dot" w:pos="2880"/>
        </w:tabs>
        <w:spacing w:before="0" w:after="0"/>
        <w:jc w:val="both"/>
        <w:rPr>
          <w:sz w:val="24"/>
          <w:szCs w:val="24"/>
        </w:rPr>
      </w:pPr>
      <w:r w:rsidRPr="00056DFA">
        <w:rPr>
          <w:sz w:val="24"/>
          <w:szCs w:val="24"/>
        </w:rPr>
        <w:t>За осигуряване на пожарната безопасност и провеждане на специализирани операции и тематични проверки от органите за ПБЗН са извършени 4547 съвместни проверки с представители на ГДНП, МРРБ, МИП, ИАГ-МЗХГ, ДАМТН и др.</w:t>
      </w:r>
    </w:p>
    <w:p w:rsidR="002B5440" w:rsidRPr="00056DFA" w:rsidRDefault="002B5440" w:rsidP="002A1989">
      <w:pPr>
        <w:tabs>
          <w:tab w:val="left" w:pos="0"/>
          <w:tab w:val="left" w:pos="5490"/>
        </w:tabs>
        <w:spacing w:before="0" w:after="0"/>
        <w:jc w:val="both"/>
        <w:rPr>
          <w:bCs/>
          <w:sz w:val="24"/>
          <w:szCs w:val="24"/>
        </w:rPr>
      </w:pPr>
      <w:r w:rsidRPr="00056DFA">
        <w:rPr>
          <w:sz w:val="24"/>
          <w:szCs w:val="24"/>
        </w:rPr>
        <w:t xml:space="preserve">За обучение и повишаване на културата на населението в областта на ПБЗН, през 2017 г. са проведени 11 955 мероприятия, от тях </w:t>
      </w:r>
      <w:r w:rsidRPr="00056DFA">
        <w:rPr>
          <w:bCs/>
          <w:sz w:val="24"/>
          <w:szCs w:val="24"/>
        </w:rPr>
        <w:t>6045 занятия с деца, ученици и студенти, 1779 занятия със служители от системата на Министерството на образованието и науката, 481 – със служители в държавната и общинската администрация, 226 – със служители в обекти от критичната инфраструктура, 2069 занятия в други обекти и 486 занятия на неработещото население и пенсионери, осъществявано чрез кметовете на населените места.</w:t>
      </w:r>
    </w:p>
    <w:p w:rsidR="002B5440" w:rsidRPr="00056DFA" w:rsidRDefault="002B5440" w:rsidP="002A1989">
      <w:pPr>
        <w:shd w:val="clear" w:color="auto" w:fill="FFFFFF"/>
        <w:tabs>
          <w:tab w:val="left" w:leader="dot" w:pos="1771"/>
          <w:tab w:val="left" w:leader="dot" w:pos="2880"/>
        </w:tabs>
        <w:spacing w:before="0" w:after="0"/>
        <w:jc w:val="both"/>
        <w:rPr>
          <w:sz w:val="24"/>
          <w:szCs w:val="24"/>
        </w:rPr>
      </w:pPr>
      <w:r w:rsidRPr="00056DFA">
        <w:rPr>
          <w:sz w:val="24"/>
          <w:szCs w:val="24"/>
        </w:rPr>
        <w:t xml:space="preserve">Представители на ГДПБЗН-МВР участваха в 135 международни дейности, от които 58 срещи, семинари, заседания и конференции. В тази връзка са изготвени 2160 документи, в т.ч. 23 позиции, коментари и становища. В курсове на ЕС, НАТО, Инициативата за готовност и превенция при бедствия в Югоизточна Европа </w:t>
      </w:r>
      <w:r w:rsidRPr="00056DFA">
        <w:rPr>
          <w:sz w:val="24"/>
          <w:szCs w:val="24"/>
          <w:lang w:val="ru-RU"/>
        </w:rPr>
        <w:t xml:space="preserve">(DPPI SEE) </w:t>
      </w:r>
      <w:r w:rsidRPr="00056DFA">
        <w:rPr>
          <w:sz w:val="24"/>
          <w:szCs w:val="24"/>
        </w:rPr>
        <w:t xml:space="preserve">са обучени 70 служители. </w:t>
      </w:r>
    </w:p>
    <w:p w:rsidR="002B5440" w:rsidRPr="00056DFA" w:rsidRDefault="002B5440" w:rsidP="002A1989">
      <w:pPr>
        <w:shd w:val="clear" w:color="auto" w:fill="FFFFFF"/>
        <w:tabs>
          <w:tab w:val="left" w:leader="dot" w:pos="1771"/>
          <w:tab w:val="left" w:leader="dot" w:pos="2880"/>
        </w:tabs>
        <w:spacing w:before="0" w:after="0"/>
        <w:jc w:val="both"/>
        <w:rPr>
          <w:sz w:val="24"/>
          <w:szCs w:val="24"/>
        </w:rPr>
      </w:pPr>
      <w:r w:rsidRPr="00056DFA">
        <w:rPr>
          <w:sz w:val="24"/>
          <w:szCs w:val="24"/>
        </w:rPr>
        <w:t>През 2017 г. са организирани 16 международни мероприятия в изпълнение на ангажиментите към ЕС, НАТО и по споразумения за сътрудничество.</w:t>
      </w:r>
    </w:p>
    <w:p w:rsidR="002B5440" w:rsidRPr="00056DFA" w:rsidRDefault="002B5440" w:rsidP="002A1989">
      <w:pPr>
        <w:snapToGrid w:val="0"/>
        <w:spacing w:before="0" w:after="0"/>
        <w:jc w:val="both"/>
        <w:rPr>
          <w:sz w:val="24"/>
          <w:szCs w:val="24"/>
        </w:rPr>
      </w:pPr>
      <w:r w:rsidRPr="00056DFA">
        <w:rPr>
          <w:bCs/>
          <w:iCs/>
          <w:sz w:val="24"/>
          <w:szCs w:val="24"/>
        </w:rPr>
        <w:lastRenderedPageBreak/>
        <w:t xml:space="preserve">Регистрирани 28 нови </w:t>
      </w:r>
      <w:r w:rsidRPr="00056DFA">
        <w:rPr>
          <w:sz w:val="24"/>
          <w:szCs w:val="24"/>
        </w:rPr>
        <w:t>доброволни формирования (ДФ)</w:t>
      </w:r>
      <w:r w:rsidRPr="00056DFA">
        <w:rPr>
          <w:bCs/>
          <w:iCs/>
          <w:sz w:val="24"/>
          <w:szCs w:val="24"/>
        </w:rPr>
        <w:t xml:space="preserve"> и 330 доброволци. Към края на 2017 г. общият брой на регистрираните доброволци е 2969 в 217 ДФ. </w:t>
      </w:r>
      <w:r w:rsidRPr="00056DFA">
        <w:rPr>
          <w:sz w:val="24"/>
          <w:szCs w:val="24"/>
        </w:rPr>
        <w:t xml:space="preserve">През периода в автоматизираната информационна система </w:t>
      </w:r>
      <w:r w:rsidRPr="00056DFA">
        <w:rPr>
          <w:sz w:val="24"/>
          <w:szCs w:val="24"/>
          <w:lang w:val="ru-RU"/>
        </w:rPr>
        <w:t>(</w:t>
      </w:r>
      <w:r w:rsidRPr="00056DFA">
        <w:rPr>
          <w:sz w:val="24"/>
          <w:szCs w:val="24"/>
        </w:rPr>
        <w:t>АИС</w:t>
      </w:r>
      <w:r w:rsidRPr="00056DFA">
        <w:rPr>
          <w:sz w:val="24"/>
          <w:szCs w:val="24"/>
          <w:lang w:val="ru-RU"/>
        </w:rPr>
        <w:t>)</w:t>
      </w:r>
      <w:r w:rsidRPr="00056DFA">
        <w:rPr>
          <w:sz w:val="24"/>
          <w:szCs w:val="24"/>
        </w:rPr>
        <w:t xml:space="preserve"> на ГДПБЗН са регистрирани 130 участия на доброволци от ДФ, като основните дейности извършвани от тях са ограничаване и ликвидиране на пожари, оказване на помощ, издирване и спасяване, както и извършване на аварийно-възстановителни работи, свързани с наводнения, обилни снеговалежи и други произшествия. За осъществяване включването на ДФ в дейности по защита при пожари, бедствия и извънредни ситуации, по места продължава процесът по обучение на доброволците за първоначален основен курс. През периода са проведени 155 съвместни занятия с доброволци. </w:t>
      </w:r>
    </w:p>
    <w:p w:rsidR="002B5440" w:rsidRPr="00056DFA" w:rsidRDefault="00C77253" w:rsidP="002A1989">
      <w:pPr>
        <w:spacing w:before="0" w:after="0"/>
        <w:jc w:val="both"/>
        <w:rPr>
          <w:b/>
          <w:sz w:val="24"/>
          <w:szCs w:val="24"/>
        </w:rPr>
      </w:pPr>
      <w:r w:rsidRPr="00056DFA">
        <w:rPr>
          <w:b/>
          <w:sz w:val="24"/>
          <w:szCs w:val="24"/>
        </w:rPr>
        <w:t>Политика в областта на управлението и развитието на системата на министерството на вътрешните работи</w:t>
      </w:r>
    </w:p>
    <w:p w:rsidR="002B5440" w:rsidRPr="00056DFA" w:rsidRDefault="002B5440" w:rsidP="002A1989">
      <w:pPr>
        <w:tabs>
          <w:tab w:val="left" w:pos="0"/>
        </w:tabs>
        <w:spacing w:before="0" w:after="0"/>
        <w:jc w:val="both"/>
        <w:rPr>
          <w:sz w:val="24"/>
          <w:szCs w:val="24"/>
        </w:rPr>
      </w:pPr>
      <w:r w:rsidRPr="00056DFA">
        <w:rPr>
          <w:bCs/>
          <w:sz w:val="24"/>
          <w:szCs w:val="24"/>
        </w:rPr>
        <w:t>За изпълнение на целите на политиката са обособени следните три програми:</w:t>
      </w:r>
    </w:p>
    <w:p w:rsidR="002B5440" w:rsidRPr="00056DFA" w:rsidRDefault="006818F0" w:rsidP="002A1989">
      <w:pPr>
        <w:spacing w:before="0" w:after="0"/>
        <w:jc w:val="both"/>
        <w:rPr>
          <w:b/>
          <w:sz w:val="24"/>
          <w:szCs w:val="24"/>
        </w:rPr>
      </w:pPr>
      <w:r w:rsidRPr="003A4B70">
        <w:rPr>
          <w:b/>
          <w:sz w:val="24"/>
          <w:szCs w:val="24"/>
        </w:rPr>
        <w:t>Бюджетна програма</w:t>
      </w:r>
      <w:r w:rsidR="002B5440" w:rsidRPr="003A4B70">
        <w:rPr>
          <w:b/>
          <w:caps/>
          <w:sz w:val="24"/>
          <w:szCs w:val="24"/>
        </w:rPr>
        <w:t>:</w:t>
      </w:r>
      <w:r w:rsidR="002B5440" w:rsidRPr="003A4B70">
        <w:rPr>
          <w:b/>
          <w:sz w:val="24"/>
          <w:szCs w:val="24"/>
        </w:rPr>
        <w:t xml:space="preserve"> „Информационно осигуряване и административно</w:t>
      </w:r>
      <w:r w:rsidR="002B5440" w:rsidRPr="00056DFA">
        <w:rPr>
          <w:b/>
          <w:sz w:val="24"/>
          <w:szCs w:val="24"/>
        </w:rPr>
        <w:t xml:space="preserve"> обслужване“</w:t>
      </w:r>
      <w:r w:rsidR="002B5440" w:rsidRPr="00056DFA">
        <w:rPr>
          <w:sz w:val="24"/>
          <w:szCs w:val="24"/>
        </w:rPr>
        <w:t>.</w:t>
      </w:r>
      <w:r w:rsidR="002B5440" w:rsidRPr="00056DFA">
        <w:rPr>
          <w:b/>
          <w:sz w:val="24"/>
          <w:szCs w:val="24"/>
        </w:rPr>
        <w:t xml:space="preserve">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107.7  млн.лв., по уточнен план същите възлизат на 124.8 млн.лв., а по отчет са 131.7 млн.лв.</w:t>
      </w:r>
    </w:p>
    <w:p w:rsidR="002B5440" w:rsidRPr="00056DFA" w:rsidRDefault="002B5440" w:rsidP="002A1989">
      <w:pPr>
        <w:spacing w:before="0" w:after="0"/>
        <w:jc w:val="both"/>
        <w:rPr>
          <w:sz w:val="24"/>
          <w:szCs w:val="24"/>
        </w:rPr>
      </w:pPr>
      <w:r w:rsidRPr="00056DFA">
        <w:rPr>
          <w:sz w:val="24"/>
          <w:szCs w:val="24"/>
        </w:rPr>
        <w:t xml:space="preserve">Предоставяните по програмата продукти/услуги са: информационно-аналитични материали; комплексна </w:t>
      </w:r>
      <w:proofErr w:type="spellStart"/>
      <w:r w:rsidRPr="00056DFA">
        <w:rPr>
          <w:sz w:val="24"/>
          <w:szCs w:val="24"/>
        </w:rPr>
        <w:t>цифровизация</w:t>
      </w:r>
      <w:proofErr w:type="spellEnd"/>
      <w:r w:rsidRPr="00056DFA">
        <w:rPr>
          <w:sz w:val="24"/>
          <w:szCs w:val="24"/>
        </w:rPr>
        <w:t xml:space="preserve"> на телефонните връзки, осигуряване на </w:t>
      </w:r>
      <w:proofErr w:type="spellStart"/>
      <w:r w:rsidRPr="00056DFA">
        <w:rPr>
          <w:sz w:val="24"/>
          <w:szCs w:val="24"/>
        </w:rPr>
        <w:t>конвергирани</w:t>
      </w:r>
      <w:proofErr w:type="spellEnd"/>
      <w:r w:rsidRPr="00056DFA">
        <w:rPr>
          <w:sz w:val="24"/>
          <w:szCs w:val="24"/>
        </w:rPr>
        <w:t xml:space="preserve"> комуникационни услуги, предоставяне на мобилни и фиксирани комуникационни услуги в широк технологичен мащаб; осигуряване на надежден достъп до АИС на МВР и други ведомства, автоматизация на основни дейности на МВР, разработване и внедряване нови автоматизирани информационни системи и технологии и развитие на съществуващите; комуникационно осигуряване на дейностите по предупреждение и ранно оповестяване на населението при възникване на бедствия и извънредни ситуации. </w:t>
      </w:r>
    </w:p>
    <w:p w:rsidR="002B5440" w:rsidRPr="00056DFA" w:rsidRDefault="002B5440" w:rsidP="002A1989">
      <w:pPr>
        <w:spacing w:before="0" w:after="0"/>
        <w:jc w:val="both"/>
        <w:rPr>
          <w:i/>
          <w:sz w:val="24"/>
          <w:szCs w:val="24"/>
          <w:u w:val="single"/>
        </w:rPr>
      </w:pPr>
      <w:r w:rsidRPr="00056DFA">
        <w:rPr>
          <w:i/>
          <w:sz w:val="24"/>
          <w:szCs w:val="24"/>
          <w:u w:val="single"/>
        </w:rPr>
        <w:t>Международни проекти</w:t>
      </w:r>
    </w:p>
    <w:p w:rsidR="002B5440" w:rsidRPr="00056DFA" w:rsidRDefault="002B5440" w:rsidP="002A1989">
      <w:pPr>
        <w:tabs>
          <w:tab w:val="left" w:pos="800"/>
        </w:tabs>
        <w:spacing w:before="0" w:after="0"/>
        <w:jc w:val="both"/>
        <w:rPr>
          <w:sz w:val="24"/>
          <w:szCs w:val="24"/>
        </w:rPr>
      </w:pPr>
      <w:r w:rsidRPr="00056DFA">
        <w:rPr>
          <w:sz w:val="24"/>
          <w:szCs w:val="24"/>
        </w:rPr>
        <w:t>В началото на 2017 г. са подадени, а в средата на годината и окончателно одобрени от Европейската комисия (ЕК), финансовите отчети по двата фонда - Фонд „Убежище, миграция и интеграция“ (ФУМИ) и Фонд „Вътрешна сигурност“ (ФВС), по които дирекция „Международни проекти“ (ДМП) на МВР е Отговорен орган. Към края на годината по ФВС са сключени договори за изпълнение на 51 проекта на обща стойност 69 583 000 евро, което представлява 71 % от целия ресурс по програмата, от които 34 % (33.3 млн.евро) са разплатени към бенефициентите като авансови и междинни плащания и 398 хил.евро допълнително за техническа помощ. По ФУМИ в процес на изпълнение са 24 проекта на обща стойност 8.9 млн. евро, което представлява 48 % от целия финансов ресурс по програмата, от които 15 % (2.7 млн.евро) са разплатени към бенефициентите и допълнително 320 хил.евро за техническа помощ.</w:t>
      </w:r>
    </w:p>
    <w:p w:rsidR="002B5440" w:rsidRPr="00056DFA" w:rsidRDefault="002B5440" w:rsidP="002A1989">
      <w:pPr>
        <w:tabs>
          <w:tab w:val="left" w:pos="800"/>
        </w:tabs>
        <w:spacing w:before="0" w:after="0"/>
        <w:jc w:val="both"/>
        <w:rPr>
          <w:sz w:val="24"/>
          <w:szCs w:val="24"/>
        </w:rPr>
      </w:pPr>
      <w:r w:rsidRPr="00056DFA">
        <w:rPr>
          <w:sz w:val="24"/>
          <w:szCs w:val="24"/>
        </w:rPr>
        <w:t xml:space="preserve">През 2017 г. са подадени към ЕК междинните доклади за напредъка по проектите за предоставяне на спешна помощ, по които Република България се очаква да получи близо 160 млн. евро. В изпълнение на споразуменията бяха стартирани 131 процедури за възлагане на обществени поръчки на обща стойност 124.5 млн.евро без ДДС, от които към края на декември 2017 г. са сключени договори на обща стойност 75.6 млн. евро без ДДС. Разплатените средства възлизат на 54.8 млн.евро. </w:t>
      </w:r>
    </w:p>
    <w:p w:rsidR="002B5440" w:rsidRPr="00056DFA" w:rsidRDefault="002B5440" w:rsidP="002A1989">
      <w:pPr>
        <w:tabs>
          <w:tab w:val="left" w:pos="800"/>
        </w:tabs>
        <w:spacing w:before="0" w:after="0"/>
        <w:jc w:val="both"/>
        <w:rPr>
          <w:sz w:val="24"/>
          <w:szCs w:val="24"/>
        </w:rPr>
      </w:pPr>
      <w:r w:rsidRPr="00056DFA">
        <w:rPr>
          <w:sz w:val="24"/>
          <w:szCs w:val="24"/>
        </w:rPr>
        <w:t>През годината стартира разработването на идейна концепция по Норвежкия финансов механизъм 2014-2021, по който МВР е Програмен оператор. Безвъзмездната финансова помощ от Норвегия за изпълнение на програма „Вътрешни работи“ е договорена в размер на 21.5 млн. евро.</w:t>
      </w:r>
    </w:p>
    <w:p w:rsidR="002B5440" w:rsidRPr="00056DFA" w:rsidRDefault="002B5440" w:rsidP="002A1989">
      <w:pPr>
        <w:tabs>
          <w:tab w:val="left" w:pos="800"/>
        </w:tabs>
        <w:spacing w:before="0" w:after="0"/>
        <w:jc w:val="both"/>
        <w:rPr>
          <w:i/>
          <w:sz w:val="24"/>
          <w:szCs w:val="24"/>
          <w:u w:val="single"/>
        </w:rPr>
      </w:pPr>
      <w:r w:rsidRPr="00056DFA">
        <w:rPr>
          <w:i/>
          <w:sz w:val="24"/>
          <w:szCs w:val="24"/>
          <w:u w:val="single"/>
        </w:rPr>
        <w:t>Национална система 112</w:t>
      </w:r>
    </w:p>
    <w:p w:rsidR="002B5440" w:rsidRPr="00056DFA" w:rsidRDefault="002B5440" w:rsidP="002A1989">
      <w:pPr>
        <w:spacing w:before="0" w:after="0"/>
        <w:jc w:val="both"/>
        <w:rPr>
          <w:bCs/>
          <w:sz w:val="24"/>
          <w:szCs w:val="24"/>
        </w:rPr>
      </w:pPr>
      <w:r w:rsidRPr="00056DFA">
        <w:rPr>
          <w:bCs/>
          <w:sz w:val="24"/>
          <w:szCs w:val="24"/>
        </w:rPr>
        <w:lastRenderedPageBreak/>
        <w:t xml:space="preserve">В центровете за приемане на спешни повиквания към телефонен номер 112 са приети 4 </w:t>
      </w:r>
      <w:r w:rsidRPr="00056DFA">
        <w:rPr>
          <w:bCs/>
          <w:sz w:val="24"/>
          <w:szCs w:val="24"/>
          <w:lang w:val="ru-RU"/>
        </w:rPr>
        <w:t>066</w:t>
      </w:r>
      <w:r w:rsidRPr="00056DFA">
        <w:rPr>
          <w:bCs/>
          <w:sz w:val="24"/>
          <w:szCs w:val="24"/>
        </w:rPr>
        <w:t> </w:t>
      </w:r>
      <w:r w:rsidRPr="00056DFA">
        <w:rPr>
          <w:bCs/>
          <w:sz w:val="24"/>
          <w:szCs w:val="24"/>
          <w:lang w:val="ru-RU"/>
        </w:rPr>
        <w:t>274</w:t>
      </w:r>
      <w:r w:rsidRPr="00056DFA">
        <w:rPr>
          <w:bCs/>
          <w:i/>
          <w:sz w:val="24"/>
          <w:szCs w:val="24"/>
        </w:rPr>
        <w:t xml:space="preserve"> </w:t>
      </w:r>
      <w:r w:rsidRPr="00056DFA">
        <w:rPr>
          <w:bCs/>
          <w:sz w:val="24"/>
          <w:szCs w:val="24"/>
        </w:rPr>
        <w:t xml:space="preserve">повиквания. От тях </w:t>
      </w:r>
      <w:r w:rsidRPr="00056DFA">
        <w:rPr>
          <w:bCs/>
          <w:iCs/>
          <w:sz w:val="24"/>
          <w:szCs w:val="24"/>
        </w:rPr>
        <w:t xml:space="preserve">2 </w:t>
      </w:r>
      <w:r w:rsidRPr="00056DFA">
        <w:rPr>
          <w:bCs/>
          <w:iCs/>
          <w:sz w:val="24"/>
          <w:szCs w:val="24"/>
          <w:lang w:val="ru-RU"/>
        </w:rPr>
        <w:t>051</w:t>
      </w:r>
      <w:r w:rsidRPr="00056DFA">
        <w:rPr>
          <w:bCs/>
          <w:iCs/>
          <w:sz w:val="24"/>
          <w:szCs w:val="24"/>
        </w:rPr>
        <w:t> </w:t>
      </w:r>
      <w:r w:rsidRPr="00056DFA">
        <w:rPr>
          <w:bCs/>
          <w:iCs/>
          <w:sz w:val="24"/>
          <w:szCs w:val="24"/>
          <w:lang w:val="ru-RU"/>
        </w:rPr>
        <w:t xml:space="preserve">091 </w:t>
      </w:r>
      <w:r w:rsidRPr="00056DFA">
        <w:rPr>
          <w:bCs/>
          <w:sz w:val="24"/>
          <w:szCs w:val="24"/>
        </w:rPr>
        <w:t>са с конкретни искания на граждани за оказване на помощ (реални сигнали), като</w:t>
      </w:r>
      <w:r w:rsidRPr="00056DFA">
        <w:rPr>
          <w:bCs/>
          <w:i/>
          <w:sz w:val="24"/>
          <w:szCs w:val="24"/>
        </w:rPr>
        <w:t xml:space="preserve"> </w:t>
      </w:r>
      <w:r w:rsidRPr="00056DFA">
        <w:rPr>
          <w:bCs/>
          <w:sz w:val="24"/>
          <w:szCs w:val="24"/>
        </w:rPr>
        <w:t>1 53</w:t>
      </w:r>
      <w:r w:rsidRPr="00056DFA">
        <w:rPr>
          <w:bCs/>
          <w:sz w:val="24"/>
          <w:szCs w:val="24"/>
          <w:lang w:val="ru-RU"/>
        </w:rPr>
        <w:t>1</w:t>
      </w:r>
      <w:r w:rsidRPr="00056DFA">
        <w:rPr>
          <w:bCs/>
          <w:sz w:val="24"/>
          <w:szCs w:val="24"/>
        </w:rPr>
        <w:t> 6</w:t>
      </w:r>
      <w:r w:rsidRPr="00056DFA">
        <w:rPr>
          <w:bCs/>
          <w:sz w:val="24"/>
          <w:szCs w:val="24"/>
          <w:lang w:val="ru-RU"/>
        </w:rPr>
        <w:t>57</w:t>
      </w:r>
      <w:r w:rsidRPr="00056DFA">
        <w:rPr>
          <w:bCs/>
          <w:i/>
          <w:sz w:val="24"/>
          <w:szCs w:val="24"/>
        </w:rPr>
        <w:t xml:space="preserve"> </w:t>
      </w:r>
      <w:r w:rsidRPr="00056DFA">
        <w:rPr>
          <w:bCs/>
          <w:sz w:val="24"/>
          <w:szCs w:val="24"/>
        </w:rPr>
        <w:t>пъти са сигнализирани различни служби за спешно реагиране (мерки). Средно на ден са приемани 1</w:t>
      </w:r>
      <w:r w:rsidRPr="00056DFA">
        <w:rPr>
          <w:bCs/>
          <w:sz w:val="24"/>
          <w:szCs w:val="24"/>
          <w:lang w:val="ru-RU"/>
        </w:rPr>
        <w:t>1</w:t>
      </w:r>
      <w:r w:rsidRPr="00056DFA">
        <w:rPr>
          <w:bCs/>
          <w:sz w:val="24"/>
          <w:szCs w:val="24"/>
        </w:rPr>
        <w:t xml:space="preserve"> </w:t>
      </w:r>
      <w:r w:rsidRPr="00056DFA">
        <w:rPr>
          <w:bCs/>
          <w:sz w:val="24"/>
          <w:szCs w:val="24"/>
          <w:lang w:val="ru-RU"/>
        </w:rPr>
        <w:t>140</w:t>
      </w:r>
      <w:r w:rsidRPr="00056DFA">
        <w:rPr>
          <w:bCs/>
          <w:sz w:val="24"/>
          <w:szCs w:val="24"/>
        </w:rPr>
        <w:t xml:space="preserve"> повиквания при 1</w:t>
      </w:r>
      <w:r w:rsidRPr="00056DFA">
        <w:rPr>
          <w:bCs/>
          <w:sz w:val="24"/>
          <w:szCs w:val="24"/>
          <w:lang w:val="ru-RU"/>
        </w:rPr>
        <w:t>2</w:t>
      </w:r>
      <w:r w:rsidRPr="00056DFA">
        <w:rPr>
          <w:bCs/>
          <w:sz w:val="24"/>
          <w:szCs w:val="24"/>
        </w:rPr>
        <w:t> 0</w:t>
      </w:r>
      <w:r w:rsidRPr="00056DFA">
        <w:rPr>
          <w:bCs/>
          <w:sz w:val="24"/>
          <w:szCs w:val="24"/>
          <w:lang w:val="ru-RU"/>
        </w:rPr>
        <w:t>2</w:t>
      </w:r>
      <w:r w:rsidRPr="00056DFA">
        <w:rPr>
          <w:bCs/>
          <w:sz w:val="24"/>
          <w:szCs w:val="24"/>
        </w:rPr>
        <w:t xml:space="preserve">1 за </w:t>
      </w:r>
      <w:r w:rsidRPr="00056DFA">
        <w:rPr>
          <w:bCs/>
          <w:sz w:val="24"/>
          <w:szCs w:val="24"/>
          <w:lang w:val="ru-RU"/>
        </w:rPr>
        <w:t xml:space="preserve">2016 </w:t>
      </w:r>
      <w:r w:rsidRPr="00056DFA">
        <w:rPr>
          <w:bCs/>
          <w:sz w:val="24"/>
          <w:szCs w:val="24"/>
        </w:rPr>
        <w:t xml:space="preserve">г. </w:t>
      </w:r>
    </w:p>
    <w:p w:rsidR="002B5440" w:rsidRPr="00056DFA" w:rsidRDefault="002B5440" w:rsidP="002A1989">
      <w:pPr>
        <w:spacing w:before="0" w:after="0"/>
        <w:jc w:val="both"/>
        <w:rPr>
          <w:bCs/>
          <w:sz w:val="24"/>
          <w:szCs w:val="24"/>
        </w:rPr>
      </w:pPr>
      <w:r w:rsidRPr="00056DFA">
        <w:rPr>
          <w:bCs/>
          <w:sz w:val="24"/>
          <w:szCs w:val="24"/>
        </w:rPr>
        <w:t>През 201</w:t>
      </w:r>
      <w:r w:rsidRPr="00056DFA">
        <w:rPr>
          <w:bCs/>
          <w:sz w:val="24"/>
          <w:szCs w:val="24"/>
          <w:lang w:val="ru-RU"/>
        </w:rPr>
        <w:t>7</w:t>
      </w:r>
      <w:r w:rsidRPr="00056DFA">
        <w:rPr>
          <w:bCs/>
          <w:sz w:val="24"/>
          <w:szCs w:val="24"/>
        </w:rPr>
        <w:t xml:space="preserve"> г. броят на приетите повиквания е намалял с</w:t>
      </w:r>
      <w:r w:rsidRPr="00056DFA">
        <w:rPr>
          <w:bCs/>
          <w:sz w:val="24"/>
          <w:szCs w:val="24"/>
          <w:lang w:val="ru-RU"/>
        </w:rPr>
        <w:t xml:space="preserve"> 7</w:t>
      </w:r>
      <w:r w:rsidRPr="00056DFA">
        <w:rPr>
          <w:bCs/>
          <w:sz w:val="24"/>
          <w:szCs w:val="24"/>
        </w:rPr>
        <w:t>,</w:t>
      </w:r>
      <w:r w:rsidRPr="00056DFA">
        <w:rPr>
          <w:bCs/>
          <w:sz w:val="24"/>
          <w:szCs w:val="24"/>
          <w:lang w:val="ru-RU"/>
        </w:rPr>
        <w:t>6</w:t>
      </w:r>
      <w:r w:rsidRPr="00056DFA">
        <w:rPr>
          <w:bCs/>
          <w:sz w:val="24"/>
          <w:szCs w:val="24"/>
        </w:rPr>
        <w:t>%</w:t>
      </w:r>
      <w:r w:rsidRPr="00056DFA">
        <w:rPr>
          <w:bCs/>
          <w:sz w:val="24"/>
          <w:szCs w:val="24"/>
          <w:lang w:val="ru-RU"/>
        </w:rPr>
        <w:t>,</w:t>
      </w:r>
      <w:r w:rsidRPr="00056DFA">
        <w:rPr>
          <w:bCs/>
          <w:sz w:val="24"/>
          <w:szCs w:val="24"/>
        </w:rPr>
        <w:t xml:space="preserve"> в сравнение с 201</w:t>
      </w:r>
      <w:r w:rsidRPr="00056DFA">
        <w:rPr>
          <w:bCs/>
          <w:sz w:val="24"/>
          <w:szCs w:val="24"/>
          <w:lang w:val="ru-RU"/>
        </w:rPr>
        <w:t>6</w:t>
      </w:r>
      <w:r w:rsidRPr="00056DFA">
        <w:rPr>
          <w:bCs/>
          <w:sz w:val="24"/>
          <w:szCs w:val="24"/>
        </w:rPr>
        <w:t xml:space="preserve"> г.</w:t>
      </w:r>
      <w:r w:rsidRPr="00056DFA">
        <w:rPr>
          <w:bCs/>
          <w:sz w:val="24"/>
          <w:szCs w:val="24"/>
          <w:lang w:val="ru-RU"/>
        </w:rPr>
        <w:t xml:space="preserve">, </w:t>
      </w:r>
      <w:r w:rsidRPr="00056DFA">
        <w:rPr>
          <w:bCs/>
          <w:sz w:val="24"/>
          <w:szCs w:val="24"/>
        </w:rPr>
        <w:t xml:space="preserve">като регламентираните повиквания са намалели с 1,1%, а нерегламентираните – с 13,4%. </w:t>
      </w:r>
    </w:p>
    <w:p w:rsidR="002B5440" w:rsidRPr="00056DFA" w:rsidRDefault="002B5440" w:rsidP="002A1989">
      <w:pPr>
        <w:tabs>
          <w:tab w:val="left" w:pos="0"/>
        </w:tabs>
        <w:spacing w:before="0" w:after="0"/>
        <w:jc w:val="both"/>
        <w:rPr>
          <w:sz w:val="24"/>
          <w:szCs w:val="24"/>
          <w:lang w:val="ru-RU"/>
        </w:rPr>
      </w:pPr>
      <w:r w:rsidRPr="00056DFA">
        <w:rPr>
          <w:bCs/>
          <w:sz w:val="24"/>
          <w:szCs w:val="24"/>
          <w:lang w:eastAsia="en-US"/>
        </w:rPr>
        <w:t xml:space="preserve">Намалели са сигналите, предадени към органите на полицията (с 1,3%) и към службите за пожарна безопасност и защита на населението (с 1,7%). Сигналите към други служби (Планинска спасителна служба, Изпълнителна агенция „Морска администрация”, Агенция „Пътна инфраструктура”, Изпълнителна агенция по горите, общинска администрация) са се увеличили с 6,7%. </w:t>
      </w:r>
    </w:p>
    <w:p w:rsidR="002B5440" w:rsidRPr="00056DFA" w:rsidRDefault="006818F0" w:rsidP="002A1989">
      <w:pPr>
        <w:spacing w:before="0" w:after="0"/>
        <w:jc w:val="both"/>
        <w:rPr>
          <w:sz w:val="24"/>
          <w:szCs w:val="24"/>
        </w:rPr>
      </w:pPr>
      <w:r>
        <w:rPr>
          <w:b/>
          <w:sz w:val="24"/>
          <w:szCs w:val="24"/>
          <w:u w:val="single"/>
        </w:rPr>
        <w:t>Бюджетна програма</w:t>
      </w:r>
      <w:r w:rsidR="002B5440" w:rsidRPr="00056DFA">
        <w:rPr>
          <w:b/>
          <w:caps/>
          <w:sz w:val="24"/>
          <w:szCs w:val="24"/>
          <w:u w:val="single"/>
        </w:rPr>
        <w:t>:</w:t>
      </w:r>
      <w:r w:rsidR="002B5440" w:rsidRPr="00056DFA">
        <w:rPr>
          <w:sz w:val="24"/>
          <w:szCs w:val="24"/>
        </w:rPr>
        <w:t xml:space="preserve"> </w:t>
      </w:r>
      <w:r w:rsidR="002B5440" w:rsidRPr="00056DFA">
        <w:rPr>
          <w:b/>
          <w:sz w:val="24"/>
          <w:szCs w:val="24"/>
        </w:rPr>
        <w:t>„Медицинско обслужване“</w:t>
      </w:r>
      <w:r w:rsidR="002B5440" w:rsidRPr="00056DFA">
        <w:rPr>
          <w:sz w:val="24"/>
          <w:szCs w:val="24"/>
        </w:rPr>
        <w:t xml:space="preserve">.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16.3  млн.лв., по уточнен план същите възлизат на 28.2 млн.лв., а по отчет са 29.7 млн.лв.</w:t>
      </w:r>
    </w:p>
    <w:p w:rsidR="002B5440" w:rsidRPr="00056DFA" w:rsidRDefault="002B5440" w:rsidP="002A1989">
      <w:pPr>
        <w:spacing w:before="0" w:after="0"/>
        <w:jc w:val="both"/>
        <w:rPr>
          <w:sz w:val="24"/>
          <w:szCs w:val="24"/>
        </w:rPr>
      </w:pPr>
      <w:r w:rsidRPr="00056DFA">
        <w:rPr>
          <w:sz w:val="24"/>
          <w:szCs w:val="24"/>
        </w:rPr>
        <w:t xml:space="preserve">В Медицинския институт на МВР </w:t>
      </w:r>
      <w:r w:rsidRPr="00056DFA">
        <w:rPr>
          <w:sz w:val="24"/>
          <w:szCs w:val="24"/>
          <w:lang w:val="ru-RU"/>
        </w:rPr>
        <w:t>(</w:t>
      </w:r>
      <w:r w:rsidRPr="00056DFA">
        <w:rPr>
          <w:sz w:val="24"/>
          <w:szCs w:val="24"/>
        </w:rPr>
        <w:t>МИ-МВР</w:t>
      </w:r>
      <w:r w:rsidRPr="00056DFA">
        <w:rPr>
          <w:sz w:val="24"/>
          <w:szCs w:val="24"/>
          <w:lang w:val="ru-RU"/>
        </w:rPr>
        <w:t>)</w:t>
      </w:r>
      <w:r w:rsidRPr="00056DFA">
        <w:rPr>
          <w:sz w:val="24"/>
          <w:szCs w:val="24"/>
        </w:rPr>
        <w:t xml:space="preserve"> през 2017 година в кабинетите на консултативно диагностичния блок /КДБ/ са извършени общо </w:t>
      </w:r>
      <w:r w:rsidRPr="00056DFA">
        <w:rPr>
          <w:sz w:val="24"/>
          <w:szCs w:val="24"/>
          <w:lang w:val="ru-RU"/>
        </w:rPr>
        <w:t>109 121</w:t>
      </w:r>
      <w:r w:rsidRPr="00056DFA">
        <w:rPr>
          <w:sz w:val="24"/>
          <w:szCs w:val="24"/>
        </w:rPr>
        <w:t xml:space="preserve"> прегледа. От тях</w:t>
      </w:r>
      <w:r w:rsidRPr="00056DFA">
        <w:rPr>
          <w:sz w:val="24"/>
          <w:szCs w:val="24"/>
          <w:lang w:val="ru-RU"/>
        </w:rPr>
        <w:t xml:space="preserve"> - 31</w:t>
      </w:r>
      <w:r w:rsidRPr="00056DFA">
        <w:rPr>
          <w:sz w:val="24"/>
          <w:szCs w:val="24"/>
          <w:lang w:val="en-US"/>
        </w:rPr>
        <w:t> </w:t>
      </w:r>
      <w:r w:rsidRPr="00056DFA">
        <w:rPr>
          <w:sz w:val="24"/>
          <w:szCs w:val="24"/>
          <w:lang w:val="ru-RU"/>
        </w:rPr>
        <w:t xml:space="preserve">354 </w:t>
      </w:r>
      <w:r w:rsidRPr="00056DFA">
        <w:rPr>
          <w:sz w:val="24"/>
          <w:szCs w:val="24"/>
        </w:rPr>
        <w:t xml:space="preserve"> прегледа на служители на МВР, 1</w:t>
      </w:r>
      <w:r w:rsidRPr="00056DFA">
        <w:rPr>
          <w:sz w:val="24"/>
          <w:szCs w:val="24"/>
          <w:lang w:val="ru-RU"/>
        </w:rPr>
        <w:t>7 888</w:t>
      </w:r>
      <w:r w:rsidRPr="00056DFA">
        <w:rPr>
          <w:sz w:val="24"/>
          <w:szCs w:val="24"/>
        </w:rPr>
        <w:t xml:space="preserve"> на членове на семейства, </w:t>
      </w:r>
      <w:r w:rsidRPr="00056DFA">
        <w:rPr>
          <w:sz w:val="24"/>
          <w:szCs w:val="24"/>
          <w:lang w:val="ru-RU"/>
        </w:rPr>
        <w:t>14 292</w:t>
      </w:r>
      <w:r w:rsidRPr="00056DFA">
        <w:rPr>
          <w:sz w:val="24"/>
          <w:szCs w:val="24"/>
        </w:rPr>
        <w:t xml:space="preserve"> на пенсионери на МВР, </w:t>
      </w:r>
      <w:r w:rsidRPr="00056DFA">
        <w:rPr>
          <w:sz w:val="24"/>
          <w:szCs w:val="24"/>
          <w:lang w:val="ru-RU"/>
        </w:rPr>
        <w:t>21</w:t>
      </w:r>
      <w:r w:rsidRPr="00056DFA">
        <w:rPr>
          <w:sz w:val="24"/>
          <w:szCs w:val="24"/>
          <w:lang w:val="en-US"/>
        </w:rPr>
        <w:t> </w:t>
      </w:r>
      <w:r w:rsidRPr="00056DFA">
        <w:rPr>
          <w:sz w:val="24"/>
          <w:szCs w:val="24"/>
          <w:lang w:val="ru-RU"/>
        </w:rPr>
        <w:t>869</w:t>
      </w:r>
      <w:r w:rsidRPr="00056DFA">
        <w:rPr>
          <w:sz w:val="24"/>
          <w:szCs w:val="24"/>
        </w:rPr>
        <w:t xml:space="preserve"> на други лица, 2</w:t>
      </w:r>
      <w:r w:rsidRPr="00056DFA">
        <w:rPr>
          <w:sz w:val="24"/>
          <w:szCs w:val="24"/>
          <w:lang w:val="ru-RU"/>
        </w:rPr>
        <w:t>400</w:t>
      </w:r>
      <w:r w:rsidRPr="00056DFA">
        <w:rPr>
          <w:sz w:val="24"/>
          <w:szCs w:val="24"/>
        </w:rPr>
        <w:t xml:space="preserve"> на задържани, </w:t>
      </w:r>
      <w:r w:rsidRPr="00056DFA">
        <w:rPr>
          <w:sz w:val="24"/>
          <w:szCs w:val="24"/>
          <w:lang w:val="ru-RU"/>
        </w:rPr>
        <w:t>480</w:t>
      </w:r>
      <w:r w:rsidRPr="00056DFA">
        <w:rPr>
          <w:sz w:val="24"/>
          <w:szCs w:val="24"/>
        </w:rPr>
        <w:t xml:space="preserve"> на лица от СДВНЧ /бежанци/, 4</w:t>
      </w:r>
      <w:r w:rsidRPr="00056DFA">
        <w:rPr>
          <w:sz w:val="24"/>
          <w:szCs w:val="24"/>
          <w:lang w:val="ru-RU"/>
        </w:rPr>
        <w:t>492</w:t>
      </w:r>
      <w:r w:rsidRPr="00056DFA">
        <w:rPr>
          <w:sz w:val="24"/>
          <w:szCs w:val="24"/>
        </w:rPr>
        <w:t xml:space="preserve"> на кандидати за работа в АМВР и </w:t>
      </w:r>
      <w:r w:rsidRPr="00056DFA">
        <w:rPr>
          <w:sz w:val="24"/>
          <w:szCs w:val="24"/>
          <w:lang w:val="ru-RU"/>
        </w:rPr>
        <w:t>16</w:t>
      </w:r>
      <w:r w:rsidRPr="00056DFA">
        <w:rPr>
          <w:sz w:val="24"/>
          <w:szCs w:val="24"/>
        </w:rPr>
        <w:t xml:space="preserve"> </w:t>
      </w:r>
      <w:r w:rsidRPr="00056DFA">
        <w:rPr>
          <w:sz w:val="24"/>
          <w:szCs w:val="24"/>
          <w:lang w:val="ru-RU"/>
        </w:rPr>
        <w:t>346</w:t>
      </w:r>
      <w:r w:rsidRPr="00056DFA">
        <w:rPr>
          <w:sz w:val="24"/>
          <w:szCs w:val="24"/>
        </w:rPr>
        <w:t xml:space="preserve"> </w:t>
      </w:r>
      <w:r w:rsidRPr="00056DFA">
        <w:rPr>
          <w:sz w:val="24"/>
          <w:szCs w:val="24"/>
          <w:lang w:val="ru-RU"/>
        </w:rPr>
        <w:t>–</w:t>
      </w:r>
      <w:r w:rsidRPr="00056DFA">
        <w:rPr>
          <w:sz w:val="24"/>
          <w:szCs w:val="24"/>
        </w:rPr>
        <w:t xml:space="preserve"> медицински свидетелства.</w:t>
      </w:r>
    </w:p>
    <w:p w:rsidR="002B5440" w:rsidRPr="00056DFA" w:rsidRDefault="002B5440" w:rsidP="002A1989">
      <w:pPr>
        <w:spacing w:before="0" w:after="0"/>
        <w:jc w:val="both"/>
        <w:rPr>
          <w:sz w:val="24"/>
          <w:szCs w:val="24"/>
        </w:rPr>
      </w:pPr>
      <w:r w:rsidRPr="00056DFA">
        <w:rPr>
          <w:sz w:val="24"/>
          <w:szCs w:val="24"/>
        </w:rPr>
        <w:t xml:space="preserve">В отделението по спешна медицина е оказана медицинска помощ общо на 15 273 пациенти, от които са хоспитализирани </w:t>
      </w:r>
      <w:r w:rsidRPr="00056DFA">
        <w:rPr>
          <w:bCs/>
          <w:sz w:val="24"/>
          <w:szCs w:val="24"/>
        </w:rPr>
        <w:t>4063</w:t>
      </w:r>
      <w:r w:rsidRPr="00056DFA">
        <w:rPr>
          <w:sz w:val="24"/>
          <w:szCs w:val="24"/>
        </w:rPr>
        <w:t>.</w:t>
      </w:r>
      <w:r w:rsidRPr="00056DFA">
        <w:rPr>
          <w:sz w:val="24"/>
          <w:szCs w:val="24"/>
          <w:lang w:val="ru-RU"/>
        </w:rPr>
        <w:t xml:space="preserve"> На преминалите през отделението и </w:t>
      </w:r>
      <w:r w:rsidRPr="00056DFA">
        <w:rPr>
          <w:sz w:val="24"/>
          <w:szCs w:val="24"/>
        </w:rPr>
        <w:t xml:space="preserve">приемно-консултативните кабинети </w:t>
      </w:r>
      <w:r w:rsidRPr="00056DFA">
        <w:rPr>
          <w:sz w:val="24"/>
          <w:szCs w:val="24"/>
          <w:lang w:val="ru-RU"/>
        </w:rPr>
        <w:t>(</w:t>
      </w:r>
      <w:r w:rsidRPr="00056DFA">
        <w:rPr>
          <w:sz w:val="24"/>
          <w:szCs w:val="24"/>
        </w:rPr>
        <w:t>ПКК</w:t>
      </w:r>
      <w:r w:rsidRPr="00056DFA">
        <w:rPr>
          <w:sz w:val="24"/>
          <w:szCs w:val="24"/>
          <w:lang w:val="ru-RU"/>
        </w:rPr>
        <w:t>)</w:t>
      </w:r>
      <w:r w:rsidRPr="00056DFA">
        <w:rPr>
          <w:sz w:val="24"/>
          <w:szCs w:val="24"/>
        </w:rPr>
        <w:t xml:space="preserve"> за спешна медицинска помощ пациенти са извършени </w:t>
      </w:r>
      <w:r w:rsidRPr="00056DFA">
        <w:rPr>
          <w:sz w:val="24"/>
          <w:szCs w:val="24"/>
          <w:lang w:val="ru-RU"/>
        </w:rPr>
        <w:t xml:space="preserve">9418 </w:t>
      </w:r>
      <w:r w:rsidRPr="00056DFA">
        <w:rPr>
          <w:sz w:val="24"/>
          <w:szCs w:val="24"/>
        </w:rPr>
        <w:t xml:space="preserve">амбулаторни прегледи, а в ПКК по специфични и консултативни дейности са прегледани </w:t>
      </w:r>
      <w:r w:rsidRPr="00056DFA">
        <w:rPr>
          <w:sz w:val="24"/>
          <w:szCs w:val="24"/>
          <w:lang w:val="ru-RU"/>
        </w:rPr>
        <w:t xml:space="preserve">5855 </w:t>
      </w:r>
      <w:r w:rsidRPr="00056DFA">
        <w:rPr>
          <w:sz w:val="24"/>
          <w:szCs w:val="24"/>
        </w:rPr>
        <w:t>лица по ЗМВР.</w:t>
      </w:r>
    </w:p>
    <w:p w:rsidR="002B5440" w:rsidRPr="00056DFA" w:rsidRDefault="002B5440" w:rsidP="002A1989">
      <w:pPr>
        <w:spacing w:before="0" w:after="0"/>
        <w:jc w:val="both"/>
        <w:rPr>
          <w:sz w:val="24"/>
          <w:szCs w:val="24"/>
        </w:rPr>
      </w:pPr>
      <w:r w:rsidRPr="00056DFA">
        <w:rPr>
          <w:sz w:val="24"/>
          <w:szCs w:val="24"/>
        </w:rPr>
        <w:t xml:space="preserve">През Медицински институт на МВР са преминали общо 24 725 пациенти - служители и други лица, от които през </w:t>
      </w:r>
      <w:proofErr w:type="spellStart"/>
      <w:r w:rsidRPr="00056DFA">
        <w:rPr>
          <w:sz w:val="24"/>
          <w:szCs w:val="24"/>
        </w:rPr>
        <w:t>Многопрофилната</w:t>
      </w:r>
      <w:proofErr w:type="spellEnd"/>
      <w:r w:rsidRPr="00056DFA">
        <w:rPr>
          <w:sz w:val="24"/>
          <w:szCs w:val="24"/>
        </w:rPr>
        <w:t xml:space="preserve"> болница за активно лечение </w:t>
      </w:r>
      <w:r w:rsidRPr="00056DFA">
        <w:rPr>
          <w:sz w:val="24"/>
          <w:szCs w:val="24"/>
          <w:lang w:val="ru-RU"/>
        </w:rPr>
        <w:t>(</w:t>
      </w:r>
      <w:r w:rsidRPr="00056DFA">
        <w:rPr>
          <w:sz w:val="24"/>
          <w:szCs w:val="24"/>
        </w:rPr>
        <w:t xml:space="preserve">МБАЛ) </w:t>
      </w:r>
      <w:r w:rsidRPr="00056DFA">
        <w:rPr>
          <w:sz w:val="24"/>
          <w:szCs w:val="24"/>
          <w:lang w:val="ru-RU"/>
        </w:rPr>
        <w:t xml:space="preserve">– </w:t>
      </w:r>
      <w:r w:rsidRPr="00056DFA">
        <w:rPr>
          <w:sz w:val="24"/>
          <w:szCs w:val="24"/>
        </w:rPr>
        <w:t xml:space="preserve">ЦКБ </w:t>
      </w:r>
      <w:r w:rsidRPr="00056DFA">
        <w:rPr>
          <w:sz w:val="24"/>
          <w:szCs w:val="24"/>
          <w:lang w:val="ru-RU"/>
        </w:rPr>
        <w:t>–1</w:t>
      </w:r>
      <w:r w:rsidRPr="00056DFA">
        <w:rPr>
          <w:sz w:val="24"/>
          <w:szCs w:val="24"/>
        </w:rPr>
        <w:t xml:space="preserve">5 002 пациенти. През клиниките и отделенията от терапевтичен профил са преминали общо 9768 пациента с пролежани 48 045 </w:t>
      </w:r>
      <w:proofErr w:type="spellStart"/>
      <w:r w:rsidRPr="00056DFA">
        <w:rPr>
          <w:sz w:val="24"/>
          <w:szCs w:val="24"/>
        </w:rPr>
        <w:t>леглодни</w:t>
      </w:r>
      <w:proofErr w:type="spellEnd"/>
      <w:r w:rsidRPr="00056DFA">
        <w:rPr>
          <w:sz w:val="24"/>
          <w:szCs w:val="24"/>
        </w:rPr>
        <w:t>, а средният болничен престой е 5,</w:t>
      </w:r>
      <w:r w:rsidRPr="00056DFA">
        <w:rPr>
          <w:sz w:val="24"/>
          <w:szCs w:val="24"/>
          <w:lang w:val="ru-RU"/>
        </w:rPr>
        <w:t>45</w:t>
      </w:r>
      <w:r w:rsidRPr="00056DFA">
        <w:rPr>
          <w:sz w:val="24"/>
          <w:szCs w:val="24"/>
        </w:rPr>
        <w:t xml:space="preserve"> дни. През клиниките и отделенията от хирургичния профил са преминали общо 7000</w:t>
      </w:r>
      <w:r w:rsidRPr="00056DFA">
        <w:rPr>
          <w:sz w:val="24"/>
          <w:szCs w:val="24"/>
          <w:lang w:val="ru-RU"/>
        </w:rPr>
        <w:t xml:space="preserve"> </w:t>
      </w:r>
      <w:r w:rsidRPr="00056DFA">
        <w:rPr>
          <w:sz w:val="24"/>
          <w:szCs w:val="24"/>
        </w:rPr>
        <w:t xml:space="preserve">пациенти. Средният престой е 4,08 дни, извършени са 4781 операции. Средният </w:t>
      </w:r>
      <w:proofErr w:type="spellStart"/>
      <w:r w:rsidRPr="00056DFA">
        <w:rPr>
          <w:sz w:val="24"/>
          <w:szCs w:val="24"/>
        </w:rPr>
        <w:t>предоперативен</w:t>
      </w:r>
      <w:proofErr w:type="spellEnd"/>
      <w:r w:rsidRPr="00056DFA">
        <w:rPr>
          <w:sz w:val="24"/>
          <w:szCs w:val="24"/>
        </w:rPr>
        <w:t xml:space="preserve"> период е </w:t>
      </w:r>
      <w:r w:rsidRPr="00056DFA">
        <w:rPr>
          <w:sz w:val="24"/>
          <w:szCs w:val="24"/>
          <w:lang w:val="ru-RU"/>
        </w:rPr>
        <w:t>2</w:t>
      </w:r>
      <w:r w:rsidRPr="00056DFA">
        <w:rPr>
          <w:sz w:val="24"/>
          <w:szCs w:val="24"/>
        </w:rPr>
        <w:t xml:space="preserve"> дни, а средния следоперативен период – 3,</w:t>
      </w:r>
      <w:r w:rsidRPr="00056DFA">
        <w:rPr>
          <w:sz w:val="24"/>
          <w:szCs w:val="24"/>
          <w:lang w:val="ru-RU"/>
        </w:rPr>
        <w:t>7</w:t>
      </w:r>
      <w:r w:rsidRPr="00056DFA">
        <w:rPr>
          <w:sz w:val="24"/>
          <w:szCs w:val="24"/>
        </w:rPr>
        <w:t xml:space="preserve"> дни. </w:t>
      </w:r>
    </w:p>
    <w:p w:rsidR="002B5440" w:rsidRPr="00056DFA" w:rsidRDefault="002B5440" w:rsidP="00056DFA">
      <w:pPr>
        <w:spacing w:before="0" w:after="0"/>
        <w:jc w:val="both"/>
        <w:rPr>
          <w:sz w:val="24"/>
          <w:szCs w:val="24"/>
        </w:rPr>
      </w:pPr>
      <w:r w:rsidRPr="00056DFA">
        <w:rPr>
          <w:sz w:val="24"/>
          <w:szCs w:val="24"/>
        </w:rPr>
        <w:t xml:space="preserve">В болниците за продължително лечение и рехабилитация – филиали на МИ, е извършена диагностично-лечебна дейност, </w:t>
      </w:r>
      <w:proofErr w:type="spellStart"/>
      <w:r w:rsidRPr="00056DFA">
        <w:rPr>
          <w:sz w:val="24"/>
          <w:szCs w:val="24"/>
        </w:rPr>
        <w:t>физикална</w:t>
      </w:r>
      <w:proofErr w:type="spellEnd"/>
      <w:r w:rsidRPr="00056DFA">
        <w:rPr>
          <w:sz w:val="24"/>
          <w:szCs w:val="24"/>
        </w:rPr>
        <w:t xml:space="preserve"> терапия, моторна и психична рехабилитация и балнеолечение. През 2017 г. общо през филиалите са преминали 9723 пациенти. Във филиал Хисар </w:t>
      </w:r>
      <w:r w:rsidRPr="00056DFA">
        <w:rPr>
          <w:sz w:val="24"/>
          <w:szCs w:val="24"/>
          <w:lang w:val="ru-RU"/>
        </w:rPr>
        <w:t>–</w:t>
      </w:r>
      <w:r w:rsidRPr="00056DFA">
        <w:rPr>
          <w:sz w:val="24"/>
          <w:szCs w:val="24"/>
        </w:rPr>
        <w:t xml:space="preserve"> 5339 пациенти, при разкрити 240 среден брой легла и 46 358 реализирани </w:t>
      </w:r>
      <w:proofErr w:type="spellStart"/>
      <w:r w:rsidRPr="00056DFA">
        <w:rPr>
          <w:sz w:val="24"/>
          <w:szCs w:val="24"/>
        </w:rPr>
        <w:t>леглодните</w:t>
      </w:r>
      <w:proofErr w:type="spellEnd"/>
      <w:r w:rsidRPr="00056DFA">
        <w:rPr>
          <w:sz w:val="24"/>
          <w:szCs w:val="24"/>
        </w:rPr>
        <w:t xml:space="preserve"> и използваемост на леглата 54,8 %. Във филиал Варна – 2746 пациента</w:t>
      </w:r>
      <w:r w:rsidRPr="00056DFA">
        <w:rPr>
          <w:sz w:val="24"/>
          <w:szCs w:val="24"/>
          <w:lang w:val="ru-RU"/>
        </w:rPr>
        <w:t>, п</w:t>
      </w:r>
      <w:r w:rsidRPr="00056DFA">
        <w:rPr>
          <w:sz w:val="24"/>
          <w:szCs w:val="24"/>
        </w:rPr>
        <w:t xml:space="preserve">ри разкрити 150 легла и реализирани 24 202 </w:t>
      </w:r>
      <w:proofErr w:type="spellStart"/>
      <w:r w:rsidRPr="00056DFA">
        <w:rPr>
          <w:sz w:val="24"/>
          <w:szCs w:val="24"/>
        </w:rPr>
        <w:t>леглодни</w:t>
      </w:r>
      <w:proofErr w:type="spellEnd"/>
      <w:r w:rsidRPr="00056DFA">
        <w:rPr>
          <w:sz w:val="24"/>
          <w:szCs w:val="24"/>
        </w:rPr>
        <w:t>, с използваемост 45,4 %. Във филиал гр. Банкя са преминали 1638 пациенти, при разкрити 67</w:t>
      </w:r>
      <w:r w:rsidRPr="00056DFA">
        <w:rPr>
          <w:sz w:val="24"/>
          <w:szCs w:val="24"/>
          <w:lang w:val="ru-RU"/>
        </w:rPr>
        <w:t xml:space="preserve"> </w:t>
      </w:r>
      <w:r w:rsidRPr="00056DFA">
        <w:rPr>
          <w:sz w:val="24"/>
          <w:szCs w:val="24"/>
        </w:rPr>
        <w:t xml:space="preserve">легла, при общо проведени </w:t>
      </w:r>
      <w:proofErr w:type="spellStart"/>
      <w:r w:rsidRPr="00056DFA">
        <w:rPr>
          <w:sz w:val="24"/>
          <w:szCs w:val="24"/>
        </w:rPr>
        <w:t>леглодни</w:t>
      </w:r>
      <w:proofErr w:type="spellEnd"/>
      <w:r w:rsidRPr="00056DFA">
        <w:rPr>
          <w:sz w:val="24"/>
          <w:szCs w:val="24"/>
        </w:rPr>
        <w:t xml:space="preserve"> за периода − 14 392 дни, а използваемостта е 58,6 %. В медицинските служби в сектор „</w:t>
      </w:r>
      <w:proofErr w:type="spellStart"/>
      <w:r w:rsidRPr="00056DFA">
        <w:rPr>
          <w:sz w:val="24"/>
          <w:szCs w:val="24"/>
        </w:rPr>
        <w:t>Извънболнична</w:t>
      </w:r>
      <w:proofErr w:type="spellEnd"/>
      <w:r w:rsidRPr="00056DFA">
        <w:rPr>
          <w:sz w:val="24"/>
          <w:szCs w:val="24"/>
        </w:rPr>
        <w:t xml:space="preserve"> помощ” са извършени 111 998 амбулаторни прегледи.</w:t>
      </w:r>
    </w:p>
    <w:p w:rsidR="002B5440" w:rsidRPr="00D4695A" w:rsidRDefault="002B5440" w:rsidP="00056DFA">
      <w:pPr>
        <w:spacing w:before="0" w:after="0"/>
        <w:jc w:val="both"/>
        <w:rPr>
          <w:sz w:val="24"/>
          <w:szCs w:val="24"/>
        </w:rPr>
      </w:pPr>
      <w:r w:rsidRPr="00056DFA">
        <w:rPr>
          <w:sz w:val="24"/>
          <w:szCs w:val="24"/>
        </w:rPr>
        <w:t>Осъществява се</w:t>
      </w:r>
      <w:r w:rsidRPr="00056DFA">
        <w:rPr>
          <w:b/>
          <w:sz w:val="24"/>
          <w:szCs w:val="24"/>
        </w:rPr>
        <w:t xml:space="preserve"> </w:t>
      </w:r>
      <w:r w:rsidRPr="00056DFA">
        <w:rPr>
          <w:sz w:val="24"/>
          <w:szCs w:val="24"/>
        </w:rPr>
        <w:t xml:space="preserve">първична </w:t>
      </w:r>
      <w:proofErr w:type="spellStart"/>
      <w:r w:rsidRPr="00056DFA">
        <w:rPr>
          <w:sz w:val="24"/>
          <w:szCs w:val="24"/>
        </w:rPr>
        <w:t>извънболнична</w:t>
      </w:r>
      <w:proofErr w:type="spellEnd"/>
      <w:r w:rsidRPr="00056DFA">
        <w:rPr>
          <w:sz w:val="24"/>
          <w:szCs w:val="24"/>
        </w:rPr>
        <w:t xml:space="preserve"> и специализирана медицинска помощ, насочена към профилактика, ранно откриване, диагностика и лечение на заболявания на служителите от МВР. Провеждат се ежегодно профилактични и целеви прегледи и изследвания за откриване на конкретни заболявания. Организира се дейността по информационен мониторинг на здравното състояние на служителите. Изучават се здравните им потребности и се анализира здравното им състояние. Предлагат се мерки </w:t>
      </w:r>
      <w:r w:rsidRPr="00056DFA">
        <w:rPr>
          <w:sz w:val="24"/>
          <w:szCs w:val="24"/>
        </w:rPr>
        <w:lastRenderedPageBreak/>
        <w:t xml:space="preserve">за решаване на проблемите, диспансерно наблюдение на хронично болни служители, на </w:t>
      </w:r>
      <w:proofErr w:type="spellStart"/>
      <w:r w:rsidRPr="00056DFA">
        <w:rPr>
          <w:sz w:val="24"/>
          <w:szCs w:val="24"/>
        </w:rPr>
        <w:t>преболедували</w:t>
      </w:r>
      <w:proofErr w:type="spellEnd"/>
      <w:r w:rsidRPr="00056DFA">
        <w:rPr>
          <w:sz w:val="24"/>
          <w:szCs w:val="24"/>
        </w:rPr>
        <w:t xml:space="preserve"> от остри инфекциозни заболявания, на работещи при вредни за здравето </w:t>
      </w:r>
      <w:r w:rsidRPr="00D4695A">
        <w:rPr>
          <w:sz w:val="24"/>
          <w:szCs w:val="24"/>
        </w:rPr>
        <w:t>и специфични условия.</w:t>
      </w:r>
    </w:p>
    <w:p w:rsidR="002B5440" w:rsidRPr="00D4695A" w:rsidRDefault="002B5440" w:rsidP="00056DFA">
      <w:pPr>
        <w:spacing w:before="0" w:after="0"/>
        <w:jc w:val="both"/>
        <w:rPr>
          <w:sz w:val="24"/>
          <w:szCs w:val="24"/>
        </w:rPr>
      </w:pPr>
      <w:r w:rsidRPr="00D4695A">
        <w:rPr>
          <w:sz w:val="24"/>
          <w:szCs w:val="24"/>
        </w:rPr>
        <w:t xml:space="preserve">В Медицинския институт на МВР научноизследователската дейност е насочена към разработване на научна и </w:t>
      </w:r>
      <w:proofErr w:type="spellStart"/>
      <w:r w:rsidRPr="00D4695A">
        <w:rPr>
          <w:sz w:val="24"/>
          <w:szCs w:val="24"/>
        </w:rPr>
        <w:t>научноприложна</w:t>
      </w:r>
      <w:proofErr w:type="spellEnd"/>
      <w:r w:rsidRPr="00D4695A">
        <w:rPr>
          <w:sz w:val="24"/>
          <w:szCs w:val="24"/>
        </w:rPr>
        <w:t xml:space="preserve"> тематика и свързаното с нея израстване на млади научни работници. Тази дейност се ръководи от научно – учебен съвет, в състава на който влизат 43 души, от които 30 хабилитирани лица. Медицинският институт на МВР разполага с висококвалифициран преподавателски състав: професори – 13, доценти – 17, с образователна и научна степен “доктор” – 11 и асистенти – 4.</w:t>
      </w:r>
    </w:p>
    <w:p w:rsidR="002B5440" w:rsidRPr="00D4695A" w:rsidRDefault="002B5440" w:rsidP="00056DFA">
      <w:pPr>
        <w:spacing w:before="0" w:after="0"/>
        <w:jc w:val="both"/>
        <w:rPr>
          <w:bCs/>
          <w:sz w:val="24"/>
          <w:szCs w:val="24"/>
        </w:rPr>
      </w:pPr>
      <w:r w:rsidRPr="00D4695A">
        <w:rPr>
          <w:sz w:val="24"/>
          <w:szCs w:val="24"/>
        </w:rPr>
        <w:t>В МИ-МВР се осъществяват обучение на студенти и специализанти</w:t>
      </w:r>
      <w:r w:rsidRPr="00D4695A">
        <w:rPr>
          <w:bCs/>
          <w:sz w:val="24"/>
          <w:szCs w:val="24"/>
        </w:rPr>
        <w:t xml:space="preserve"> по специалностите </w:t>
      </w:r>
      <w:r w:rsidRPr="00D4695A">
        <w:rPr>
          <w:sz w:val="24"/>
          <w:szCs w:val="24"/>
        </w:rPr>
        <w:t xml:space="preserve">„медицина”, </w:t>
      </w:r>
      <w:r w:rsidRPr="00D4695A">
        <w:rPr>
          <w:bCs/>
          <w:sz w:val="24"/>
          <w:szCs w:val="24"/>
        </w:rPr>
        <w:t xml:space="preserve">„медицински </w:t>
      </w:r>
      <w:proofErr w:type="spellStart"/>
      <w:r w:rsidRPr="00D4695A">
        <w:rPr>
          <w:bCs/>
          <w:sz w:val="24"/>
          <w:szCs w:val="24"/>
        </w:rPr>
        <w:t>лаборант''</w:t>
      </w:r>
      <w:proofErr w:type="spellEnd"/>
      <w:r w:rsidRPr="00D4695A">
        <w:rPr>
          <w:bCs/>
          <w:sz w:val="24"/>
          <w:szCs w:val="24"/>
        </w:rPr>
        <w:t xml:space="preserve">, ''рентгенов </w:t>
      </w:r>
      <w:proofErr w:type="spellStart"/>
      <w:r w:rsidRPr="00D4695A">
        <w:rPr>
          <w:bCs/>
          <w:sz w:val="24"/>
          <w:szCs w:val="24"/>
        </w:rPr>
        <w:t>лаборант''</w:t>
      </w:r>
      <w:proofErr w:type="spellEnd"/>
      <w:r w:rsidRPr="00D4695A">
        <w:rPr>
          <w:bCs/>
          <w:sz w:val="24"/>
          <w:szCs w:val="24"/>
        </w:rPr>
        <w:t xml:space="preserve"> и ''</w:t>
      </w:r>
      <w:proofErr w:type="spellStart"/>
      <w:r w:rsidRPr="00D4695A">
        <w:rPr>
          <w:bCs/>
          <w:sz w:val="24"/>
          <w:szCs w:val="24"/>
        </w:rPr>
        <w:t>рехабилитатор''</w:t>
      </w:r>
      <w:proofErr w:type="spellEnd"/>
      <w:r w:rsidRPr="00D4695A">
        <w:rPr>
          <w:bCs/>
          <w:sz w:val="24"/>
          <w:szCs w:val="24"/>
        </w:rPr>
        <w:t>. През годината в МИ на МВР са обучени 192 студенти от НСА, 122 студенти по Здравни грижи, от които 54 по специалността рентгенов лаборант, 21 медицински сестри, 47 рехабилитатори и кинезитерапевти и 18 студенти по медицина на лятна учебна практика.</w:t>
      </w:r>
    </w:p>
    <w:p w:rsidR="002B5440" w:rsidRPr="00D4695A" w:rsidRDefault="002B5440" w:rsidP="00056DFA">
      <w:pPr>
        <w:spacing w:before="0" w:after="0"/>
        <w:jc w:val="both"/>
        <w:rPr>
          <w:sz w:val="24"/>
          <w:szCs w:val="24"/>
        </w:rPr>
      </w:pPr>
      <w:r w:rsidRPr="00D4695A">
        <w:rPr>
          <w:sz w:val="24"/>
          <w:szCs w:val="24"/>
        </w:rPr>
        <w:t xml:space="preserve">От трудовата експертна комисия (ТЕЛК) на МВР са издадени общо 635 експертни решения, от които 319 </w:t>
      </w:r>
      <w:proofErr w:type="spellStart"/>
      <w:r w:rsidRPr="00D4695A">
        <w:rPr>
          <w:sz w:val="24"/>
          <w:szCs w:val="24"/>
        </w:rPr>
        <w:t>експерни</w:t>
      </w:r>
      <w:proofErr w:type="spellEnd"/>
      <w:r w:rsidRPr="00D4695A">
        <w:rPr>
          <w:sz w:val="24"/>
          <w:szCs w:val="24"/>
        </w:rPr>
        <w:t xml:space="preserve"> решения за трайно намалена работоспособност. Централната експертна комисия (ЦЕЛК) - МВР е издала 1979 експертни решения на държавни служители по ЗМВР, 1900 на кандидат-служители и 624 на кандидат-курсанти.</w:t>
      </w:r>
    </w:p>
    <w:p w:rsidR="002B5440" w:rsidRPr="00D4695A" w:rsidRDefault="002B5440" w:rsidP="00056DFA">
      <w:pPr>
        <w:spacing w:before="0" w:after="0"/>
        <w:jc w:val="both"/>
        <w:rPr>
          <w:sz w:val="24"/>
          <w:szCs w:val="24"/>
        </w:rPr>
      </w:pPr>
      <w:r w:rsidRPr="00D4695A">
        <w:rPr>
          <w:sz w:val="24"/>
          <w:szCs w:val="24"/>
        </w:rPr>
        <w:t xml:space="preserve">За нуждите на следствието и прокуратурата са извършени 37 съдебно-медицински експертизи. </w:t>
      </w:r>
    </w:p>
    <w:p w:rsidR="002B5440" w:rsidRPr="00D4695A" w:rsidRDefault="002B5440" w:rsidP="00056DFA">
      <w:pPr>
        <w:spacing w:before="0" w:after="0"/>
        <w:jc w:val="both"/>
        <w:rPr>
          <w:sz w:val="24"/>
          <w:szCs w:val="24"/>
        </w:rPr>
      </w:pPr>
      <w:r w:rsidRPr="00D4695A">
        <w:rPr>
          <w:sz w:val="24"/>
          <w:szCs w:val="24"/>
        </w:rPr>
        <w:t xml:space="preserve">В домовете със специално предназначение са осъществени общо амбулаторни прегледи – 29 328, от които първични – 19 983, вторични – 9369. Лекуваните в болнични заведения са 37, в Централна клинична база - МИ МВР са 17. </w:t>
      </w:r>
    </w:p>
    <w:p w:rsidR="002B5440" w:rsidRPr="00056DFA" w:rsidRDefault="002B5440" w:rsidP="00056DFA">
      <w:pPr>
        <w:spacing w:before="0" w:after="0"/>
        <w:jc w:val="both"/>
        <w:rPr>
          <w:sz w:val="24"/>
          <w:szCs w:val="24"/>
        </w:rPr>
      </w:pPr>
      <w:r w:rsidRPr="00D4695A">
        <w:rPr>
          <w:sz w:val="24"/>
          <w:szCs w:val="24"/>
        </w:rPr>
        <w:t>В Медицинския институт са осъществени прегледи на лишени от свобода, задържани по чл. 72 от ЗМВР пълнолетни, непълнолетни лица, чужди граждани, както</w:t>
      </w:r>
      <w:r w:rsidRPr="00056DFA">
        <w:rPr>
          <w:sz w:val="24"/>
          <w:szCs w:val="24"/>
        </w:rPr>
        <w:t xml:space="preserve"> следва: общо – 31 095</w:t>
      </w:r>
      <w:r w:rsidRPr="00056DFA">
        <w:rPr>
          <w:sz w:val="24"/>
          <w:szCs w:val="24"/>
          <w:lang w:val="ru-RU"/>
        </w:rPr>
        <w:t>,</w:t>
      </w:r>
      <w:r w:rsidRPr="00056DFA">
        <w:rPr>
          <w:sz w:val="24"/>
          <w:szCs w:val="24"/>
        </w:rPr>
        <w:t xml:space="preserve"> лишени от свобода – 113</w:t>
      </w:r>
      <w:r w:rsidRPr="00056DFA">
        <w:rPr>
          <w:sz w:val="24"/>
          <w:szCs w:val="24"/>
          <w:lang w:val="ru-RU"/>
        </w:rPr>
        <w:t xml:space="preserve">, </w:t>
      </w:r>
      <w:r w:rsidRPr="00056DFA">
        <w:rPr>
          <w:sz w:val="24"/>
          <w:szCs w:val="24"/>
        </w:rPr>
        <w:t>пълнолетни лица – 1754</w:t>
      </w:r>
      <w:r w:rsidRPr="00056DFA">
        <w:rPr>
          <w:sz w:val="24"/>
          <w:szCs w:val="24"/>
          <w:lang w:val="ru-RU"/>
        </w:rPr>
        <w:t>,</w:t>
      </w:r>
      <w:r w:rsidRPr="00056DFA">
        <w:rPr>
          <w:sz w:val="24"/>
          <w:szCs w:val="24"/>
        </w:rPr>
        <w:t xml:space="preserve"> непълнолетни лица – 83 и чужди граждани – 29 145, от тях лекувани в болнични заведения – 192, в ЦКБ МИ МВР – 47.</w:t>
      </w:r>
    </w:p>
    <w:p w:rsidR="002B5440" w:rsidRPr="00056DFA" w:rsidRDefault="002B5440" w:rsidP="00056DFA">
      <w:pPr>
        <w:spacing w:before="0" w:after="0"/>
        <w:jc w:val="both"/>
        <w:rPr>
          <w:sz w:val="24"/>
          <w:szCs w:val="24"/>
        </w:rPr>
      </w:pPr>
      <w:r w:rsidRPr="00056DFA">
        <w:rPr>
          <w:sz w:val="24"/>
          <w:szCs w:val="24"/>
        </w:rPr>
        <w:t>Екипи на МИ участваха в медицинското осигуряване на служителите на МВР, отговарящи за реда при провеждането на шествия, масови мероприятия в столицата и страната.</w:t>
      </w:r>
    </w:p>
    <w:p w:rsidR="002B5440" w:rsidRPr="00056DFA" w:rsidRDefault="00C77253" w:rsidP="00056DFA">
      <w:pPr>
        <w:tabs>
          <w:tab w:val="left" w:pos="540"/>
          <w:tab w:val="left" w:pos="720"/>
        </w:tabs>
        <w:spacing w:before="0" w:after="0"/>
        <w:jc w:val="both"/>
        <w:rPr>
          <w:sz w:val="24"/>
          <w:szCs w:val="24"/>
        </w:rPr>
      </w:pPr>
      <w:r w:rsidRPr="00056DFA">
        <w:rPr>
          <w:b/>
          <w:sz w:val="24"/>
          <w:szCs w:val="24"/>
          <w:u w:val="single"/>
        </w:rPr>
        <w:t>Бюджетна програма</w:t>
      </w:r>
      <w:r w:rsidR="002B5440" w:rsidRPr="00056DFA">
        <w:rPr>
          <w:b/>
          <w:caps/>
          <w:sz w:val="24"/>
          <w:szCs w:val="24"/>
          <w:u w:val="single"/>
        </w:rPr>
        <w:t>:</w:t>
      </w:r>
      <w:r w:rsidR="002B5440" w:rsidRPr="00056DFA">
        <w:rPr>
          <w:sz w:val="24"/>
          <w:szCs w:val="24"/>
        </w:rPr>
        <w:t xml:space="preserve"> </w:t>
      </w:r>
      <w:r w:rsidR="002B5440" w:rsidRPr="00056DFA">
        <w:rPr>
          <w:b/>
          <w:sz w:val="24"/>
          <w:szCs w:val="24"/>
        </w:rPr>
        <w:t>„Научни изследвания и разработки, обучение и квалификация“</w:t>
      </w:r>
      <w:r w:rsidR="002B5440" w:rsidRPr="00056DFA">
        <w:rPr>
          <w:sz w:val="24"/>
          <w:szCs w:val="24"/>
        </w:rPr>
        <w:t xml:space="preserve"> </w:t>
      </w:r>
    </w:p>
    <w:p w:rsidR="002B5440" w:rsidRPr="00056DFA" w:rsidRDefault="002B5440" w:rsidP="002A1989">
      <w:pPr>
        <w:keepNext/>
        <w:shd w:val="clear" w:color="auto" w:fill="FFFFFF"/>
        <w:tabs>
          <w:tab w:val="left" w:pos="567"/>
          <w:tab w:val="left" w:leader="dot" w:pos="1771"/>
          <w:tab w:val="left" w:leader="dot" w:pos="2880"/>
        </w:tabs>
        <w:snapToGrid w:val="0"/>
        <w:spacing w:before="0" w:after="0"/>
        <w:jc w:val="both"/>
        <w:rPr>
          <w:sz w:val="24"/>
          <w:szCs w:val="24"/>
        </w:rPr>
      </w:pPr>
      <w:r w:rsidRPr="00056DFA">
        <w:rPr>
          <w:sz w:val="24"/>
          <w:szCs w:val="24"/>
        </w:rPr>
        <w:t>Утвърдените със ЗДБРБ за 2017 г. разходи по тази програма са в размер на 14.9  млн.лв., по уточнен план същите възлизат на 15.5 млн.лв., а по отчет са 16.2 млн.лв.</w:t>
      </w:r>
    </w:p>
    <w:p w:rsidR="002B5440" w:rsidRPr="00056DFA" w:rsidRDefault="002B5440" w:rsidP="002A1989">
      <w:pPr>
        <w:spacing w:before="0" w:after="0"/>
        <w:jc w:val="both"/>
        <w:rPr>
          <w:i/>
          <w:sz w:val="24"/>
          <w:szCs w:val="24"/>
          <w:u w:val="single"/>
        </w:rPr>
      </w:pPr>
      <w:r w:rsidRPr="00056DFA">
        <w:rPr>
          <w:i/>
          <w:sz w:val="24"/>
          <w:szCs w:val="24"/>
          <w:u w:val="single"/>
        </w:rPr>
        <w:t>Обучение и квалификация</w:t>
      </w:r>
    </w:p>
    <w:p w:rsidR="002B5440" w:rsidRPr="00056DFA" w:rsidRDefault="002B5440" w:rsidP="002A1989">
      <w:pPr>
        <w:spacing w:before="0" w:after="0"/>
        <w:jc w:val="both"/>
        <w:rPr>
          <w:sz w:val="24"/>
          <w:szCs w:val="24"/>
        </w:rPr>
      </w:pPr>
      <w:r w:rsidRPr="00056DFA">
        <w:rPr>
          <w:sz w:val="24"/>
          <w:szCs w:val="24"/>
        </w:rPr>
        <w:t>Стратегическа цел на Академията на МВР е да се превърне в национална институция за подготовка на държавни служители за службите за сигурност и обществен ред, имащи качества да бъдат изпълнители, ръководители и стратегически лидери от съвременен тип, експерти в областта на националната сигурност, ефективни практици в мениджмънта на ресурсите, способни да прилагат модерни концепции в национален и коалиционен формат.</w:t>
      </w:r>
    </w:p>
    <w:p w:rsidR="002B5440" w:rsidRPr="00056DFA" w:rsidRDefault="002B5440" w:rsidP="00056DFA">
      <w:pPr>
        <w:spacing w:before="0" w:after="0"/>
        <w:jc w:val="both"/>
        <w:rPr>
          <w:sz w:val="24"/>
          <w:szCs w:val="24"/>
        </w:rPr>
      </w:pPr>
      <w:r w:rsidRPr="00056DFA">
        <w:rPr>
          <w:sz w:val="24"/>
          <w:szCs w:val="24"/>
        </w:rPr>
        <w:t>Основен показател за отчитане изпълнението на целите на професионалното образование е броят обучаеми. При заложени в бюджетна прогноза за 2017 г. - 1350 обучаеми, са обучени общо 1488, в т. ч. 626 редовна форма; 826 задочна форма на обучение и 36 докторанти.</w:t>
      </w:r>
    </w:p>
    <w:p w:rsidR="002B5440" w:rsidRPr="00056DFA" w:rsidRDefault="002B5440" w:rsidP="00056DFA">
      <w:pPr>
        <w:spacing w:before="0" w:after="0"/>
        <w:jc w:val="both"/>
        <w:rPr>
          <w:sz w:val="24"/>
          <w:szCs w:val="24"/>
        </w:rPr>
      </w:pPr>
      <w:r w:rsidRPr="00056DFA">
        <w:rPr>
          <w:sz w:val="24"/>
          <w:szCs w:val="24"/>
        </w:rPr>
        <w:t xml:space="preserve">Стойностният показател за отчитане на професионалното обучение е обучени лица по професионалното направление. При планирани за 2017 г. 6000 човека, са </w:t>
      </w:r>
      <w:r w:rsidRPr="00056DFA">
        <w:rPr>
          <w:sz w:val="24"/>
          <w:szCs w:val="24"/>
        </w:rPr>
        <w:lastRenderedPageBreak/>
        <w:t xml:space="preserve">обучени 6775 човека, в това число 2755 дистанционно. При заложени в прогнозата за 2017 г. 135 издания и научни изследвания са реализирани </w:t>
      </w:r>
      <w:r w:rsidRPr="00056DFA">
        <w:rPr>
          <w:sz w:val="24"/>
          <w:szCs w:val="24"/>
          <w:lang w:val="ru-RU"/>
        </w:rPr>
        <w:t>27</w:t>
      </w:r>
      <w:r w:rsidRPr="00056DFA">
        <w:rPr>
          <w:sz w:val="24"/>
          <w:szCs w:val="24"/>
        </w:rPr>
        <w:t xml:space="preserve">. Стойностните показатели за професионалното образование и професионалното обучение са преизпълнени. </w:t>
      </w:r>
    </w:p>
    <w:p w:rsidR="002B5440" w:rsidRPr="00056DFA" w:rsidRDefault="002B5440" w:rsidP="00056DFA">
      <w:pPr>
        <w:spacing w:before="0" w:after="0"/>
        <w:jc w:val="both"/>
        <w:rPr>
          <w:sz w:val="24"/>
          <w:szCs w:val="24"/>
        </w:rPr>
      </w:pPr>
      <w:r w:rsidRPr="00056DFA">
        <w:rPr>
          <w:sz w:val="24"/>
          <w:szCs w:val="24"/>
        </w:rPr>
        <w:t xml:space="preserve">Изпълнени са основните цели на Академията по политиката и програмата, която следва. Постигнат е ефект от провежданата политика, а именно: усъвършенстване на образованието и квалификацията, отговарящо на потребностите на отделната личност, на гражданското общество и на европейските стандарти. </w:t>
      </w:r>
    </w:p>
    <w:p w:rsidR="002B5440" w:rsidRPr="00056DFA" w:rsidRDefault="002B5440" w:rsidP="00056DFA">
      <w:pPr>
        <w:spacing w:before="0" w:after="0"/>
        <w:jc w:val="both"/>
        <w:rPr>
          <w:i/>
          <w:sz w:val="24"/>
          <w:szCs w:val="24"/>
          <w:u w:val="single"/>
        </w:rPr>
      </w:pPr>
      <w:r w:rsidRPr="00056DFA">
        <w:rPr>
          <w:i/>
          <w:sz w:val="24"/>
          <w:szCs w:val="24"/>
          <w:u w:val="single"/>
        </w:rPr>
        <w:t xml:space="preserve">Професионална </w:t>
      </w:r>
      <w:proofErr w:type="spellStart"/>
      <w:r w:rsidRPr="00056DFA">
        <w:rPr>
          <w:i/>
          <w:sz w:val="24"/>
          <w:szCs w:val="24"/>
          <w:u w:val="single"/>
        </w:rPr>
        <w:t>психодиагностика</w:t>
      </w:r>
      <w:proofErr w:type="spellEnd"/>
      <w:r w:rsidRPr="00056DFA">
        <w:rPr>
          <w:i/>
          <w:sz w:val="24"/>
          <w:szCs w:val="24"/>
          <w:u w:val="single"/>
        </w:rPr>
        <w:t xml:space="preserve"> </w:t>
      </w:r>
    </w:p>
    <w:p w:rsidR="002B5440" w:rsidRPr="00056DFA" w:rsidRDefault="002B5440" w:rsidP="00056DFA">
      <w:pPr>
        <w:snapToGrid w:val="0"/>
        <w:spacing w:before="0" w:after="0"/>
        <w:jc w:val="both"/>
        <w:rPr>
          <w:sz w:val="24"/>
          <w:szCs w:val="24"/>
        </w:rPr>
      </w:pPr>
      <w:r w:rsidRPr="00056DFA">
        <w:rPr>
          <w:sz w:val="24"/>
          <w:szCs w:val="24"/>
        </w:rPr>
        <w:t xml:space="preserve">Основни цели на Института по психология </w:t>
      </w:r>
      <w:r w:rsidRPr="00056DFA">
        <w:rPr>
          <w:sz w:val="24"/>
          <w:szCs w:val="24"/>
          <w:lang w:val="ru-RU"/>
        </w:rPr>
        <w:t>(</w:t>
      </w:r>
      <w:r w:rsidRPr="00056DFA">
        <w:rPr>
          <w:sz w:val="24"/>
          <w:szCs w:val="24"/>
        </w:rPr>
        <w:t>ИП</w:t>
      </w:r>
      <w:r w:rsidRPr="00056DFA">
        <w:rPr>
          <w:sz w:val="24"/>
          <w:szCs w:val="24"/>
          <w:lang w:val="ru-RU"/>
        </w:rPr>
        <w:t>)</w:t>
      </w:r>
      <w:r w:rsidRPr="00056DFA">
        <w:rPr>
          <w:sz w:val="24"/>
          <w:szCs w:val="24"/>
        </w:rPr>
        <w:t xml:space="preserve"> на МВР  са кадровото осигуряване на структурите на МВР, психологичното обезпечаване на служителите на МВР чрез осъществяване на организационно и индивидуално консултиране, оптимизирането и разширяването на дейностите по психологичното подпомагане на </w:t>
      </w:r>
      <w:proofErr w:type="spellStart"/>
      <w:r w:rsidRPr="00056DFA">
        <w:rPr>
          <w:sz w:val="24"/>
          <w:szCs w:val="24"/>
        </w:rPr>
        <w:t>опертивно-издирвателната</w:t>
      </w:r>
      <w:proofErr w:type="spellEnd"/>
      <w:r w:rsidRPr="00056DFA">
        <w:rPr>
          <w:sz w:val="24"/>
          <w:szCs w:val="24"/>
        </w:rPr>
        <w:t xml:space="preserve"> дейност </w:t>
      </w:r>
      <w:r w:rsidRPr="00056DFA">
        <w:rPr>
          <w:sz w:val="24"/>
          <w:szCs w:val="24"/>
          <w:lang w:val="ru-RU"/>
        </w:rPr>
        <w:t>(</w:t>
      </w:r>
      <w:r w:rsidRPr="00056DFA">
        <w:rPr>
          <w:sz w:val="24"/>
          <w:szCs w:val="24"/>
        </w:rPr>
        <w:t>ОИД</w:t>
      </w:r>
      <w:r w:rsidRPr="00056DFA">
        <w:rPr>
          <w:sz w:val="24"/>
          <w:szCs w:val="24"/>
          <w:lang w:val="ru-RU"/>
        </w:rPr>
        <w:t>)</w:t>
      </w:r>
      <w:r w:rsidRPr="00056DFA">
        <w:rPr>
          <w:sz w:val="24"/>
          <w:szCs w:val="24"/>
        </w:rPr>
        <w:t>.</w:t>
      </w:r>
    </w:p>
    <w:p w:rsidR="002B5440" w:rsidRPr="00056DFA" w:rsidRDefault="002B5440" w:rsidP="00056DFA">
      <w:pPr>
        <w:snapToGrid w:val="0"/>
        <w:spacing w:before="0" w:after="0"/>
        <w:jc w:val="both"/>
        <w:rPr>
          <w:sz w:val="24"/>
          <w:szCs w:val="24"/>
        </w:rPr>
      </w:pPr>
      <w:r w:rsidRPr="00056DFA">
        <w:rPr>
          <w:sz w:val="24"/>
          <w:szCs w:val="24"/>
        </w:rPr>
        <w:t xml:space="preserve">През 2017 г. се наблюдава намаляване на броя на кандидатите, участващи в конкурси за назначаване на държавна служба в МВР. При част от конкурсите достигналите до втора фаза на етап „Психологично изследване“ (интервю) кандидати са по-малко от броя на обявените вакантни места. </w:t>
      </w:r>
    </w:p>
    <w:p w:rsidR="002B5440" w:rsidRPr="00056DFA" w:rsidRDefault="002B5440" w:rsidP="00056DFA">
      <w:pPr>
        <w:snapToGrid w:val="0"/>
        <w:spacing w:before="0" w:after="0"/>
        <w:jc w:val="both"/>
        <w:rPr>
          <w:sz w:val="24"/>
          <w:szCs w:val="24"/>
        </w:rPr>
      </w:pPr>
      <w:r w:rsidRPr="00056DFA">
        <w:rPr>
          <w:sz w:val="24"/>
          <w:szCs w:val="24"/>
        </w:rPr>
        <w:t xml:space="preserve">ИП е изпълнил ангажиментите си по провеждане на психологичното изследване на кандидат-курсанти в АМВР като част от специализирания подбор в Академията, а през месец януари бяха проведени </w:t>
      </w:r>
      <w:proofErr w:type="spellStart"/>
      <w:r w:rsidRPr="00056DFA">
        <w:rPr>
          <w:sz w:val="24"/>
          <w:szCs w:val="24"/>
        </w:rPr>
        <w:t>психодиагностичните</w:t>
      </w:r>
      <w:proofErr w:type="spellEnd"/>
      <w:r w:rsidRPr="00056DFA">
        <w:rPr>
          <w:sz w:val="24"/>
          <w:szCs w:val="24"/>
        </w:rPr>
        <w:t xml:space="preserve"> интервюта с курсантите първи курс на обучение през учебната 2016/2017 г. За поредна година общият брой кандидати, подали документи за обучение в АМВР е изключително малък − за учебната 2017/2018 г. той е 652.</w:t>
      </w:r>
    </w:p>
    <w:p w:rsidR="002B5440" w:rsidRPr="00056DFA" w:rsidRDefault="002B5440" w:rsidP="00056DFA">
      <w:pPr>
        <w:snapToGrid w:val="0"/>
        <w:spacing w:before="0" w:after="0"/>
        <w:jc w:val="both"/>
        <w:rPr>
          <w:sz w:val="24"/>
          <w:szCs w:val="24"/>
        </w:rPr>
      </w:pPr>
      <w:r w:rsidRPr="00056DFA">
        <w:rPr>
          <w:sz w:val="24"/>
          <w:szCs w:val="24"/>
        </w:rPr>
        <w:t xml:space="preserve">В резултат на постъпили заявки от различни структури в МВР са осъществени 8 организационни консултации. Общо са проведени 108 кризисни интервенции, от които 70 с външни за системата лица  (граждани и настанени в СДВНЧ чужденци). Останалите 38 кризисни интервенции са най-вече групови или индивидуални </w:t>
      </w:r>
      <w:proofErr w:type="spellStart"/>
      <w:r w:rsidRPr="00056DFA">
        <w:rPr>
          <w:sz w:val="24"/>
          <w:szCs w:val="24"/>
        </w:rPr>
        <w:t>дебрифинг-сесии</w:t>
      </w:r>
      <w:proofErr w:type="spellEnd"/>
      <w:r w:rsidRPr="00056DFA">
        <w:rPr>
          <w:sz w:val="24"/>
          <w:szCs w:val="24"/>
        </w:rPr>
        <w:t xml:space="preserve"> със служители, участвали в тежки инциденти със загинали граждани, както и след самоубийство на колега.</w:t>
      </w:r>
    </w:p>
    <w:p w:rsidR="002B5440" w:rsidRPr="00056DFA" w:rsidRDefault="002B5440" w:rsidP="00056DFA">
      <w:pPr>
        <w:snapToGrid w:val="0"/>
        <w:spacing w:before="0" w:after="0"/>
        <w:jc w:val="both"/>
        <w:rPr>
          <w:sz w:val="24"/>
          <w:szCs w:val="24"/>
        </w:rPr>
      </w:pPr>
      <w:r w:rsidRPr="00056DFA">
        <w:rPr>
          <w:sz w:val="24"/>
          <w:szCs w:val="24"/>
        </w:rPr>
        <w:t xml:space="preserve">Общо изследвани с </w:t>
      </w:r>
      <w:proofErr w:type="spellStart"/>
      <w:r w:rsidRPr="00056DFA">
        <w:rPr>
          <w:sz w:val="24"/>
          <w:szCs w:val="24"/>
        </w:rPr>
        <w:t>полиграф</w:t>
      </w:r>
      <w:proofErr w:type="spellEnd"/>
      <w:r w:rsidRPr="00056DFA">
        <w:rPr>
          <w:sz w:val="24"/>
          <w:szCs w:val="24"/>
        </w:rPr>
        <w:t xml:space="preserve"> са 243 лица, а с 56 лица са проведените психологични беседи. За отчетния период са приети 90 заявки за работата по тежки криминални престъпления.</w:t>
      </w:r>
    </w:p>
    <w:p w:rsidR="002B5440" w:rsidRPr="00056DFA" w:rsidRDefault="002B5440" w:rsidP="00056DFA">
      <w:pPr>
        <w:snapToGrid w:val="0"/>
        <w:spacing w:before="0" w:after="0"/>
        <w:jc w:val="both"/>
        <w:rPr>
          <w:sz w:val="24"/>
          <w:szCs w:val="24"/>
        </w:rPr>
      </w:pPr>
      <w:r w:rsidRPr="00056DFA">
        <w:rPr>
          <w:sz w:val="24"/>
          <w:szCs w:val="24"/>
        </w:rPr>
        <w:t xml:space="preserve">Служители на ИП участваха в овладяването на 38 критични инциденти на територията на цялата страна, като в болшинството от случаите става дума за граждани в </w:t>
      </w:r>
      <w:proofErr w:type="spellStart"/>
      <w:r w:rsidRPr="00056DFA">
        <w:rPr>
          <w:sz w:val="24"/>
          <w:szCs w:val="24"/>
        </w:rPr>
        <w:t>психотично</w:t>
      </w:r>
      <w:proofErr w:type="spellEnd"/>
      <w:r w:rsidRPr="00056DFA">
        <w:rPr>
          <w:sz w:val="24"/>
          <w:szCs w:val="24"/>
        </w:rPr>
        <w:t xml:space="preserve"> състояние или с вече </w:t>
      </w:r>
      <w:proofErr w:type="spellStart"/>
      <w:r w:rsidRPr="00056DFA">
        <w:rPr>
          <w:sz w:val="24"/>
          <w:szCs w:val="24"/>
        </w:rPr>
        <w:t>диагностицирано</w:t>
      </w:r>
      <w:proofErr w:type="spellEnd"/>
      <w:r w:rsidRPr="00056DFA">
        <w:rPr>
          <w:sz w:val="24"/>
          <w:szCs w:val="24"/>
        </w:rPr>
        <w:t xml:space="preserve"> психично заболяване. От анализа на досегашния практически опит се налага извода за недобра координация между органите на МВР и другите институции и отсъствие на процедура за действие след преминаване на острия етап на кризисната ситуация.</w:t>
      </w:r>
      <w:r w:rsidRPr="00056DFA">
        <w:rPr>
          <w:sz w:val="24"/>
          <w:szCs w:val="24"/>
          <w:lang w:val="ru-RU"/>
        </w:rPr>
        <w:t xml:space="preserve"> </w:t>
      </w:r>
      <w:r w:rsidRPr="00056DFA">
        <w:rPr>
          <w:sz w:val="24"/>
          <w:szCs w:val="24"/>
        </w:rPr>
        <w:t>Реализирани са 431 занятия с участието на 7312 служители от МВР.</w:t>
      </w:r>
    </w:p>
    <w:p w:rsidR="00F523B9" w:rsidRPr="00056DFA" w:rsidRDefault="00F523B9" w:rsidP="00056DFA">
      <w:pPr>
        <w:spacing w:before="0" w:after="0"/>
        <w:jc w:val="both"/>
        <w:rPr>
          <w:sz w:val="24"/>
          <w:szCs w:val="24"/>
          <w:lang w:val="en-US"/>
        </w:rPr>
      </w:pPr>
    </w:p>
    <w:p w:rsidR="00056DFA" w:rsidRPr="00056DFA" w:rsidRDefault="00056DFA" w:rsidP="00056DFA">
      <w:pPr>
        <w:rPr>
          <w:b/>
          <w:sz w:val="24"/>
          <w:szCs w:val="24"/>
        </w:rPr>
      </w:pPr>
    </w:p>
    <w:p w:rsidR="00940E69" w:rsidRPr="008544B2" w:rsidRDefault="00940E69" w:rsidP="00940E69">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6" w:name="_Toc523492628"/>
      <w:r w:rsidRPr="008544B2">
        <w:rPr>
          <w:rFonts w:ascii="Times New Roman" w:eastAsia="Batang" w:hAnsi="Times New Roman" w:cs="Times New Roman"/>
          <w:b/>
          <w:bCs/>
          <w:caps/>
          <w:lang w:val="bg-BG" w:eastAsia="ko-KR"/>
        </w:rPr>
        <w:t>Министерството на правосъдието</w:t>
      </w:r>
      <w:bookmarkEnd w:id="6"/>
      <w:r w:rsidRPr="008544B2">
        <w:rPr>
          <w:rFonts w:ascii="Times New Roman" w:eastAsia="Batang" w:hAnsi="Times New Roman" w:cs="Times New Roman"/>
          <w:b/>
          <w:bCs/>
          <w:caps/>
          <w:lang w:val="bg-BG" w:eastAsia="ko-KR"/>
        </w:rPr>
        <w:t xml:space="preserve"> </w:t>
      </w:r>
    </w:p>
    <w:p w:rsidR="00940E69" w:rsidRPr="00056DFA" w:rsidRDefault="00940E69" w:rsidP="00940E69">
      <w:pPr>
        <w:spacing w:before="0" w:after="0"/>
        <w:jc w:val="both"/>
        <w:rPr>
          <w:sz w:val="24"/>
          <w:szCs w:val="24"/>
        </w:rPr>
      </w:pPr>
      <w:r w:rsidRPr="00056DFA">
        <w:rPr>
          <w:sz w:val="24"/>
          <w:szCs w:val="24"/>
        </w:rPr>
        <w:t xml:space="preserve">Министерството на правосъдието (МП) разработва, координира и провежда държавната политика в областта на създаването на ефективно законодателство и съдействие за подобряване дейността на съдебната система с оглед постигане на ефективно, справедливо, прозрачно и достъпно правосъдие. Важна част от дейността на МП е свързана с укрепването на </w:t>
      </w:r>
      <w:proofErr w:type="spellStart"/>
      <w:r w:rsidRPr="00056DFA">
        <w:rPr>
          <w:sz w:val="24"/>
          <w:szCs w:val="24"/>
        </w:rPr>
        <w:t>пенитенциарната</w:t>
      </w:r>
      <w:proofErr w:type="spellEnd"/>
      <w:r w:rsidRPr="00056DFA">
        <w:rPr>
          <w:sz w:val="24"/>
          <w:szCs w:val="24"/>
        </w:rPr>
        <w:t xml:space="preserve"> система и инфраструктурата по сигурността в затворите и следствените арести.</w:t>
      </w:r>
    </w:p>
    <w:p w:rsidR="00940E69" w:rsidRPr="00056DFA" w:rsidRDefault="00940E69" w:rsidP="00940E69">
      <w:pPr>
        <w:tabs>
          <w:tab w:val="left" w:pos="709"/>
        </w:tabs>
        <w:spacing w:before="0" w:after="0"/>
        <w:jc w:val="both"/>
        <w:rPr>
          <w:sz w:val="24"/>
          <w:szCs w:val="24"/>
        </w:rPr>
      </w:pPr>
      <w:r w:rsidRPr="00056DFA">
        <w:rPr>
          <w:sz w:val="24"/>
          <w:szCs w:val="24"/>
          <w:lang w:val="ru-RU"/>
        </w:rPr>
        <w:lastRenderedPageBreak/>
        <w:tab/>
      </w:r>
      <w:r w:rsidRPr="00056DFA">
        <w:rPr>
          <w:sz w:val="24"/>
          <w:szCs w:val="24"/>
        </w:rPr>
        <w:t>Програмният бюджет на Министерството на правосъдието включва седем програми, като шест от тях са насочени към изпълнението на две политики, а седма е програма „Администрация”:</w:t>
      </w:r>
    </w:p>
    <w:p w:rsidR="00940E69" w:rsidRPr="00056DFA" w:rsidRDefault="00940E69" w:rsidP="00940E69">
      <w:pPr>
        <w:tabs>
          <w:tab w:val="left" w:pos="720"/>
        </w:tabs>
        <w:spacing w:before="0" w:after="0"/>
        <w:jc w:val="both"/>
        <w:rPr>
          <w:sz w:val="24"/>
          <w:szCs w:val="24"/>
        </w:rPr>
      </w:pPr>
      <w:r w:rsidRPr="00056DFA">
        <w:rPr>
          <w:i/>
          <w:sz w:val="24"/>
          <w:szCs w:val="24"/>
        </w:rPr>
        <w:tab/>
      </w:r>
      <w:r w:rsidRPr="00056DFA">
        <w:rPr>
          <w:b/>
          <w:sz w:val="24"/>
          <w:szCs w:val="24"/>
        </w:rPr>
        <w:t>Политиката в областта на правосъдието</w:t>
      </w:r>
      <w:r w:rsidRPr="00056DFA">
        <w:rPr>
          <w:sz w:val="24"/>
          <w:szCs w:val="24"/>
        </w:rPr>
        <w:t xml:space="preserve"> се изпълнява чрез следните четири програми:</w:t>
      </w:r>
    </w:p>
    <w:p w:rsidR="00940E69" w:rsidRPr="00056DFA" w:rsidRDefault="00940E69" w:rsidP="00940E69">
      <w:pPr>
        <w:numPr>
          <w:ilvl w:val="0"/>
          <w:numId w:val="29"/>
        </w:numPr>
        <w:tabs>
          <w:tab w:val="left" w:pos="0"/>
          <w:tab w:val="left" w:pos="993"/>
          <w:tab w:val="left" w:pos="1276"/>
        </w:tabs>
        <w:spacing w:before="0" w:after="0"/>
        <w:ind w:left="0" w:firstLine="567"/>
        <w:contextualSpacing/>
        <w:jc w:val="both"/>
        <w:rPr>
          <w:sz w:val="24"/>
          <w:szCs w:val="24"/>
        </w:rPr>
      </w:pPr>
      <w:r w:rsidRPr="00056DFA">
        <w:rPr>
          <w:sz w:val="24"/>
          <w:szCs w:val="24"/>
        </w:rPr>
        <w:t>Програма „Правна рамка за функционирането на съдебната система”</w:t>
      </w:r>
    </w:p>
    <w:p w:rsidR="00940E69" w:rsidRPr="00056DFA" w:rsidRDefault="00940E69" w:rsidP="00940E69">
      <w:pPr>
        <w:numPr>
          <w:ilvl w:val="0"/>
          <w:numId w:val="29"/>
        </w:numPr>
        <w:tabs>
          <w:tab w:val="left" w:pos="0"/>
          <w:tab w:val="left" w:pos="993"/>
          <w:tab w:val="left" w:pos="1276"/>
        </w:tabs>
        <w:spacing w:before="0" w:after="0"/>
        <w:ind w:left="0" w:firstLine="567"/>
        <w:contextualSpacing/>
        <w:jc w:val="both"/>
        <w:rPr>
          <w:sz w:val="24"/>
          <w:szCs w:val="24"/>
        </w:rPr>
      </w:pPr>
      <w:r w:rsidRPr="00056DFA">
        <w:rPr>
          <w:sz w:val="24"/>
          <w:szCs w:val="24"/>
        </w:rPr>
        <w:t>Програма „Регистри”</w:t>
      </w:r>
    </w:p>
    <w:p w:rsidR="00940E69" w:rsidRPr="00056DFA" w:rsidRDefault="00940E69" w:rsidP="00940E69">
      <w:pPr>
        <w:numPr>
          <w:ilvl w:val="0"/>
          <w:numId w:val="29"/>
        </w:numPr>
        <w:tabs>
          <w:tab w:val="left" w:pos="0"/>
          <w:tab w:val="left" w:pos="993"/>
          <w:tab w:val="left" w:pos="1276"/>
        </w:tabs>
        <w:spacing w:before="0" w:after="0"/>
        <w:ind w:left="0" w:firstLine="567"/>
        <w:contextualSpacing/>
        <w:jc w:val="both"/>
        <w:rPr>
          <w:sz w:val="24"/>
          <w:szCs w:val="24"/>
        </w:rPr>
      </w:pPr>
      <w:r w:rsidRPr="00056DFA">
        <w:rPr>
          <w:sz w:val="24"/>
          <w:szCs w:val="24"/>
        </w:rPr>
        <w:t>Програма „Охрана на съдебната власт“</w:t>
      </w:r>
    </w:p>
    <w:p w:rsidR="00940E69" w:rsidRPr="00056DFA" w:rsidRDefault="00940E69" w:rsidP="00940E69">
      <w:pPr>
        <w:numPr>
          <w:ilvl w:val="0"/>
          <w:numId w:val="29"/>
        </w:numPr>
        <w:tabs>
          <w:tab w:val="left" w:pos="0"/>
          <w:tab w:val="left" w:pos="993"/>
          <w:tab w:val="left" w:pos="1276"/>
        </w:tabs>
        <w:spacing w:before="0" w:after="0"/>
        <w:ind w:left="0" w:firstLine="567"/>
        <w:contextualSpacing/>
        <w:jc w:val="both"/>
        <w:rPr>
          <w:sz w:val="24"/>
          <w:szCs w:val="24"/>
        </w:rPr>
      </w:pPr>
      <w:r w:rsidRPr="00056DFA">
        <w:rPr>
          <w:sz w:val="24"/>
          <w:szCs w:val="24"/>
        </w:rPr>
        <w:t>Програма „Равен достъп до правосъдие”</w:t>
      </w:r>
    </w:p>
    <w:p w:rsidR="00940E69" w:rsidRPr="00056DFA" w:rsidRDefault="00940E69" w:rsidP="00940E69">
      <w:pPr>
        <w:tabs>
          <w:tab w:val="left" w:pos="720"/>
        </w:tabs>
        <w:spacing w:before="0" w:after="0"/>
        <w:jc w:val="both"/>
        <w:rPr>
          <w:sz w:val="24"/>
          <w:szCs w:val="24"/>
        </w:rPr>
      </w:pPr>
      <w:r w:rsidRPr="00056DFA">
        <w:rPr>
          <w:b/>
          <w:i/>
          <w:sz w:val="24"/>
          <w:szCs w:val="24"/>
        </w:rPr>
        <w:tab/>
      </w:r>
      <w:r w:rsidRPr="00056DFA">
        <w:rPr>
          <w:b/>
          <w:sz w:val="24"/>
          <w:szCs w:val="24"/>
        </w:rPr>
        <w:t>Политиката в областта на изпълнение на наказанията</w:t>
      </w:r>
      <w:r w:rsidRPr="00056DFA">
        <w:rPr>
          <w:b/>
          <w:i/>
          <w:sz w:val="24"/>
          <w:szCs w:val="24"/>
        </w:rPr>
        <w:t xml:space="preserve"> </w:t>
      </w:r>
      <w:r w:rsidRPr="00056DFA">
        <w:rPr>
          <w:sz w:val="24"/>
          <w:szCs w:val="24"/>
        </w:rPr>
        <w:t>се изпълнява чрез следните две програми:</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Програма „Затвори - изолация на правонарушители"</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 xml:space="preserve">Програма „Следствени арести и </w:t>
      </w:r>
      <w:proofErr w:type="spellStart"/>
      <w:r w:rsidRPr="00056DFA">
        <w:rPr>
          <w:sz w:val="24"/>
          <w:szCs w:val="24"/>
        </w:rPr>
        <w:t>пробация</w:t>
      </w:r>
      <w:proofErr w:type="spellEnd"/>
      <w:r w:rsidRPr="00056DFA">
        <w:rPr>
          <w:sz w:val="24"/>
          <w:szCs w:val="24"/>
        </w:rPr>
        <w:t>"</w:t>
      </w:r>
    </w:p>
    <w:p w:rsidR="00940E69" w:rsidRPr="00056DFA" w:rsidRDefault="00940E69" w:rsidP="00940E69">
      <w:pPr>
        <w:tabs>
          <w:tab w:val="left" w:pos="720"/>
          <w:tab w:val="left" w:pos="1276"/>
          <w:tab w:val="left" w:pos="2160"/>
          <w:tab w:val="left" w:pos="3060"/>
        </w:tabs>
        <w:spacing w:before="0" w:after="0"/>
        <w:jc w:val="both"/>
        <w:rPr>
          <w:sz w:val="24"/>
          <w:szCs w:val="24"/>
        </w:rPr>
      </w:pPr>
      <w:r w:rsidRPr="00056DFA">
        <w:rPr>
          <w:sz w:val="24"/>
          <w:szCs w:val="24"/>
        </w:rPr>
        <w:tab/>
        <w:t>Изпълнението на областите на политики и бюджетни програми през 2017 г. се осъществява от администрацията на Министерството на правосъдието и администрацията на пет второстепенни разпоредители с бюджет към министъра на правосъдието:</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Агенция по вписванията</w:t>
      </w:r>
      <w:r w:rsidRPr="00056DFA">
        <w:rPr>
          <w:sz w:val="24"/>
          <w:szCs w:val="24"/>
        </w:rPr>
        <w:tab/>
        <w:t xml:space="preserve"> </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Централен регистър на особените залози</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 xml:space="preserve">Национално бюро за правна помощ </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Главна дирекция „Охрана”</w:t>
      </w:r>
    </w:p>
    <w:p w:rsidR="00940E69" w:rsidRPr="00056DFA" w:rsidRDefault="00940E69" w:rsidP="00940E69">
      <w:pPr>
        <w:numPr>
          <w:ilvl w:val="0"/>
          <w:numId w:val="29"/>
        </w:numPr>
        <w:tabs>
          <w:tab w:val="left" w:pos="720"/>
          <w:tab w:val="left" w:pos="993"/>
          <w:tab w:val="left" w:pos="1276"/>
        </w:tabs>
        <w:spacing w:before="0" w:after="0"/>
        <w:ind w:left="0" w:firstLine="567"/>
        <w:contextualSpacing/>
        <w:jc w:val="both"/>
        <w:rPr>
          <w:sz w:val="24"/>
          <w:szCs w:val="24"/>
        </w:rPr>
      </w:pPr>
      <w:r w:rsidRPr="00056DFA">
        <w:rPr>
          <w:sz w:val="24"/>
          <w:szCs w:val="24"/>
        </w:rPr>
        <w:t>Главна дирекция „ Изпълнение на наказанията”</w:t>
      </w:r>
    </w:p>
    <w:p w:rsidR="00940E69" w:rsidRPr="00056DFA" w:rsidRDefault="00940E69" w:rsidP="00940E69">
      <w:pPr>
        <w:spacing w:before="0" w:after="0"/>
        <w:jc w:val="both"/>
        <w:rPr>
          <w:sz w:val="24"/>
          <w:szCs w:val="24"/>
        </w:rPr>
      </w:pPr>
      <w:r w:rsidRPr="00056DFA">
        <w:rPr>
          <w:sz w:val="24"/>
          <w:szCs w:val="24"/>
        </w:rPr>
        <w:t>Към 31.12.2017 г. за изпълнение на политиките и програмите на Министерството на правосъдието са извършени общо разходи в размер на 223,3 млн.лв., от които 184,5 млн. лв. са ведомствени и 38,9 млн. лв. – администрирани разходи.</w:t>
      </w:r>
    </w:p>
    <w:p w:rsidR="00940E69" w:rsidRPr="00056DFA" w:rsidRDefault="00940E69" w:rsidP="00940E69">
      <w:pPr>
        <w:spacing w:before="0" w:after="0"/>
        <w:jc w:val="both"/>
        <w:rPr>
          <w:sz w:val="24"/>
          <w:szCs w:val="24"/>
        </w:rPr>
      </w:pPr>
      <w:r w:rsidRPr="00056DFA">
        <w:rPr>
          <w:sz w:val="24"/>
          <w:szCs w:val="24"/>
        </w:rPr>
        <w:t>Част от ведомствените разходи в размер на 2,9 млн. лв. са по проекти, финансирани по Оперативна програма „Добро управление“, Норвежки финансов механизъм и Българо-швейцарска програма за сътрудничество.</w:t>
      </w:r>
    </w:p>
    <w:p w:rsidR="00940E69" w:rsidRPr="00056DFA" w:rsidRDefault="00940E69" w:rsidP="00940E69">
      <w:pPr>
        <w:tabs>
          <w:tab w:val="left" w:pos="709"/>
        </w:tabs>
        <w:spacing w:before="0" w:after="0"/>
        <w:jc w:val="both"/>
        <w:rPr>
          <w:b/>
          <w:sz w:val="24"/>
          <w:szCs w:val="24"/>
        </w:rPr>
      </w:pPr>
      <w:r w:rsidRPr="00056DFA">
        <w:rPr>
          <w:b/>
          <w:sz w:val="24"/>
          <w:szCs w:val="24"/>
        </w:rPr>
        <w:t>Политика в областта на правосъдието</w:t>
      </w:r>
    </w:p>
    <w:p w:rsidR="00940E69" w:rsidRPr="00056DFA" w:rsidRDefault="00940E69" w:rsidP="00940E69">
      <w:pPr>
        <w:tabs>
          <w:tab w:val="left" w:pos="709"/>
        </w:tabs>
        <w:spacing w:before="0" w:after="0"/>
        <w:jc w:val="both"/>
        <w:rPr>
          <w:sz w:val="24"/>
          <w:szCs w:val="24"/>
        </w:rPr>
      </w:pPr>
      <w:r w:rsidRPr="00056DFA">
        <w:rPr>
          <w:sz w:val="24"/>
          <w:szCs w:val="24"/>
        </w:rPr>
        <w:t xml:space="preserve">Стратегическата цел на политиката в областта на правосъдието е постигането на ефективно, прозрачно, справедливо и достъпно правосъдие. </w:t>
      </w:r>
    </w:p>
    <w:p w:rsidR="00940E69" w:rsidRPr="00056DFA" w:rsidRDefault="00940E69" w:rsidP="00940E69">
      <w:pPr>
        <w:tabs>
          <w:tab w:val="left" w:pos="709"/>
        </w:tabs>
        <w:spacing w:before="0" w:after="0"/>
        <w:jc w:val="both"/>
        <w:rPr>
          <w:sz w:val="24"/>
          <w:szCs w:val="24"/>
        </w:rPr>
      </w:pPr>
      <w:r w:rsidRPr="00056DFA">
        <w:rPr>
          <w:sz w:val="24"/>
          <w:szCs w:val="24"/>
        </w:rPr>
        <w:t>За постигането на тази цел, са формулирани следните оперативни цели:</w:t>
      </w:r>
    </w:p>
    <w:p w:rsidR="00940E69" w:rsidRPr="00056DFA" w:rsidRDefault="00940E69" w:rsidP="00940E69">
      <w:pPr>
        <w:numPr>
          <w:ilvl w:val="0"/>
          <w:numId w:val="30"/>
        </w:numPr>
        <w:tabs>
          <w:tab w:val="left" w:pos="464"/>
          <w:tab w:val="left" w:pos="720"/>
          <w:tab w:val="left" w:pos="1134"/>
        </w:tabs>
        <w:spacing w:before="0" w:after="0"/>
        <w:ind w:left="0" w:firstLine="567"/>
        <w:jc w:val="both"/>
        <w:rPr>
          <w:sz w:val="24"/>
          <w:szCs w:val="24"/>
        </w:rPr>
      </w:pPr>
      <w:r w:rsidRPr="00056DFA">
        <w:rPr>
          <w:sz w:val="24"/>
          <w:szCs w:val="24"/>
        </w:rPr>
        <w:t>Реформиране и оптимизиране работата на съдебната власт;</w:t>
      </w:r>
    </w:p>
    <w:p w:rsidR="00940E69" w:rsidRPr="00056DFA" w:rsidRDefault="00940E69" w:rsidP="00940E69">
      <w:pPr>
        <w:numPr>
          <w:ilvl w:val="0"/>
          <w:numId w:val="30"/>
        </w:numPr>
        <w:tabs>
          <w:tab w:val="left" w:pos="0"/>
          <w:tab w:val="left" w:pos="464"/>
          <w:tab w:val="left" w:pos="1134"/>
        </w:tabs>
        <w:spacing w:before="0" w:after="0"/>
        <w:ind w:left="0" w:firstLine="567"/>
        <w:jc w:val="both"/>
        <w:rPr>
          <w:sz w:val="24"/>
          <w:szCs w:val="24"/>
        </w:rPr>
      </w:pPr>
      <w:r w:rsidRPr="00056DFA">
        <w:rPr>
          <w:sz w:val="24"/>
          <w:szCs w:val="24"/>
        </w:rPr>
        <w:t>Гарантиране правовия ред в страната, борбата с престъпността и ограничаване на корупцията.</w:t>
      </w:r>
    </w:p>
    <w:p w:rsidR="00940E69" w:rsidRPr="00056DFA" w:rsidRDefault="00940E69" w:rsidP="00940E69">
      <w:pPr>
        <w:spacing w:before="0" w:after="0"/>
        <w:jc w:val="both"/>
        <w:rPr>
          <w:sz w:val="24"/>
          <w:szCs w:val="24"/>
        </w:rPr>
      </w:pPr>
      <w:r w:rsidRPr="00056DFA">
        <w:rPr>
          <w:b/>
          <w:sz w:val="24"/>
          <w:szCs w:val="24"/>
        </w:rPr>
        <w:t>Програма „Правна рамка за функционирането на съдебната система”</w:t>
      </w:r>
      <w:r w:rsidRPr="00056DFA">
        <w:rPr>
          <w:sz w:val="24"/>
          <w:szCs w:val="24"/>
        </w:rPr>
        <w:t xml:space="preserve"> включва действия по привеждане на българското законодателство в съответствие с европейското, осигуряване на пълноценното участие на България в съдебното сътрудничество в рамките на Европейския съюз. Основен приоритет в нейната дейност е участие в изграждането на справедлива, достъпна и ефективна съдебна система, чрез осигуряване на адекватна правна рамка, с цел защита правата и законните интереси на физическите и юридическите лица. Програмата се изпълнява от специализираната администрация на МП, като са изразходвани 8 млн.лв., в това число 3,9 млн.лв. за персонал, 1,3 млн.лв. за издръжка. Отчетени са и 2,8 млн.лв. администрирани разходи. </w:t>
      </w:r>
    </w:p>
    <w:p w:rsidR="00940E69" w:rsidRPr="00056DFA" w:rsidRDefault="00940E69" w:rsidP="00940E69">
      <w:pPr>
        <w:spacing w:before="0" w:after="0"/>
        <w:jc w:val="both"/>
        <w:rPr>
          <w:sz w:val="24"/>
          <w:szCs w:val="24"/>
        </w:rPr>
      </w:pPr>
      <w:r w:rsidRPr="00056DFA">
        <w:rPr>
          <w:sz w:val="24"/>
          <w:szCs w:val="24"/>
        </w:rPr>
        <w:t xml:space="preserve">През 2017 г. продължава дейността по изготвяне на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 През отчетния период са подготвени законопроекти, както и подзаконови нормативни актове – Законопроект за противодействие на корупцията и за отнемане на незаконно придобитото имущество; </w:t>
      </w:r>
      <w:r w:rsidRPr="00056DFA">
        <w:rPr>
          <w:sz w:val="24"/>
          <w:szCs w:val="24"/>
        </w:rPr>
        <w:lastRenderedPageBreak/>
        <w:t xml:space="preserve">ЗИД на НПК за въвеждане на изискванията на Директива 2013/48/ЕС на Европейския парламент и на Съвета от 22 октомври 2013 година относно правото на достъп до адвокат в наказателното производство и в производството по европейска заповед за арест и относно правото на уведомяване на трето лице при задържане и на осъществяване на връзка с трети лица и консулски органи през периода на задържане; ЗИД на НК за въвеждане на Директива 2014/42/ЕС на Европейския парламент и на Съвета от 3 април 2014 година за обезпечаване и конфискация на средства и облаги от престъпна дейност в Европейския съюз; ЗИД на НПК за въвеждане на изискванията на Директива 2012/29/ЕС на Европейския парламент и на Съвета от 25 октомври 2012 година за установяване на минимални стандарти за правата, подкрепата и защитата на жертвите на престъпления и за замяна на Рамково решение 2001/220/ПВР на Съвета (ОВ, L 315 от 14 ноември 2012 г.); Рамково решение 2009/948/ПВР на Съвета от 30 ноември 2009 г. относно предотвратяване и уреждане на спорове за упражняване на компетентност при наказателни производства; ЗИД на НК за въвеждане в националното законодателство на изискванията на Директива 2013/40/ЕС на Европейския парламент и на Съвета от 12 август 2013 година относно атаките срещу информационните системи и за замяна на Рамково решение 2005/222/ПВР на Съвета; Директива 2014/57/ЕС на Европейския парламент и на Съвета от 16 април 2014 година относно </w:t>
      </w:r>
      <w:proofErr w:type="spellStart"/>
      <w:r w:rsidRPr="00056DFA">
        <w:rPr>
          <w:sz w:val="24"/>
          <w:szCs w:val="24"/>
        </w:rPr>
        <w:t>наказателноправните</w:t>
      </w:r>
      <w:proofErr w:type="spellEnd"/>
      <w:r w:rsidRPr="00056DFA">
        <w:rPr>
          <w:sz w:val="24"/>
          <w:szCs w:val="24"/>
        </w:rPr>
        <w:t xml:space="preserve"> санкции за пазарна злоупотреба (Директива за пазарната злоупотреба) и Директива 2014/62/ЕС на Европейския парламент и на Съвета от 15 май 2014 година относно защитата по </w:t>
      </w:r>
      <w:proofErr w:type="spellStart"/>
      <w:r w:rsidRPr="00056DFA">
        <w:rPr>
          <w:sz w:val="24"/>
          <w:szCs w:val="24"/>
        </w:rPr>
        <w:t>наказателноправен</w:t>
      </w:r>
      <w:proofErr w:type="spellEnd"/>
      <w:r w:rsidRPr="00056DFA">
        <w:rPr>
          <w:sz w:val="24"/>
          <w:szCs w:val="24"/>
        </w:rPr>
        <w:t xml:space="preserve"> ред на еврото и на другите парични знаци срещу подправяне и за замяна на Рамково решение 2000/383/ПВР на Съвета; Законопроект за отклоняване от наказателно производство и налагане на възпитателни мерки на непълнолетни лица за въвеждане на Директива 2016/800/ЕС на Европейския парламент и на Съвета от 11 май 2016 година относно процесуалните гаранции за децата, заподозрени или обвиняеми по наказателни производства; ЗИД на ГПК  за промени в нормативната уредба във връзка с подготовка на националното законодателство за прилагането на Регламент (ЕС) 2015/2421 от 16 декември 2015 година за изменение на Регламент (ЕО) № 861/2007 за създаване на европейска процедура за искове с малък материален интерес и Регламент (ЕО) № 1896/2006 за създаване на процедура за европейска заповед за плащане; Законопроект за изменение и допълнение на Търговския закон; Законопроект за въвеждане на изискванията на Директива 2014/41/ЕС за Европейската заповед за разследване (ЕЗР); </w:t>
      </w:r>
      <w:r w:rsidRPr="00056DFA">
        <w:rPr>
          <w:sz w:val="24"/>
          <w:szCs w:val="24"/>
        </w:rPr>
        <w:tab/>
        <w:t xml:space="preserve">Законопроект за изменение и допълнение на Закона за съдебната власт; Законопроект за изменение и допълнение на Закона за изменение и допълнение на Закона за защита на лица, застрашени във връзка с наказателното производство; Проект на Наредба за единните държавни изисквания за придобиване на висше образование по специалността "Право" и професионална квалификация "юрист"; Проект на  Наредба за изменение и допълнение на Наредба № 1 от 2011 г. за условията и реда за организиране и осъществяване охраната на съдии, прокурори и следователи; Проект на Наредба за придобиване на юридическа правоспособност по чл. 297а от Закона за съдебната власт; Проект на Наредба за изменение и допълнение на Наредба № 1 от 1999 г. за прилагане на глава пета от Закона за българското гражданство – 2 бр.; Проект на Наредба за допълнение на Наредба № 32 от 1997 г. за служебните архиви на нотариусите и нотариалните кантори; Проект на Наредба за изменение и допълнение на Наредба № 2 от 2015 г. за вписването, квалификацията и възнагражденията на вещите лица; Проект на Наредба за условията и реда за осъществяване на двустранната връзка и обмена на данни между кадастъра и имотния регистър; Проект на Постановление на МС за изменение и допълнение на </w:t>
      </w:r>
      <w:proofErr w:type="spellStart"/>
      <w:r w:rsidRPr="00056DFA">
        <w:rPr>
          <w:sz w:val="24"/>
          <w:szCs w:val="24"/>
        </w:rPr>
        <w:t>Устройствения</w:t>
      </w:r>
      <w:proofErr w:type="spellEnd"/>
      <w:r w:rsidRPr="00056DFA">
        <w:rPr>
          <w:sz w:val="24"/>
          <w:szCs w:val="24"/>
        </w:rPr>
        <w:t xml:space="preserve"> правилник на Министерството на правосъдието.</w:t>
      </w:r>
    </w:p>
    <w:p w:rsidR="00940E69" w:rsidRPr="00056DFA" w:rsidRDefault="00940E69" w:rsidP="00940E69">
      <w:pPr>
        <w:spacing w:before="0" w:after="0"/>
        <w:jc w:val="both"/>
        <w:rPr>
          <w:sz w:val="24"/>
          <w:szCs w:val="24"/>
        </w:rPr>
      </w:pPr>
      <w:r w:rsidRPr="00056DFA">
        <w:rPr>
          <w:sz w:val="24"/>
          <w:szCs w:val="24"/>
        </w:rPr>
        <w:lastRenderedPageBreak/>
        <w:t>Във връзка с подготовката на Българското председателство на Съвета на ЕС с</w:t>
      </w:r>
      <w:r w:rsidR="00014644">
        <w:rPr>
          <w:sz w:val="24"/>
          <w:szCs w:val="24"/>
        </w:rPr>
        <w:t>а</w:t>
      </w:r>
      <w:r w:rsidRPr="00056DFA">
        <w:rPr>
          <w:sz w:val="24"/>
          <w:szCs w:val="24"/>
        </w:rPr>
        <w:t xml:space="preserve"> подготв</w:t>
      </w:r>
      <w:r w:rsidR="00014644">
        <w:rPr>
          <w:sz w:val="24"/>
          <w:szCs w:val="24"/>
        </w:rPr>
        <w:t>ени</w:t>
      </w:r>
      <w:r w:rsidRPr="00056DFA">
        <w:rPr>
          <w:sz w:val="24"/>
          <w:szCs w:val="24"/>
        </w:rPr>
        <w:t xml:space="preserve"> списъците с експертите; приоритети и други стратегически документи; проведени са специализирани обучения на експертите от министерството във връзка с подготовката на българското Председателство на Съвета на ЕС през 2018 г. </w:t>
      </w:r>
    </w:p>
    <w:p w:rsidR="00940E69" w:rsidRPr="00056DFA" w:rsidRDefault="00940E69" w:rsidP="00940E69">
      <w:pPr>
        <w:tabs>
          <w:tab w:val="left" w:pos="0"/>
          <w:tab w:val="left" w:pos="567"/>
          <w:tab w:val="left" w:pos="1276"/>
        </w:tabs>
        <w:spacing w:before="0" w:after="0"/>
        <w:jc w:val="both"/>
        <w:rPr>
          <w:sz w:val="24"/>
          <w:szCs w:val="24"/>
        </w:rPr>
      </w:pPr>
      <w:r w:rsidRPr="00056DFA">
        <w:rPr>
          <w:sz w:val="24"/>
          <w:szCs w:val="24"/>
        </w:rPr>
        <w:t>В изпълнение на подписания на 9 декември 2016 г. Меморандум за разбирателство между Кралство Норвегия и Република България Министерство на правосъдието е определено като Програмен оператор и стартира подготовката на Програма „Правосъдие“ на Норвежкия финансов механизъм (НФМ) 2014-2021 г. В програмата са включени две програмни области 19 „</w:t>
      </w:r>
      <w:proofErr w:type="spellStart"/>
      <w:r w:rsidRPr="00056DFA">
        <w:rPr>
          <w:sz w:val="24"/>
          <w:szCs w:val="24"/>
        </w:rPr>
        <w:t>Корекционни</w:t>
      </w:r>
      <w:proofErr w:type="spellEnd"/>
      <w:r w:rsidRPr="00056DFA">
        <w:rPr>
          <w:sz w:val="24"/>
          <w:szCs w:val="24"/>
        </w:rPr>
        <w:t xml:space="preserve"> услуги и предварително задържане“ и 21 „Ефективност и ефикасност на съдебната система, укрепване на върховенството на закона“. Общият бюджет на програмата възлиза на 35,3 млн. евро, като  от тях 30,0 млн. евро са безвъзмездна финансова помощ и 5,3 млн. евро </w:t>
      </w:r>
      <w:proofErr w:type="spellStart"/>
      <w:r w:rsidRPr="00056DFA">
        <w:rPr>
          <w:sz w:val="24"/>
          <w:szCs w:val="24"/>
        </w:rPr>
        <w:t>съфинансиране</w:t>
      </w:r>
      <w:proofErr w:type="spellEnd"/>
      <w:r w:rsidRPr="00056DFA">
        <w:rPr>
          <w:sz w:val="24"/>
          <w:szCs w:val="24"/>
        </w:rPr>
        <w:t xml:space="preserve"> от националния бюджет.</w:t>
      </w:r>
    </w:p>
    <w:p w:rsidR="00940E69" w:rsidRPr="00056DFA" w:rsidRDefault="00940E69" w:rsidP="00940E69">
      <w:pPr>
        <w:tabs>
          <w:tab w:val="left" w:pos="0"/>
        </w:tabs>
        <w:spacing w:before="0" w:after="0"/>
        <w:jc w:val="both"/>
        <w:rPr>
          <w:sz w:val="24"/>
          <w:szCs w:val="24"/>
        </w:rPr>
      </w:pPr>
      <w:r w:rsidRPr="00056DFA">
        <w:rPr>
          <w:sz w:val="24"/>
          <w:szCs w:val="24"/>
        </w:rPr>
        <w:t xml:space="preserve">През 2017 г. са организирани и проведени 33 заседания на Съвета по международно осиновяване, на които са взети решения за отправяне на 267 предложения към министъра на правосъдието за определяне на подходящ осиновяващ за 345 деца. </w:t>
      </w:r>
    </w:p>
    <w:p w:rsidR="00940E69" w:rsidRPr="00056DFA" w:rsidRDefault="00940E69" w:rsidP="00940E69">
      <w:pPr>
        <w:tabs>
          <w:tab w:val="left" w:pos="0"/>
        </w:tabs>
        <w:spacing w:before="0" w:after="0"/>
        <w:jc w:val="both"/>
        <w:rPr>
          <w:sz w:val="24"/>
          <w:szCs w:val="24"/>
        </w:rPr>
      </w:pPr>
      <w:r w:rsidRPr="00056DFA">
        <w:rPr>
          <w:sz w:val="24"/>
          <w:szCs w:val="24"/>
        </w:rPr>
        <w:t>През периода януари-декември 2017 г. в Министерството на правосъдието са постъпили 38 нови молби за връщане на деца по Хагската конвенция за гражданските аспекти на международното отвличане на деца от 1980 г. и 3 молби за съдействие за упражняване на правото на лични отношения по същата конвенция. Молбите, подадени от други държави за обработване и решаване в България са 25, а молбите, адресирани до други държави са 16. През 2017 г. продължава работата по 23 случая на подадени молби за отвлечени деца и за лични отношения, постъпили от предходни години. Общо активните молби, по които се извършват действия през 2017 г. в изпълнение на задълженията, предвидени в Хагската конвенция са 64.</w:t>
      </w:r>
    </w:p>
    <w:p w:rsidR="00940E69" w:rsidRPr="00056DFA" w:rsidRDefault="00940E69" w:rsidP="00940E69">
      <w:pPr>
        <w:tabs>
          <w:tab w:val="left" w:pos="709"/>
          <w:tab w:val="left" w:pos="1134"/>
        </w:tabs>
        <w:spacing w:before="0" w:after="0"/>
        <w:jc w:val="both"/>
        <w:rPr>
          <w:sz w:val="24"/>
          <w:szCs w:val="24"/>
        </w:rPr>
      </w:pPr>
      <w:r w:rsidRPr="00056DFA">
        <w:rPr>
          <w:sz w:val="24"/>
          <w:szCs w:val="24"/>
        </w:rPr>
        <w:t xml:space="preserve">През отчетния период във връзка с приема на документи за удостоверяване с </w:t>
      </w:r>
      <w:proofErr w:type="spellStart"/>
      <w:r w:rsidRPr="00056DFA">
        <w:rPr>
          <w:sz w:val="24"/>
          <w:szCs w:val="24"/>
        </w:rPr>
        <w:t>апостил</w:t>
      </w:r>
      <w:proofErr w:type="spellEnd"/>
      <w:r w:rsidRPr="00056DFA">
        <w:rPr>
          <w:sz w:val="24"/>
          <w:szCs w:val="24"/>
        </w:rPr>
        <w:t xml:space="preserve">, са приети и обслужени 10 283 граждани. В Централно бюро съдимост са извършени общо 19 213 броя услуги като са изготвени 13112 броя справки за съдимост за служебна цел, направени по искане на съдилищата, прокуратурата и разследващите органи в страната за лица, които са родени извън България или са с неизвестно месторождение и са издадени 6 101 броя свидетелства за съдимост. </w:t>
      </w:r>
    </w:p>
    <w:p w:rsidR="00940E69" w:rsidRPr="00056DFA" w:rsidRDefault="00940E69" w:rsidP="00940E69">
      <w:pPr>
        <w:tabs>
          <w:tab w:val="left" w:pos="709"/>
          <w:tab w:val="left" w:pos="1134"/>
        </w:tabs>
        <w:spacing w:before="0" w:after="0"/>
        <w:jc w:val="both"/>
        <w:rPr>
          <w:sz w:val="24"/>
          <w:szCs w:val="24"/>
        </w:rPr>
      </w:pPr>
      <w:r w:rsidRPr="00056DFA">
        <w:rPr>
          <w:sz w:val="24"/>
          <w:szCs w:val="24"/>
        </w:rPr>
        <w:t xml:space="preserve">През 2017 г. ЕСПЧ комуникира </w:t>
      </w:r>
      <w:r w:rsidR="002577E7">
        <w:rPr>
          <w:sz w:val="24"/>
          <w:szCs w:val="24"/>
        </w:rPr>
        <w:t>с</w:t>
      </w:r>
      <w:r w:rsidRPr="00056DFA">
        <w:rPr>
          <w:sz w:val="24"/>
          <w:szCs w:val="24"/>
        </w:rPr>
        <w:t xml:space="preserve"> българското правителство </w:t>
      </w:r>
      <w:r w:rsidR="002577E7">
        <w:rPr>
          <w:sz w:val="24"/>
          <w:szCs w:val="24"/>
        </w:rPr>
        <w:t xml:space="preserve">по </w:t>
      </w:r>
      <w:r w:rsidRPr="00056DFA">
        <w:rPr>
          <w:sz w:val="24"/>
          <w:szCs w:val="24"/>
        </w:rPr>
        <w:t xml:space="preserve">117 нови жалби, </w:t>
      </w:r>
      <w:r w:rsidR="002577E7">
        <w:rPr>
          <w:sz w:val="24"/>
          <w:szCs w:val="24"/>
        </w:rPr>
        <w:t xml:space="preserve">като </w:t>
      </w:r>
      <w:r w:rsidRPr="00056DFA">
        <w:rPr>
          <w:sz w:val="24"/>
          <w:szCs w:val="24"/>
        </w:rPr>
        <w:t xml:space="preserve">по 84 от </w:t>
      </w:r>
      <w:r w:rsidR="002577E7">
        <w:rPr>
          <w:sz w:val="24"/>
          <w:szCs w:val="24"/>
        </w:rPr>
        <w:t>тях</w:t>
      </w:r>
      <w:r w:rsidRPr="00056DFA">
        <w:rPr>
          <w:sz w:val="24"/>
          <w:szCs w:val="24"/>
        </w:rPr>
        <w:t xml:space="preserve"> правителствените агенти изпратиха становища за допустимост и по същество. По 33 жалби бяха изпратени становища по претенциите на жалбоподателите за справедливо обезщетение по чл. 41 от Конвенцията за защита правата на човека и основните свободи. В изпълнение на 46 решения на ЕСПЧ на жалбоподателите бяха изплатени обезщетения в размер на 1,5 млн. лв.</w:t>
      </w:r>
    </w:p>
    <w:p w:rsidR="00940E69" w:rsidRPr="00056DFA" w:rsidRDefault="00940E69" w:rsidP="00940E69">
      <w:pPr>
        <w:tabs>
          <w:tab w:val="left" w:pos="709"/>
          <w:tab w:val="left" w:pos="1134"/>
        </w:tabs>
        <w:spacing w:before="0" w:after="0"/>
        <w:jc w:val="both"/>
        <w:rPr>
          <w:sz w:val="24"/>
          <w:szCs w:val="24"/>
        </w:rPr>
      </w:pPr>
      <w:r w:rsidRPr="00056DFA">
        <w:rPr>
          <w:sz w:val="24"/>
          <w:szCs w:val="24"/>
        </w:rPr>
        <w:t>През 2017 г. са проведени 8 заседания на Националния съвет за подпомагане и компенсация на пострадали от престъпления, на които са разгледани 65 молби за финансова компенсация. На 20 пострадали граждани по смисъла на закона е предоставена финансова компенсация в общ размер на 0,05 млн. лв.</w:t>
      </w:r>
    </w:p>
    <w:p w:rsidR="00940E69" w:rsidRPr="00056DFA" w:rsidRDefault="00940E69" w:rsidP="00940E69">
      <w:pPr>
        <w:spacing w:before="0" w:after="0"/>
        <w:jc w:val="both"/>
        <w:rPr>
          <w:b/>
          <w:sz w:val="24"/>
          <w:szCs w:val="24"/>
        </w:rPr>
      </w:pPr>
      <w:r w:rsidRPr="00056DFA">
        <w:rPr>
          <w:b/>
          <w:sz w:val="24"/>
          <w:szCs w:val="24"/>
        </w:rPr>
        <w:t>Програма „Регистри”</w:t>
      </w:r>
    </w:p>
    <w:p w:rsidR="00940E69" w:rsidRPr="00056DFA" w:rsidRDefault="00940E69" w:rsidP="00940E69">
      <w:pPr>
        <w:spacing w:before="0" w:after="0"/>
        <w:jc w:val="both"/>
        <w:rPr>
          <w:sz w:val="24"/>
          <w:szCs w:val="24"/>
        </w:rPr>
      </w:pPr>
      <w:r w:rsidRPr="00056DFA">
        <w:rPr>
          <w:sz w:val="24"/>
          <w:szCs w:val="24"/>
        </w:rPr>
        <w:t xml:space="preserve">Дейността по Програма „Регистри” има за цел осигуряване на правна сигурност в икономическия, обществен и стопански живот на страната чрез създаване на законови и икономически условия за предоставяне на ефективни административни услуги чрез създаване, поддържане и развитие на електронните публични регистри и изграждане на Единен електронен регистрационен център. Програмата се изпълнява от Агенция по вписванията /АВ/ и Централен регистър на особените залози /ЦРОЗ/, като са отчетени </w:t>
      </w:r>
      <w:r w:rsidRPr="00056DFA">
        <w:rPr>
          <w:sz w:val="24"/>
          <w:szCs w:val="24"/>
        </w:rPr>
        <w:lastRenderedPageBreak/>
        <w:t>разходи в размер на 18,9 млн.лв., от тях 10,7 млн.лв. за персонал, 4,2 млн.лв. за издръжка и 4 млн.лв. за капиталови разходи.</w:t>
      </w:r>
    </w:p>
    <w:p w:rsidR="00940E69" w:rsidRPr="00056DFA" w:rsidRDefault="00940E69" w:rsidP="00940E69">
      <w:pPr>
        <w:spacing w:before="0" w:after="0"/>
        <w:jc w:val="both"/>
        <w:rPr>
          <w:sz w:val="24"/>
          <w:szCs w:val="24"/>
          <w:lang w:eastAsia="en-US"/>
        </w:rPr>
      </w:pPr>
      <w:r w:rsidRPr="00056DFA">
        <w:rPr>
          <w:sz w:val="24"/>
          <w:szCs w:val="24"/>
          <w:lang w:eastAsia="en-US"/>
        </w:rPr>
        <w:t xml:space="preserve">В изпълнение на своите функции и в контекста на определените оперативни цели, ЦРОЗ реализира следните дейности: </w:t>
      </w:r>
    </w:p>
    <w:p w:rsidR="00940E69" w:rsidRPr="00056DFA" w:rsidRDefault="00940E69" w:rsidP="00940E69">
      <w:pPr>
        <w:spacing w:before="0" w:after="0"/>
        <w:jc w:val="both"/>
        <w:rPr>
          <w:sz w:val="24"/>
          <w:szCs w:val="24"/>
        </w:rPr>
      </w:pPr>
      <w:r w:rsidRPr="00056DFA">
        <w:rPr>
          <w:sz w:val="24"/>
          <w:szCs w:val="24"/>
        </w:rPr>
        <w:t>-  Предоставени са общо 156 815 бр.  административни услуги (вписвания, удостоверения и др.).</w:t>
      </w:r>
    </w:p>
    <w:p w:rsidR="00940E69" w:rsidRPr="00056DFA" w:rsidRDefault="00940E69" w:rsidP="00940E69">
      <w:pPr>
        <w:numPr>
          <w:ilvl w:val="0"/>
          <w:numId w:val="31"/>
        </w:numPr>
        <w:tabs>
          <w:tab w:val="left" w:pos="993"/>
        </w:tabs>
        <w:spacing w:before="0" w:after="0"/>
        <w:ind w:left="0" w:firstLine="567"/>
        <w:jc w:val="both"/>
        <w:rPr>
          <w:sz w:val="24"/>
          <w:szCs w:val="24"/>
          <w:lang w:val="ru-RU"/>
        </w:rPr>
      </w:pPr>
      <w:r w:rsidRPr="00056DFA">
        <w:rPr>
          <w:sz w:val="24"/>
          <w:szCs w:val="24"/>
        </w:rPr>
        <w:t xml:space="preserve">ЦРОЗ предоставя три електронни услуги в портала </w:t>
      </w:r>
      <w:proofErr w:type="spellStart"/>
      <w:r w:rsidRPr="00056DFA">
        <w:rPr>
          <w:sz w:val="24"/>
          <w:szCs w:val="24"/>
        </w:rPr>
        <w:t>egov</w:t>
      </w:r>
      <w:proofErr w:type="spellEnd"/>
      <w:r w:rsidRPr="00056DFA">
        <w:rPr>
          <w:sz w:val="24"/>
          <w:szCs w:val="24"/>
        </w:rPr>
        <w:t>.</w:t>
      </w:r>
      <w:proofErr w:type="spellStart"/>
      <w:r w:rsidRPr="00056DFA">
        <w:rPr>
          <w:sz w:val="24"/>
          <w:szCs w:val="24"/>
        </w:rPr>
        <w:t>bg</w:t>
      </w:r>
      <w:proofErr w:type="spellEnd"/>
      <w:r w:rsidRPr="00056DFA">
        <w:rPr>
          <w:sz w:val="24"/>
          <w:szCs w:val="24"/>
        </w:rPr>
        <w:t xml:space="preserve"> на адрес:  </w:t>
      </w:r>
      <w:hyperlink r:id="rId10" w:anchor="13" w:history="1">
        <w:r w:rsidRPr="00056DFA">
          <w:rPr>
            <w:sz w:val="24"/>
            <w:szCs w:val="24"/>
            <w:u w:val="single"/>
          </w:rPr>
          <w:t>http://regixaisweb.egov.bg/RegiXInfo/#13</w:t>
        </w:r>
      </w:hyperlink>
      <w:r w:rsidRPr="00056DFA">
        <w:rPr>
          <w:sz w:val="24"/>
          <w:szCs w:val="24"/>
        </w:rPr>
        <w:t xml:space="preserve">, реализирани по проект „Развитие на административното обслужване по електронен път“ - договор № К-10-31-1/07.09.2010 год., който се осъществява с финансовата подкрепа на Оперативна програма „Административен капацитет”, </w:t>
      </w:r>
      <w:proofErr w:type="spellStart"/>
      <w:r w:rsidRPr="00056DFA">
        <w:rPr>
          <w:sz w:val="24"/>
          <w:szCs w:val="24"/>
        </w:rPr>
        <w:t>съфинансирана</w:t>
      </w:r>
      <w:proofErr w:type="spellEnd"/>
      <w:r w:rsidRPr="00056DFA">
        <w:rPr>
          <w:sz w:val="24"/>
          <w:szCs w:val="24"/>
        </w:rPr>
        <w:t xml:space="preserve"> от Европейския съюз, с бенефициент Министерството на транспорта, информационните технологии и съобщенията</w:t>
      </w:r>
      <w:r w:rsidRPr="00056DFA">
        <w:rPr>
          <w:sz w:val="24"/>
          <w:szCs w:val="24"/>
          <w:lang w:val="ru-RU"/>
        </w:rPr>
        <w:t>:</w:t>
      </w:r>
    </w:p>
    <w:p w:rsidR="00940E69" w:rsidRPr="00056DFA" w:rsidRDefault="00940E69" w:rsidP="00940E69">
      <w:pPr>
        <w:numPr>
          <w:ilvl w:val="0"/>
          <w:numId w:val="32"/>
        </w:numPr>
        <w:spacing w:before="0" w:after="0"/>
        <w:ind w:left="0" w:firstLine="567"/>
        <w:jc w:val="both"/>
        <w:rPr>
          <w:sz w:val="24"/>
          <w:szCs w:val="24"/>
        </w:rPr>
      </w:pPr>
      <w:r w:rsidRPr="00056DFA">
        <w:rPr>
          <w:sz w:val="24"/>
          <w:szCs w:val="24"/>
        </w:rPr>
        <w:t>Справка за търсене на участници по зададен идентификационен код и наименование;</w:t>
      </w:r>
    </w:p>
    <w:p w:rsidR="00940E69" w:rsidRPr="00056DFA" w:rsidRDefault="00940E69" w:rsidP="00940E69">
      <w:pPr>
        <w:numPr>
          <w:ilvl w:val="0"/>
          <w:numId w:val="33"/>
        </w:numPr>
        <w:spacing w:before="0" w:after="0"/>
        <w:ind w:left="0" w:firstLine="567"/>
        <w:jc w:val="both"/>
        <w:rPr>
          <w:sz w:val="24"/>
          <w:szCs w:val="24"/>
        </w:rPr>
      </w:pPr>
      <w:r w:rsidRPr="00056DFA">
        <w:rPr>
          <w:sz w:val="24"/>
          <w:szCs w:val="24"/>
        </w:rPr>
        <w:t>Справка за извличане на данни за вписванията по партида на определено лице;</w:t>
      </w:r>
    </w:p>
    <w:p w:rsidR="00940E69" w:rsidRPr="00056DFA" w:rsidRDefault="00940E69" w:rsidP="00940E69">
      <w:pPr>
        <w:numPr>
          <w:ilvl w:val="0"/>
          <w:numId w:val="33"/>
        </w:numPr>
        <w:spacing w:before="0" w:after="0"/>
        <w:ind w:left="0" w:firstLine="567"/>
        <w:jc w:val="both"/>
        <w:rPr>
          <w:sz w:val="24"/>
          <w:szCs w:val="24"/>
        </w:rPr>
      </w:pPr>
      <w:r w:rsidRPr="00056DFA">
        <w:rPr>
          <w:sz w:val="24"/>
          <w:szCs w:val="24"/>
        </w:rPr>
        <w:t>Справка за извличане на данни за вписванията във връзка с определена сделка, запор на имущество или решение на съда по несъстоятелност;</w:t>
      </w:r>
    </w:p>
    <w:p w:rsidR="00940E69" w:rsidRPr="00056DFA" w:rsidRDefault="00940E69" w:rsidP="00940E69">
      <w:pPr>
        <w:tabs>
          <w:tab w:val="left" w:pos="709"/>
        </w:tabs>
        <w:spacing w:before="0" w:after="0"/>
        <w:jc w:val="both"/>
        <w:rPr>
          <w:sz w:val="24"/>
          <w:szCs w:val="24"/>
        </w:rPr>
      </w:pPr>
      <w:r w:rsidRPr="00056DFA">
        <w:rPr>
          <w:sz w:val="24"/>
          <w:szCs w:val="24"/>
          <w:lang w:eastAsia="en-US"/>
        </w:rPr>
        <w:tab/>
        <w:t>В Агенцията по вписванията са п</w:t>
      </w:r>
      <w:r w:rsidRPr="00056DFA">
        <w:rPr>
          <w:sz w:val="24"/>
          <w:szCs w:val="24"/>
        </w:rPr>
        <w:t>редприети действия за създаване на Имотен регистър, съобразно разпоредбите на Закона за кадастъра и имотния регистър и Наредба № 2 от 21.04.2005 г. за воденето и съхраняването на Имотния регистър; разработване на система за SMS оповестяване; внедрени са ПОС терминални устройства за извършване на плащания без такса за обслужване на клиентите.</w:t>
      </w:r>
    </w:p>
    <w:p w:rsidR="00940E69" w:rsidRPr="00056DFA" w:rsidRDefault="00940E69" w:rsidP="00940E69">
      <w:pPr>
        <w:tabs>
          <w:tab w:val="left" w:pos="709"/>
        </w:tabs>
        <w:spacing w:before="0" w:after="0"/>
        <w:jc w:val="both"/>
        <w:rPr>
          <w:sz w:val="24"/>
          <w:szCs w:val="24"/>
        </w:rPr>
      </w:pPr>
      <w:r w:rsidRPr="00056DFA">
        <w:rPr>
          <w:sz w:val="24"/>
          <w:szCs w:val="24"/>
        </w:rPr>
        <w:t>За усъвършенстване на Интегрираната информационна система, обслужваща дейността на службите по вписванията към Агенция по вписванията (Имотен регистър) и адаптирането ѝ към промените в нормативната уредба на 13.04.2017 г. Агенция по вписванията е стартирала проект за „Надграждане на имотния регистър за интеграция с кадастралния регистър и предоставяне на допълнителни е-услуги“ изпълняван по ОПДУ ( BG05SFOP001-1.002-0004-С01). Чрез него ще бъдат реализирани минимум 9 нови електронни услуги, а именно:</w:t>
      </w:r>
    </w:p>
    <w:p w:rsidR="00940E69" w:rsidRPr="00056DFA" w:rsidRDefault="00940E69" w:rsidP="00940E69">
      <w:pPr>
        <w:tabs>
          <w:tab w:val="left" w:pos="709"/>
        </w:tabs>
        <w:spacing w:before="0" w:after="0"/>
        <w:jc w:val="both"/>
        <w:rPr>
          <w:sz w:val="24"/>
          <w:szCs w:val="24"/>
        </w:rPr>
      </w:pPr>
      <w:r w:rsidRPr="00056DFA">
        <w:rPr>
          <w:sz w:val="24"/>
          <w:szCs w:val="24"/>
        </w:rPr>
        <w:t>- Регистриране на заявление за предстояща сделка  за предварително деклариране  на предстояща сделка;</w:t>
      </w:r>
    </w:p>
    <w:p w:rsidR="00940E69" w:rsidRPr="00056DFA" w:rsidRDefault="00940E69" w:rsidP="00940E69">
      <w:pPr>
        <w:tabs>
          <w:tab w:val="left" w:pos="709"/>
        </w:tabs>
        <w:spacing w:before="0" w:after="0"/>
        <w:jc w:val="both"/>
        <w:rPr>
          <w:sz w:val="24"/>
          <w:szCs w:val="24"/>
        </w:rPr>
      </w:pPr>
      <w:r w:rsidRPr="00056DFA">
        <w:rPr>
          <w:sz w:val="24"/>
          <w:szCs w:val="24"/>
        </w:rPr>
        <w:t xml:space="preserve"> - услуга за проверка на статус на заявление, осигуряващ видимост на подготвителни действия за сделки с недвижим имот;</w:t>
      </w:r>
    </w:p>
    <w:p w:rsidR="00940E69" w:rsidRPr="00056DFA" w:rsidRDefault="00940E69" w:rsidP="00940E69">
      <w:pPr>
        <w:tabs>
          <w:tab w:val="left" w:pos="709"/>
        </w:tabs>
        <w:spacing w:before="0" w:after="0"/>
        <w:jc w:val="both"/>
        <w:rPr>
          <w:sz w:val="24"/>
          <w:szCs w:val="24"/>
        </w:rPr>
      </w:pPr>
      <w:r w:rsidRPr="00056DFA">
        <w:rPr>
          <w:sz w:val="24"/>
          <w:szCs w:val="24"/>
        </w:rPr>
        <w:t xml:space="preserve"> - автоматизирано известяване на заинтересовани страни на посочен </w:t>
      </w:r>
      <w:proofErr w:type="spellStart"/>
      <w:r w:rsidRPr="00056DFA">
        <w:rPr>
          <w:sz w:val="24"/>
          <w:szCs w:val="24"/>
        </w:rPr>
        <w:t>e-mail</w:t>
      </w:r>
      <w:proofErr w:type="spellEnd"/>
      <w:r w:rsidRPr="00056DFA">
        <w:rPr>
          <w:sz w:val="24"/>
          <w:szCs w:val="24"/>
        </w:rPr>
        <w:t xml:space="preserve"> адрес;</w:t>
      </w:r>
    </w:p>
    <w:p w:rsidR="00940E69" w:rsidRPr="00056DFA" w:rsidRDefault="00940E69" w:rsidP="00940E69">
      <w:pPr>
        <w:tabs>
          <w:tab w:val="left" w:pos="709"/>
        </w:tabs>
        <w:spacing w:before="0" w:after="0"/>
        <w:jc w:val="both"/>
        <w:rPr>
          <w:sz w:val="24"/>
          <w:szCs w:val="24"/>
        </w:rPr>
      </w:pPr>
      <w:r w:rsidRPr="00056DFA">
        <w:rPr>
          <w:sz w:val="24"/>
          <w:szCs w:val="24"/>
        </w:rPr>
        <w:t xml:space="preserve"> - уведомителна услуга за общините и техните бази данни за данъчни цели;</w:t>
      </w:r>
    </w:p>
    <w:p w:rsidR="00940E69" w:rsidRPr="00056DFA" w:rsidRDefault="00940E69" w:rsidP="00940E69">
      <w:pPr>
        <w:tabs>
          <w:tab w:val="left" w:pos="709"/>
        </w:tabs>
        <w:spacing w:before="0" w:after="0"/>
        <w:jc w:val="both"/>
        <w:rPr>
          <w:sz w:val="24"/>
          <w:szCs w:val="24"/>
        </w:rPr>
      </w:pPr>
      <w:r w:rsidRPr="00056DFA">
        <w:rPr>
          <w:sz w:val="24"/>
          <w:szCs w:val="24"/>
        </w:rPr>
        <w:t xml:space="preserve"> - искане за издаване на преписи;</w:t>
      </w:r>
    </w:p>
    <w:p w:rsidR="00940E69" w:rsidRPr="00056DFA" w:rsidRDefault="00940E69" w:rsidP="00940E69">
      <w:pPr>
        <w:tabs>
          <w:tab w:val="left" w:pos="709"/>
        </w:tabs>
        <w:spacing w:before="0" w:after="0"/>
        <w:jc w:val="both"/>
        <w:rPr>
          <w:sz w:val="24"/>
          <w:szCs w:val="24"/>
        </w:rPr>
      </w:pPr>
      <w:r w:rsidRPr="00056DFA">
        <w:rPr>
          <w:sz w:val="24"/>
          <w:szCs w:val="24"/>
        </w:rPr>
        <w:t xml:space="preserve"> - искане за издаване на удостоверение за лице;</w:t>
      </w:r>
    </w:p>
    <w:p w:rsidR="00940E69" w:rsidRPr="00056DFA" w:rsidRDefault="00940E69" w:rsidP="00940E69">
      <w:pPr>
        <w:tabs>
          <w:tab w:val="left" w:pos="709"/>
        </w:tabs>
        <w:spacing w:before="0" w:after="0"/>
        <w:jc w:val="both"/>
        <w:rPr>
          <w:sz w:val="24"/>
          <w:szCs w:val="24"/>
        </w:rPr>
      </w:pPr>
      <w:r w:rsidRPr="00056DFA">
        <w:rPr>
          <w:sz w:val="24"/>
          <w:szCs w:val="24"/>
        </w:rPr>
        <w:t xml:space="preserve"> - искане за издаване на удостоверение за имот;</w:t>
      </w:r>
    </w:p>
    <w:p w:rsidR="00940E69" w:rsidRPr="00056DFA" w:rsidRDefault="00940E69" w:rsidP="00940E69">
      <w:pPr>
        <w:tabs>
          <w:tab w:val="left" w:pos="709"/>
        </w:tabs>
        <w:spacing w:before="0" w:after="0"/>
        <w:jc w:val="both"/>
        <w:rPr>
          <w:sz w:val="24"/>
          <w:szCs w:val="24"/>
        </w:rPr>
      </w:pPr>
      <w:r w:rsidRPr="00056DFA">
        <w:rPr>
          <w:sz w:val="24"/>
          <w:szCs w:val="24"/>
        </w:rPr>
        <w:t xml:space="preserve"> - искане за издаване на удостоверение за период;</w:t>
      </w:r>
    </w:p>
    <w:p w:rsidR="00940E69" w:rsidRPr="00056DFA" w:rsidRDefault="00940E69" w:rsidP="00940E69">
      <w:pPr>
        <w:tabs>
          <w:tab w:val="left" w:pos="709"/>
        </w:tabs>
        <w:spacing w:before="0" w:after="0"/>
        <w:jc w:val="both"/>
        <w:rPr>
          <w:sz w:val="24"/>
          <w:szCs w:val="24"/>
        </w:rPr>
      </w:pPr>
      <w:r w:rsidRPr="00056DFA">
        <w:rPr>
          <w:sz w:val="24"/>
          <w:szCs w:val="24"/>
        </w:rPr>
        <w:t xml:space="preserve"> - калкулатор за изчисление на дължимите държавните такси.</w:t>
      </w:r>
    </w:p>
    <w:p w:rsidR="00940E69" w:rsidRPr="00056DFA" w:rsidRDefault="00940E69" w:rsidP="00940E69">
      <w:pPr>
        <w:spacing w:before="0" w:after="0"/>
        <w:jc w:val="both"/>
        <w:rPr>
          <w:sz w:val="24"/>
          <w:szCs w:val="24"/>
        </w:rPr>
      </w:pPr>
      <w:r w:rsidRPr="00056DFA">
        <w:rPr>
          <w:sz w:val="24"/>
          <w:szCs w:val="24"/>
        </w:rPr>
        <w:t>Осигурена е работоспособността на информационните системи, обслужващи поверените на Агенция по вписванията национални регистри, които към момента са Търговския регистър, Имотния регистър, БУЛСТАТ и РИОС. Осигурени са информационната сигурност и защита на системите, обслужващи националните регистри, както и тяхната модернизация и развитие.</w:t>
      </w:r>
    </w:p>
    <w:p w:rsidR="00940E69" w:rsidRPr="00056DFA" w:rsidRDefault="00940E69" w:rsidP="00940E69">
      <w:pPr>
        <w:tabs>
          <w:tab w:val="left" w:pos="1134"/>
        </w:tabs>
        <w:spacing w:before="0" w:after="0"/>
        <w:contextualSpacing/>
        <w:jc w:val="both"/>
        <w:rPr>
          <w:b/>
          <w:sz w:val="24"/>
          <w:szCs w:val="24"/>
        </w:rPr>
      </w:pPr>
      <w:r w:rsidRPr="00056DFA">
        <w:rPr>
          <w:b/>
          <w:sz w:val="24"/>
          <w:szCs w:val="24"/>
        </w:rPr>
        <w:t>Програма „Охрана на съдебната власт“</w:t>
      </w:r>
    </w:p>
    <w:p w:rsidR="00940E69" w:rsidRPr="00056DFA" w:rsidRDefault="00940E69" w:rsidP="00940E69">
      <w:pPr>
        <w:spacing w:before="0" w:after="0"/>
        <w:jc w:val="both"/>
        <w:rPr>
          <w:sz w:val="24"/>
          <w:szCs w:val="24"/>
        </w:rPr>
      </w:pPr>
      <w:r w:rsidRPr="00056DFA">
        <w:rPr>
          <w:sz w:val="24"/>
          <w:szCs w:val="24"/>
        </w:rPr>
        <w:t xml:space="preserve">Целта на програмата е осигуряване на висока степен на сигурност и опазване на обществения ред в съдебните сгради; опазване здравето и живота на магистрати; оказване на своевременно съдействие на органите на съдебната власт при призоваване, принудително довеждане и конвоиране. Програмата се изпълнява от ГД ”Охрана”, </w:t>
      </w:r>
      <w:r w:rsidRPr="00056DFA">
        <w:rPr>
          <w:sz w:val="24"/>
          <w:szCs w:val="24"/>
        </w:rPr>
        <w:lastRenderedPageBreak/>
        <w:t>създадена на основание Закона за съдебната власт за осъществяване охраната на органите на съдебната власт. През 2017 г. са отчетени разходи в размер на 37 млн.лв., от които 31,7 млн.лв. са разходи за персонал, 4,1 млн.лв. за издръжка и 1 млн.лв. за капиталови разходи. Отчетените администрирани разходи по програмата са в размер на 0,2 млн.лв.</w:t>
      </w:r>
    </w:p>
    <w:p w:rsidR="00940E69" w:rsidRPr="00056DFA" w:rsidRDefault="00940E69" w:rsidP="00940E69">
      <w:pPr>
        <w:spacing w:before="0" w:after="0"/>
        <w:jc w:val="both"/>
        <w:rPr>
          <w:sz w:val="24"/>
          <w:szCs w:val="24"/>
        </w:rPr>
      </w:pPr>
      <w:r w:rsidRPr="00056DFA">
        <w:rPr>
          <w:sz w:val="24"/>
          <w:szCs w:val="24"/>
        </w:rPr>
        <w:t>Общият брой на обектите, подлежащи на охрана от Главна дирекция „Охрана” към отчетния период е 282. От тях, поетите под охрана към 31.12.2017 г. са 181 обекта, а 101 обекта са без охрана, поради недостиг на щатен състав. Сгради и обекти на съдебната власт извън областните центрове се охраняват предимно от един до трима служители.</w:t>
      </w:r>
    </w:p>
    <w:p w:rsidR="00940E69" w:rsidRPr="00056DFA" w:rsidRDefault="00940E69" w:rsidP="00940E69">
      <w:pPr>
        <w:spacing w:before="0" w:after="0"/>
        <w:jc w:val="both"/>
        <w:rPr>
          <w:sz w:val="24"/>
          <w:szCs w:val="24"/>
        </w:rPr>
      </w:pPr>
      <w:r w:rsidRPr="00056DFA">
        <w:rPr>
          <w:sz w:val="24"/>
          <w:szCs w:val="24"/>
        </w:rPr>
        <w:t>Обезпечено е оборудване и комуникации за 28 денонощни оперативно дежурни части за видео наблюдение и оперативно наблюдение на служебните автомобили.</w:t>
      </w:r>
    </w:p>
    <w:p w:rsidR="00940E69" w:rsidRPr="00056DFA" w:rsidRDefault="00940E69" w:rsidP="00940E69">
      <w:pPr>
        <w:spacing w:before="0" w:after="0"/>
        <w:jc w:val="both"/>
        <w:rPr>
          <w:sz w:val="24"/>
          <w:szCs w:val="24"/>
        </w:rPr>
      </w:pPr>
      <w:r w:rsidRPr="00056DFA">
        <w:rPr>
          <w:sz w:val="24"/>
          <w:szCs w:val="24"/>
        </w:rPr>
        <w:t>За повишаването на квалификацията и обучението на личния състав в ГДО през отчетния период са организирани и проведени общо 44 курса за обучение, с участието на 699 служители от ГД „Охрана”.</w:t>
      </w:r>
    </w:p>
    <w:p w:rsidR="00940E69" w:rsidRPr="00056DFA" w:rsidRDefault="00940E69" w:rsidP="00940E69">
      <w:pPr>
        <w:spacing w:before="0" w:after="0"/>
        <w:jc w:val="both"/>
        <w:rPr>
          <w:sz w:val="24"/>
          <w:szCs w:val="24"/>
        </w:rPr>
      </w:pPr>
      <w:r w:rsidRPr="00056DFA">
        <w:rPr>
          <w:sz w:val="24"/>
          <w:szCs w:val="24"/>
        </w:rPr>
        <w:t>Охраната на съдии, прокурори и следователи, която се извършва единствено от ГД “Охрана” е от съществено значение за повишаване резултатите в борбата с тежките престъпления и организираната престъпност. През 2017 г. е осигурено опазването на сигурността и живота на застрашени длъжностни лица, във връзка с изпълнението на функционалните им задължения. Не са допуснати пробиви на охранителните екипи, осигуряващи охраната.</w:t>
      </w:r>
    </w:p>
    <w:p w:rsidR="00940E69" w:rsidRPr="00056DFA" w:rsidRDefault="00940E69" w:rsidP="00940E69">
      <w:pPr>
        <w:spacing w:before="0" w:after="0"/>
        <w:jc w:val="both"/>
        <w:rPr>
          <w:sz w:val="24"/>
          <w:szCs w:val="24"/>
        </w:rPr>
      </w:pPr>
      <w:r w:rsidRPr="00056DFA">
        <w:rPr>
          <w:sz w:val="24"/>
          <w:szCs w:val="24"/>
        </w:rPr>
        <w:t>Превеждането на задържани лица от помещенията на затворите и следствените арести до органите на съдебната власт е извършвано при недопускане на нападения върху конвойните наряди за освобождаване на конвоирано лице. Осъществявани са и усилено строги конвои на особено опасни лица в т. ч. терористи и лица с доживотни присъди.</w:t>
      </w:r>
    </w:p>
    <w:p w:rsidR="00940E69" w:rsidRPr="00056DFA" w:rsidRDefault="00940E69" w:rsidP="00940E69">
      <w:pPr>
        <w:spacing w:before="0" w:after="0"/>
        <w:jc w:val="both"/>
        <w:rPr>
          <w:sz w:val="24"/>
          <w:szCs w:val="24"/>
        </w:rPr>
      </w:pPr>
      <w:r w:rsidRPr="00056DFA">
        <w:rPr>
          <w:sz w:val="24"/>
          <w:szCs w:val="24"/>
        </w:rPr>
        <w:t>Изпълнени са всички заявени съдебни поръчки по международни договори по екстрадиции и трансфери на лица, по ЗЕЕЗА и други международни договори.</w:t>
      </w:r>
    </w:p>
    <w:p w:rsidR="00940E69" w:rsidRPr="00056DFA" w:rsidRDefault="00940E69" w:rsidP="00940E69">
      <w:pPr>
        <w:spacing w:before="0" w:after="0"/>
        <w:ind w:left="567" w:firstLine="0"/>
        <w:contextualSpacing/>
        <w:jc w:val="both"/>
        <w:rPr>
          <w:b/>
          <w:sz w:val="24"/>
          <w:szCs w:val="24"/>
        </w:rPr>
      </w:pPr>
      <w:r w:rsidRPr="00056DFA">
        <w:rPr>
          <w:b/>
          <w:sz w:val="24"/>
          <w:szCs w:val="24"/>
        </w:rPr>
        <w:t>Програма „Равен достъп до правосъдие”</w:t>
      </w:r>
    </w:p>
    <w:p w:rsidR="006E466F" w:rsidRPr="00056DFA" w:rsidRDefault="00940E69" w:rsidP="006E466F">
      <w:pPr>
        <w:spacing w:before="0" w:after="0"/>
        <w:jc w:val="both"/>
        <w:rPr>
          <w:sz w:val="24"/>
          <w:szCs w:val="24"/>
        </w:rPr>
      </w:pPr>
      <w:r w:rsidRPr="00056DFA">
        <w:rPr>
          <w:sz w:val="24"/>
          <w:szCs w:val="24"/>
        </w:rPr>
        <w:t xml:space="preserve">Основна цел на програмата е осигуряването на защита на правата и законовите интереси на гражданите при гарантиране на равен достъп на лицата до правосъдие чрез осигуряване и предоставяне на ефективна правна помощ. За отчетния период институцията е постигнала основната цел - да защитава правата и законовите интереси на гражданите, като гарантира равен достъп на лицата до правосъдие чрез осигуряване на ефективна правна помощ. В голяма степен е организирана и предоставена ефективна правна помощ през целия досъдебен и съдебен процес. </w:t>
      </w:r>
      <w:r w:rsidR="006E466F" w:rsidRPr="00056DFA">
        <w:rPr>
          <w:sz w:val="24"/>
          <w:szCs w:val="24"/>
        </w:rPr>
        <w:t xml:space="preserve">През 2017 г. са отчетени разходи в размер на </w:t>
      </w:r>
      <w:r w:rsidR="006E466F">
        <w:rPr>
          <w:sz w:val="24"/>
          <w:szCs w:val="24"/>
        </w:rPr>
        <w:t>9,3</w:t>
      </w:r>
      <w:r w:rsidR="006E466F" w:rsidRPr="00056DFA">
        <w:rPr>
          <w:sz w:val="24"/>
          <w:szCs w:val="24"/>
        </w:rPr>
        <w:t xml:space="preserve"> млн.лв., от които </w:t>
      </w:r>
      <w:r w:rsidR="006E466F">
        <w:rPr>
          <w:sz w:val="24"/>
          <w:szCs w:val="24"/>
        </w:rPr>
        <w:t>0,4</w:t>
      </w:r>
      <w:r w:rsidR="006E466F" w:rsidRPr="00056DFA">
        <w:rPr>
          <w:sz w:val="24"/>
          <w:szCs w:val="24"/>
        </w:rPr>
        <w:t xml:space="preserve"> млн.лв. са разходи за персонал, </w:t>
      </w:r>
      <w:r w:rsidR="006E466F">
        <w:rPr>
          <w:sz w:val="24"/>
          <w:szCs w:val="24"/>
        </w:rPr>
        <w:t>8,7</w:t>
      </w:r>
      <w:r w:rsidR="006E466F" w:rsidRPr="00056DFA">
        <w:rPr>
          <w:sz w:val="24"/>
          <w:szCs w:val="24"/>
        </w:rPr>
        <w:t xml:space="preserve"> млн.лв. за издръжка и </w:t>
      </w:r>
      <w:r w:rsidR="006E466F">
        <w:rPr>
          <w:sz w:val="24"/>
          <w:szCs w:val="24"/>
        </w:rPr>
        <w:t>0,2</w:t>
      </w:r>
      <w:r w:rsidR="006E466F" w:rsidRPr="00056DFA">
        <w:rPr>
          <w:sz w:val="24"/>
          <w:szCs w:val="24"/>
        </w:rPr>
        <w:t xml:space="preserve"> млн.лв. за капиталови разходи. Отчетените администрирани разходи по програмата са в размер на </w:t>
      </w:r>
      <w:r w:rsidR="006E466F">
        <w:rPr>
          <w:sz w:val="24"/>
          <w:szCs w:val="24"/>
        </w:rPr>
        <w:t>8,6</w:t>
      </w:r>
      <w:r w:rsidR="006E466F" w:rsidRPr="00056DFA">
        <w:rPr>
          <w:sz w:val="24"/>
          <w:szCs w:val="24"/>
        </w:rPr>
        <w:t xml:space="preserve"> млн.лв.</w:t>
      </w:r>
    </w:p>
    <w:p w:rsidR="00940E69" w:rsidRPr="00056DFA" w:rsidRDefault="00940E69" w:rsidP="00940E69">
      <w:pPr>
        <w:spacing w:before="0" w:after="0"/>
        <w:jc w:val="both"/>
        <w:rPr>
          <w:sz w:val="24"/>
          <w:szCs w:val="24"/>
        </w:rPr>
      </w:pPr>
      <w:r w:rsidRPr="00056DFA">
        <w:rPr>
          <w:sz w:val="24"/>
          <w:szCs w:val="24"/>
        </w:rPr>
        <w:t>В следствие на извършените промени в ЗПП относно въвеждането на критерия „линия на бедност“ има увеличение на броя на лицата получили правна помощ с решение на Председателят на НБПП. През 2017 г. са постъпили 492 бр. молби  за правна помощ. За периода броя на лицата, имащи право на безплатна правна помощ и получили такава е 277 лица.</w:t>
      </w:r>
    </w:p>
    <w:p w:rsidR="00940E69" w:rsidRPr="00056DFA" w:rsidRDefault="00940E69" w:rsidP="00940E69">
      <w:pPr>
        <w:spacing w:before="0" w:after="0"/>
        <w:jc w:val="both"/>
        <w:rPr>
          <w:sz w:val="24"/>
          <w:szCs w:val="24"/>
        </w:rPr>
      </w:pPr>
      <w:r w:rsidRPr="00056DFA">
        <w:rPr>
          <w:sz w:val="24"/>
          <w:szCs w:val="24"/>
        </w:rPr>
        <w:t>Чрез въведените нови форми за правна помощ – национален телефон за правна помощ и регионални центрове за консултиране към адвокатските колегии се предоставят консултации и правни съвети. В резултат на тази дейност за отчетния период бяха консултирани 3 266 лица по НТПП и РКЦ.</w:t>
      </w:r>
    </w:p>
    <w:p w:rsidR="00940E69" w:rsidRPr="00056DFA" w:rsidRDefault="00940E69" w:rsidP="00940E69">
      <w:pPr>
        <w:spacing w:before="0" w:after="0"/>
        <w:jc w:val="both"/>
        <w:rPr>
          <w:sz w:val="24"/>
          <w:szCs w:val="24"/>
        </w:rPr>
      </w:pPr>
      <w:r w:rsidRPr="00056DFA">
        <w:rPr>
          <w:sz w:val="24"/>
          <w:szCs w:val="24"/>
        </w:rPr>
        <w:lastRenderedPageBreak/>
        <w:t>Гражданите, на които е предоставена правна помощ от разследващи органи и съда за процесуално представителство по образувани граждански, наказателни и административни производства са 32 494 лица.</w:t>
      </w:r>
    </w:p>
    <w:p w:rsidR="00940E69" w:rsidRPr="00056DFA" w:rsidRDefault="00940E69" w:rsidP="00940E69">
      <w:pPr>
        <w:spacing w:before="0" w:after="0"/>
        <w:jc w:val="both"/>
        <w:rPr>
          <w:sz w:val="24"/>
          <w:szCs w:val="24"/>
        </w:rPr>
      </w:pPr>
      <w:r w:rsidRPr="00056DFA">
        <w:rPr>
          <w:sz w:val="24"/>
          <w:szCs w:val="24"/>
        </w:rPr>
        <w:t>Чрез извършване на планови проверки и проверки по сигнал е осъществен контрол по прилагането на Закона за правната помощ.</w:t>
      </w:r>
    </w:p>
    <w:p w:rsidR="00940E69" w:rsidRPr="00056DFA" w:rsidRDefault="00940E69" w:rsidP="00940E69">
      <w:pPr>
        <w:tabs>
          <w:tab w:val="left" w:pos="709"/>
        </w:tabs>
        <w:spacing w:before="0" w:after="0"/>
        <w:jc w:val="both"/>
        <w:rPr>
          <w:b/>
          <w:sz w:val="24"/>
          <w:szCs w:val="24"/>
        </w:rPr>
      </w:pPr>
      <w:r w:rsidRPr="00056DFA">
        <w:rPr>
          <w:b/>
          <w:sz w:val="24"/>
          <w:szCs w:val="24"/>
        </w:rPr>
        <w:t>Политика в областта на изпълнение на наказанията</w:t>
      </w:r>
    </w:p>
    <w:p w:rsidR="00940E69" w:rsidRPr="00056DFA" w:rsidRDefault="00940E69" w:rsidP="00940E69">
      <w:pPr>
        <w:spacing w:before="0" w:after="0"/>
        <w:jc w:val="both"/>
        <w:rPr>
          <w:sz w:val="24"/>
          <w:szCs w:val="24"/>
        </w:rPr>
      </w:pPr>
      <w:r w:rsidRPr="00056DFA">
        <w:rPr>
          <w:sz w:val="24"/>
          <w:szCs w:val="24"/>
        </w:rPr>
        <w:t xml:space="preserve">Стратегическите цели на политиката са: </w:t>
      </w:r>
    </w:p>
    <w:p w:rsidR="00940E69" w:rsidRPr="00056DFA" w:rsidRDefault="00940E69" w:rsidP="00940E69">
      <w:pPr>
        <w:numPr>
          <w:ilvl w:val="0"/>
          <w:numId w:val="34"/>
        </w:numPr>
        <w:tabs>
          <w:tab w:val="left" w:pos="1134"/>
        </w:tabs>
        <w:spacing w:before="0" w:after="0"/>
        <w:ind w:left="0" w:firstLine="567"/>
        <w:jc w:val="both"/>
        <w:rPr>
          <w:sz w:val="24"/>
          <w:szCs w:val="24"/>
        </w:rPr>
      </w:pPr>
      <w:r w:rsidRPr="00056DFA">
        <w:rPr>
          <w:sz w:val="24"/>
          <w:szCs w:val="24"/>
        </w:rPr>
        <w:t xml:space="preserve">Реформиране на </w:t>
      </w:r>
      <w:proofErr w:type="spellStart"/>
      <w:r w:rsidRPr="00056DFA">
        <w:rPr>
          <w:sz w:val="24"/>
          <w:szCs w:val="24"/>
        </w:rPr>
        <w:t>пенитенциарната</w:t>
      </w:r>
      <w:proofErr w:type="spellEnd"/>
      <w:r w:rsidRPr="00056DFA">
        <w:rPr>
          <w:sz w:val="24"/>
          <w:szCs w:val="24"/>
        </w:rPr>
        <w:t xml:space="preserve"> система и </w:t>
      </w:r>
      <w:proofErr w:type="spellStart"/>
      <w:r w:rsidRPr="00056DFA">
        <w:rPr>
          <w:sz w:val="24"/>
          <w:szCs w:val="24"/>
        </w:rPr>
        <w:t>хуманизиране</w:t>
      </w:r>
      <w:proofErr w:type="spellEnd"/>
      <w:r w:rsidRPr="00056DFA">
        <w:rPr>
          <w:sz w:val="24"/>
          <w:szCs w:val="24"/>
        </w:rPr>
        <w:t xml:space="preserve"> изпълнението на</w:t>
      </w:r>
      <w:r w:rsidRPr="00056DFA">
        <w:rPr>
          <w:sz w:val="24"/>
          <w:szCs w:val="24"/>
          <w:lang w:val="ru-RU"/>
        </w:rPr>
        <w:t xml:space="preserve"> </w:t>
      </w:r>
      <w:r w:rsidRPr="00056DFA">
        <w:rPr>
          <w:sz w:val="24"/>
          <w:szCs w:val="24"/>
        </w:rPr>
        <w:t>наказанията;</w:t>
      </w:r>
    </w:p>
    <w:p w:rsidR="00940E69" w:rsidRPr="00056DFA" w:rsidRDefault="00940E69" w:rsidP="00940E69">
      <w:pPr>
        <w:numPr>
          <w:ilvl w:val="0"/>
          <w:numId w:val="34"/>
        </w:numPr>
        <w:tabs>
          <w:tab w:val="left" w:pos="1134"/>
        </w:tabs>
        <w:spacing w:before="0" w:after="0"/>
        <w:ind w:left="0" w:firstLine="567"/>
        <w:jc w:val="both"/>
        <w:rPr>
          <w:sz w:val="24"/>
          <w:szCs w:val="24"/>
        </w:rPr>
      </w:pPr>
      <w:r w:rsidRPr="00056DFA">
        <w:rPr>
          <w:sz w:val="24"/>
          <w:szCs w:val="24"/>
        </w:rPr>
        <w:t>Ефективно и ефикасно управление и изпълнение на подписаните договори по европейски програми и проекти и засилване на международното сътрудничество;</w:t>
      </w:r>
    </w:p>
    <w:p w:rsidR="00940E69" w:rsidRPr="00056DFA" w:rsidRDefault="00940E69" w:rsidP="00940E69">
      <w:pPr>
        <w:numPr>
          <w:ilvl w:val="0"/>
          <w:numId w:val="34"/>
        </w:numPr>
        <w:tabs>
          <w:tab w:val="left" w:pos="1134"/>
        </w:tabs>
        <w:spacing w:before="0" w:after="0"/>
        <w:ind w:left="0" w:firstLine="567"/>
        <w:jc w:val="both"/>
        <w:rPr>
          <w:sz w:val="24"/>
          <w:szCs w:val="24"/>
        </w:rPr>
      </w:pPr>
      <w:r w:rsidRPr="00056DFA">
        <w:rPr>
          <w:sz w:val="24"/>
          <w:szCs w:val="24"/>
        </w:rPr>
        <w:t xml:space="preserve">Организационно развитие и укрепване на административния капацитет, осигуряващ изпълненията на наказанията. </w:t>
      </w:r>
    </w:p>
    <w:p w:rsidR="00940E69" w:rsidRPr="00056DFA" w:rsidRDefault="00940E69" w:rsidP="00940E69">
      <w:pPr>
        <w:spacing w:before="0" w:after="0"/>
        <w:jc w:val="both"/>
        <w:rPr>
          <w:sz w:val="24"/>
          <w:szCs w:val="24"/>
        </w:rPr>
      </w:pPr>
      <w:r w:rsidRPr="00056DFA">
        <w:rPr>
          <w:sz w:val="24"/>
          <w:szCs w:val="24"/>
        </w:rPr>
        <w:t xml:space="preserve">Осъществяването на тези стратегически цели е част от процеса на реформиране на </w:t>
      </w:r>
      <w:proofErr w:type="spellStart"/>
      <w:r w:rsidRPr="00056DFA">
        <w:rPr>
          <w:sz w:val="24"/>
          <w:szCs w:val="24"/>
        </w:rPr>
        <w:t>пенитенциарната</w:t>
      </w:r>
      <w:proofErr w:type="spellEnd"/>
      <w:r w:rsidRPr="00056DFA">
        <w:rPr>
          <w:sz w:val="24"/>
          <w:szCs w:val="24"/>
        </w:rPr>
        <w:t xml:space="preserve"> система и отразява намеренията на Министерството на правосъдието за провеждане на последователна и цялостна политика в наказателно-изпълнителната област, с акцентирането на вниманието и усилията върху подобряване условията на бит и живот в българските </w:t>
      </w:r>
      <w:proofErr w:type="spellStart"/>
      <w:r w:rsidRPr="00056DFA">
        <w:rPr>
          <w:sz w:val="24"/>
          <w:szCs w:val="24"/>
        </w:rPr>
        <w:t>пенитенциарни</w:t>
      </w:r>
      <w:proofErr w:type="spellEnd"/>
      <w:r w:rsidRPr="00056DFA">
        <w:rPr>
          <w:sz w:val="24"/>
          <w:szCs w:val="24"/>
        </w:rPr>
        <w:t xml:space="preserve"> институции и привеждането им в съответствие с международните минимални стандарти за третиране в местата за задържане и Европейските правила за затворите.</w:t>
      </w:r>
    </w:p>
    <w:p w:rsidR="006E466F" w:rsidRDefault="00940E69" w:rsidP="006E466F">
      <w:pPr>
        <w:spacing w:before="0" w:after="0"/>
        <w:jc w:val="both"/>
        <w:rPr>
          <w:sz w:val="24"/>
          <w:szCs w:val="24"/>
        </w:rPr>
      </w:pPr>
      <w:r w:rsidRPr="00056DFA">
        <w:rPr>
          <w:sz w:val="24"/>
          <w:szCs w:val="24"/>
        </w:rPr>
        <w:t>Политиката се изпълнява от ГД „Изпълнение на наказанията”- второстепенен разпоредител с бюджет към министъра на правосъдието</w:t>
      </w:r>
      <w:r w:rsidR="006E466F">
        <w:rPr>
          <w:sz w:val="24"/>
          <w:szCs w:val="24"/>
        </w:rPr>
        <w:t>, като</w:t>
      </w:r>
      <w:r w:rsidR="006E466F" w:rsidRPr="00056DFA">
        <w:rPr>
          <w:sz w:val="24"/>
          <w:szCs w:val="24"/>
        </w:rPr>
        <w:t xml:space="preserve"> </w:t>
      </w:r>
      <w:r w:rsidR="006E466F">
        <w:rPr>
          <w:sz w:val="24"/>
          <w:szCs w:val="24"/>
        </w:rPr>
        <w:t>п</w:t>
      </w:r>
      <w:r w:rsidR="006E466F" w:rsidRPr="00056DFA">
        <w:rPr>
          <w:sz w:val="24"/>
          <w:szCs w:val="24"/>
        </w:rPr>
        <w:t xml:space="preserve">рез 2017 г. са отчетени разходи в размер на </w:t>
      </w:r>
      <w:r w:rsidR="006E466F">
        <w:rPr>
          <w:sz w:val="24"/>
          <w:szCs w:val="24"/>
        </w:rPr>
        <w:t>142,5</w:t>
      </w:r>
      <w:r w:rsidR="006E466F" w:rsidRPr="00056DFA">
        <w:rPr>
          <w:sz w:val="24"/>
          <w:szCs w:val="24"/>
        </w:rPr>
        <w:t xml:space="preserve"> млн.лв., от които </w:t>
      </w:r>
      <w:r w:rsidR="006E466F">
        <w:rPr>
          <w:sz w:val="24"/>
          <w:szCs w:val="24"/>
        </w:rPr>
        <w:t xml:space="preserve">101,5 </w:t>
      </w:r>
      <w:r w:rsidR="006E466F" w:rsidRPr="00056DFA">
        <w:rPr>
          <w:sz w:val="24"/>
          <w:szCs w:val="24"/>
        </w:rPr>
        <w:t xml:space="preserve">млн.лв. са разходи за персонал, </w:t>
      </w:r>
      <w:r w:rsidR="006E466F">
        <w:rPr>
          <w:sz w:val="24"/>
          <w:szCs w:val="24"/>
        </w:rPr>
        <w:t>35,8</w:t>
      </w:r>
      <w:r w:rsidR="006E466F" w:rsidRPr="00056DFA">
        <w:rPr>
          <w:sz w:val="24"/>
          <w:szCs w:val="24"/>
        </w:rPr>
        <w:t xml:space="preserve"> млн.лв. за издръжка и </w:t>
      </w:r>
      <w:r w:rsidR="006E466F">
        <w:rPr>
          <w:sz w:val="24"/>
          <w:szCs w:val="24"/>
        </w:rPr>
        <w:t>5,2</w:t>
      </w:r>
      <w:r w:rsidR="006E466F" w:rsidRPr="00056DFA">
        <w:rPr>
          <w:sz w:val="24"/>
          <w:szCs w:val="24"/>
        </w:rPr>
        <w:t xml:space="preserve"> млн.лв. за капиталови разходи. Отчетените администрирани разходи по п</w:t>
      </w:r>
      <w:r w:rsidR="006E466F">
        <w:rPr>
          <w:sz w:val="24"/>
          <w:szCs w:val="24"/>
        </w:rPr>
        <w:t>олитиката</w:t>
      </w:r>
      <w:r w:rsidR="006E466F" w:rsidRPr="00056DFA">
        <w:rPr>
          <w:sz w:val="24"/>
          <w:szCs w:val="24"/>
        </w:rPr>
        <w:t xml:space="preserve"> са в размер на </w:t>
      </w:r>
      <w:r w:rsidR="006E466F">
        <w:rPr>
          <w:sz w:val="24"/>
          <w:szCs w:val="24"/>
        </w:rPr>
        <w:t>25,8</w:t>
      </w:r>
      <w:r w:rsidR="006E466F" w:rsidRPr="00056DFA">
        <w:rPr>
          <w:sz w:val="24"/>
          <w:szCs w:val="24"/>
        </w:rPr>
        <w:t xml:space="preserve"> млн.лв.</w:t>
      </w:r>
      <w:r w:rsidR="006E466F">
        <w:rPr>
          <w:sz w:val="24"/>
          <w:szCs w:val="24"/>
        </w:rPr>
        <w:t xml:space="preserve"> </w:t>
      </w:r>
    </w:p>
    <w:p w:rsidR="00940E69" w:rsidRPr="00056DFA" w:rsidRDefault="00940E69" w:rsidP="00940E69">
      <w:pPr>
        <w:spacing w:before="0" w:after="0"/>
        <w:jc w:val="both"/>
        <w:rPr>
          <w:sz w:val="24"/>
          <w:szCs w:val="24"/>
        </w:rPr>
      </w:pPr>
      <w:r w:rsidRPr="00056DFA">
        <w:rPr>
          <w:sz w:val="24"/>
          <w:szCs w:val="24"/>
        </w:rPr>
        <w:t xml:space="preserve">Един от основните приоритети по отношение на </w:t>
      </w:r>
      <w:proofErr w:type="spellStart"/>
      <w:r w:rsidRPr="00056DFA">
        <w:rPr>
          <w:sz w:val="24"/>
          <w:szCs w:val="24"/>
        </w:rPr>
        <w:t>пенитенциарната</w:t>
      </w:r>
      <w:proofErr w:type="spellEnd"/>
      <w:r w:rsidRPr="00056DFA">
        <w:rPr>
          <w:sz w:val="24"/>
          <w:szCs w:val="24"/>
        </w:rPr>
        <w:t xml:space="preserve"> система е свързан с подобряването на жилищно-битовите условия в затворите и следствените арести. През 2017 г. за капиталови разходи са утвърдени 5,1 млн. лв. От тях 3,7 млн. лв. са разходвани за осъществяването на основни ремонти, реконструкция и модернизиране на местата за лишаване от свобода и в местата за задържане, с оглед подобряване условията на бит и живот на осъдените и задържаните лица /затворите в Стара Загора, Пазарджик, Белене, Варна, Бобов дол и др./. Към 31.12.2017 г. по проект NFM-2013-BG15-1 „Подобряване на стандартите в затворите и арестите чрез ремонтиране на инфраструктурата, за да се осигури зачитане на човешките права“ съгласно договор за предоставяне на безвъзмездна финансова помощ с № 93-00-46/20.02.2013г. по Норвежки финансов механизъм 2009-2014,  са разходвани средства в размер на 1,3 млн. лв. за СМР „Дебелт“ Затвор Бургас -1,3 млн. лв.</w:t>
      </w:r>
      <w:r w:rsidR="006E466F">
        <w:rPr>
          <w:sz w:val="24"/>
          <w:szCs w:val="24"/>
        </w:rPr>
        <w:t xml:space="preserve"> и др.</w:t>
      </w:r>
    </w:p>
    <w:p w:rsidR="00940E69" w:rsidRPr="00056DFA" w:rsidRDefault="00940E69" w:rsidP="00940E69">
      <w:pPr>
        <w:spacing w:before="0" w:after="0"/>
        <w:jc w:val="both"/>
        <w:rPr>
          <w:sz w:val="24"/>
          <w:szCs w:val="24"/>
        </w:rPr>
      </w:pPr>
      <w:r w:rsidRPr="00056DFA">
        <w:rPr>
          <w:sz w:val="24"/>
          <w:szCs w:val="24"/>
        </w:rPr>
        <w:t xml:space="preserve">За повишаване на сигурността на затворите и следствените арести се полагат усилия за нормалното функциониране на системите за </w:t>
      </w:r>
      <w:proofErr w:type="spellStart"/>
      <w:r w:rsidRPr="00056DFA">
        <w:rPr>
          <w:sz w:val="24"/>
          <w:szCs w:val="24"/>
        </w:rPr>
        <w:t>видеонаблюдение</w:t>
      </w:r>
      <w:proofErr w:type="spellEnd"/>
      <w:r w:rsidRPr="00056DFA">
        <w:rPr>
          <w:sz w:val="24"/>
          <w:szCs w:val="24"/>
        </w:rPr>
        <w:t xml:space="preserve"> и контрол в местата за лишаване от свобода, чрез които се предотвратяват и разкриват опитите за внасяне на неразрешени вещи.   </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Чрез регламентирането и въвеждането на системата за електронно наблюдение, като способ за контрол върху поведението на някои категории лица, ще се разшири и оптимизира прилагането на </w:t>
      </w:r>
      <w:proofErr w:type="spellStart"/>
      <w:r w:rsidRPr="00056DFA">
        <w:rPr>
          <w:sz w:val="24"/>
          <w:szCs w:val="24"/>
        </w:rPr>
        <w:t>пробационните</w:t>
      </w:r>
      <w:proofErr w:type="spellEnd"/>
      <w:r w:rsidRPr="00056DFA">
        <w:rPr>
          <w:sz w:val="24"/>
          <w:szCs w:val="24"/>
        </w:rPr>
        <w:t xml:space="preserve"> мерки в съответствие с европейските стандарти за внедряването на електронния мониторинг в рамките на Норвежкия финансов инструмент. За постигане на оперативната цел е стартирана процедура с  решение Л-2849/16.06.2017 г. за откриване на процедура /ЗОП/. Предметът на обществената поръчка включва доставка, инсталиране, тестване и внедряване на система за електронно наблюдение с включени параметри за изграждане на цялостна </w:t>
      </w:r>
      <w:r w:rsidRPr="00056DFA">
        <w:rPr>
          <w:sz w:val="24"/>
          <w:szCs w:val="24"/>
        </w:rPr>
        <w:lastRenderedPageBreak/>
        <w:t>платформа, включваща хардуер и софтуер, поддържащо обучение за инсталиране и диагностика, консумативи, гаранционна поддръжка и обучение на персонала на ГДИН.</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През отчетния период се отчита намаление на броят на осъдените на </w:t>
      </w:r>
      <w:proofErr w:type="spellStart"/>
      <w:r w:rsidRPr="00056DFA">
        <w:rPr>
          <w:sz w:val="24"/>
          <w:szCs w:val="24"/>
        </w:rPr>
        <w:t>пробация</w:t>
      </w:r>
      <w:proofErr w:type="spellEnd"/>
      <w:r w:rsidRPr="00056DFA">
        <w:rPr>
          <w:sz w:val="24"/>
          <w:szCs w:val="24"/>
        </w:rPr>
        <w:t xml:space="preserve">, като при това са се увеличили осъдените с краткосрочни присъди на лишаване от свобода. </w:t>
      </w:r>
    </w:p>
    <w:p w:rsidR="00940E69" w:rsidRPr="00056DFA" w:rsidRDefault="00940E69" w:rsidP="00940E69">
      <w:pPr>
        <w:tabs>
          <w:tab w:val="left" w:pos="709"/>
          <w:tab w:val="left" w:pos="1276"/>
        </w:tabs>
        <w:spacing w:before="0" w:after="0"/>
        <w:jc w:val="both"/>
        <w:rPr>
          <w:sz w:val="24"/>
          <w:szCs w:val="24"/>
        </w:rPr>
      </w:pPr>
      <w:r w:rsidRPr="00056DFA">
        <w:rPr>
          <w:sz w:val="24"/>
          <w:szCs w:val="24"/>
        </w:rPr>
        <w:t>За броят на лишените от свобода през отчетния период се отчита намаление в сравнение с този от предходната година.</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През 2017 г. в местата за лишаване от свобода постъпват все повече лица с много ниска професионална квалификация, а голяма част от тях изобщо нямат такава. Акцент в социално-възпитателната работа с учениците продължава да е мотивацията на лицата за включване в образователния процес, както и за повишаване </w:t>
      </w:r>
      <w:proofErr w:type="spellStart"/>
      <w:r w:rsidRPr="00056DFA">
        <w:rPr>
          <w:sz w:val="24"/>
          <w:szCs w:val="24"/>
        </w:rPr>
        <w:t>посещаемостта</w:t>
      </w:r>
      <w:proofErr w:type="spellEnd"/>
      <w:r w:rsidRPr="00056DFA">
        <w:rPr>
          <w:sz w:val="24"/>
          <w:szCs w:val="24"/>
        </w:rPr>
        <w:t xml:space="preserve"> на учебните часове, за намаляване на безпричинните отсъствия, за създаване на кръжочни модули с професионална ориентация и за организация на самоподготовката. Мотивирането на учениците за включването им в организираните извънкласни форми на работа също е от съществено значение. С помощта на учителите се подготвят викторини, рецитали, беседи и празнични програми, които лишените от свобода-ученици представят пред останалите. Към училищата са създадени драматични състави, музикални формации, певчески групи и много други.</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Училищната мрежа в местата за лишаване от свобода за учебната 2015/2016 г. се състои от дванадесет училища. През учебната 2016/2017 г. за ученици в местата за лишаване от свобода са записани 1431 осъдени лица и задържани под стража. Организирани са тържества по случай приключването на учебната година, като учебната 2016/2017 учебна година са завършили 935 лица. Чрез обучението се постига не само повишаването на знанията и уменията на лишените от свобода в определена област, но стимулира тяхното законосъобразно поведение по време на наказанието и </w:t>
      </w:r>
      <w:proofErr w:type="spellStart"/>
      <w:r w:rsidRPr="00056DFA">
        <w:rPr>
          <w:sz w:val="24"/>
          <w:szCs w:val="24"/>
        </w:rPr>
        <w:t>конкурентността</w:t>
      </w:r>
      <w:proofErr w:type="spellEnd"/>
      <w:r w:rsidRPr="00056DFA">
        <w:rPr>
          <w:sz w:val="24"/>
          <w:szCs w:val="24"/>
        </w:rPr>
        <w:t xml:space="preserve"> им в условията на свободния пазар. Специалностите по които се обучават лишените от свобода в училищата към затворите са: стругарство, основни и довършителни работи в строителството, сухо строителство, производство на мебели, вътрешни </w:t>
      </w:r>
      <w:proofErr w:type="spellStart"/>
      <w:r w:rsidRPr="00056DFA">
        <w:rPr>
          <w:sz w:val="24"/>
          <w:szCs w:val="24"/>
        </w:rPr>
        <w:t>ВиК</w:t>
      </w:r>
      <w:proofErr w:type="spellEnd"/>
      <w:r w:rsidRPr="00056DFA">
        <w:rPr>
          <w:sz w:val="24"/>
          <w:szCs w:val="24"/>
        </w:rPr>
        <w:t xml:space="preserve"> мрежи, шлосерство, шивач, оператор в производството на облекло.</w:t>
      </w:r>
    </w:p>
    <w:p w:rsidR="006E466F" w:rsidRDefault="006E466F" w:rsidP="006E466F">
      <w:pPr>
        <w:spacing w:before="0" w:after="0"/>
        <w:jc w:val="both"/>
        <w:rPr>
          <w:sz w:val="24"/>
          <w:szCs w:val="24"/>
        </w:rPr>
      </w:pPr>
      <w:r>
        <w:rPr>
          <w:sz w:val="24"/>
          <w:szCs w:val="24"/>
        </w:rPr>
        <w:t xml:space="preserve">По </w:t>
      </w:r>
      <w:r w:rsidRPr="00056DFA">
        <w:rPr>
          <w:sz w:val="24"/>
          <w:szCs w:val="24"/>
        </w:rPr>
        <w:t>Програма „Затвори - изолация на правонарушители"</w:t>
      </w:r>
      <w:r>
        <w:rPr>
          <w:sz w:val="24"/>
          <w:szCs w:val="24"/>
        </w:rPr>
        <w:t xml:space="preserve"> </w:t>
      </w:r>
      <w:r w:rsidRPr="00056DFA">
        <w:rPr>
          <w:sz w:val="24"/>
          <w:szCs w:val="24"/>
        </w:rPr>
        <w:t xml:space="preserve">са отчетени разходи в размер на </w:t>
      </w:r>
      <w:r>
        <w:rPr>
          <w:sz w:val="24"/>
          <w:szCs w:val="24"/>
        </w:rPr>
        <w:t>104,4</w:t>
      </w:r>
      <w:r w:rsidRPr="00056DFA">
        <w:rPr>
          <w:sz w:val="24"/>
          <w:szCs w:val="24"/>
        </w:rPr>
        <w:t xml:space="preserve"> млн.лв., от които </w:t>
      </w:r>
      <w:r>
        <w:rPr>
          <w:sz w:val="24"/>
          <w:szCs w:val="24"/>
        </w:rPr>
        <w:t xml:space="preserve">67,2 </w:t>
      </w:r>
      <w:r w:rsidRPr="00056DFA">
        <w:rPr>
          <w:sz w:val="24"/>
          <w:szCs w:val="24"/>
        </w:rPr>
        <w:t xml:space="preserve">млн.лв. са разходи за персонал, </w:t>
      </w:r>
      <w:r>
        <w:rPr>
          <w:sz w:val="24"/>
          <w:szCs w:val="24"/>
        </w:rPr>
        <w:t>32,3</w:t>
      </w:r>
      <w:r w:rsidRPr="00056DFA">
        <w:rPr>
          <w:sz w:val="24"/>
          <w:szCs w:val="24"/>
        </w:rPr>
        <w:t xml:space="preserve"> млн.лв. за издръжка и </w:t>
      </w:r>
      <w:r>
        <w:rPr>
          <w:sz w:val="24"/>
          <w:szCs w:val="24"/>
        </w:rPr>
        <w:t>4,9</w:t>
      </w:r>
      <w:r w:rsidRPr="00056DFA">
        <w:rPr>
          <w:sz w:val="24"/>
          <w:szCs w:val="24"/>
        </w:rPr>
        <w:t xml:space="preserve"> млн.лв. за капиталови разходи. Отчетените администрирани разходи по п</w:t>
      </w:r>
      <w:r>
        <w:rPr>
          <w:sz w:val="24"/>
          <w:szCs w:val="24"/>
        </w:rPr>
        <w:t>рограмата</w:t>
      </w:r>
      <w:r w:rsidRPr="00056DFA">
        <w:rPr>
          <w:sz w:val="24"/>
          <w:szCs w:val="24"/>
        </w:rPr>
        <w:t xml:space="preserve"> са в размер на </w:t>
      </w:r>
      <w:r>
        <w:rPr>
          <w:sz w:val="24"/>
          <w:szCs w:val="24"/>
        </w:rPr>
        <w:t>25,1</w:t>
      </w:r>
      <w:r w:rsidRPr="00056DFA">
        <w:rPr>
          <w:sz w:val="24"/>
          <w:szCs w:val="24"/>
        </w:rPr>
        <w:t xml:space="preserve"> млн.лв.</w:t>
      </w:r>
      <w:r>
        <w:rPr>
          <w:sz w:val="24"/>
          <w:szCs w:val="24"/>
        </w:rPr>
        <w:t xml:space="preserve"> </w:t>
      </w:r>
    </w:p>
    <w:p w:rsidR="006E466F" w:rsidRPr="005445C5" w:rsidRDefault="006E466F" w:rsidP="006E466F">
      <w:pPr>
        <w:numPr>
          <w:ilvl w:val="0"/>
          <w:numId w:val="29"/>
        </w:numPr>
        <w:tabs>
          <w:tab w:val="left" w:pos="720"/>
          <w:tab w:val="left" w:pos="993"/>
          <w:tab w:val="left" w:pos="1276"/>
        </w:tabs>
        <w:spacing w:before="0" w:after="0"/>
        <w:ind w:left="0" w:firstLine="567"/>
        <w:contextualSpacing/>
        <w:jc w:val="both"/>
        <w:rPr>
          <w:sz w:val="24"/>
          <w:szCs w:val="24"/>
        </w:rPr>
      </w:pPr>
      <w:r>
        <w:rPr>
          <w:sz w:val="24"/>
          <w:szCs w:val="24"/>
        </w:rPr>
        <w:t xml:space="preserve">По </w:t>
      </w:r>
      <w:r w:rsidRPr="00056DFA">
        <w:rPr>
          <w:sz w:val="24"/>
          <w:szCs w:val="24"/>
        </w:rPr>
        <w:t xml:space="preserve">Програма „Следствени арести и </w:t>
      </w:r>
      <w:proofErr w:type="spellStart"/>
      <w:r w:rsidRPr="00056DFA">
        <w:rPr>
          <w:sz w:val="24"/>
          <w:szCs w:val="24"/>
        </w:rPr>
        <w:t>пробация</w:t>
      </w:r>
      <w:proofErr w:type="spellEnd"/>
      <w:r w:rsidRPr="00056DFA">
        <w:rPr>
          <w:sz w:val="24"/>
          <w:szCs w:val="24"/>
        </w:rPr>
        <w:t>"</w:t>
      </w:r>
      <w:r w:rsidRPr="005445C5">
        <w:rPr>
          <w:sz w:val="24"/>
          <w:szCs w:val="24"/>
        </w:rPr>
        <w:t xml:space="preserve"> са отчетени разходи в размер на </w:t>
      </w:r>
      <w:r>
        <w:rPr>
          <w:sz w:val="24"/>
          <w:szCs w:val="24"/>
        </w:rPr>
        <w:t>38,1</w:t>
      </w:r>
      <w:r w:rsidRPr="005445C5">
        <w:rPr>
          <w:sz w:val="24"/>
          <w:szCs w:val="24"/>
        </w:rPr>
        <w:t xml:space="preserve"> млн.лв., от които </w:t>
      </w:r>
      <w:r>
        <w:rPr>
          <w:sz w:val="24"/>
          <w:szCs w:val="24"/>
        </w:rPr>
        <w:t>34,3</w:t>
      </w:r>
      <w:r w:rsidRPr="005445C5">
        <w:rPr>
          <w:sz w:val="24"/>
          <w:szCs w:val="24"/>
        </w:rPr>
        <w:t xml:space="preserve"> млн.лв. са разходи за персонал, </w:t>
      </w:r>
      <w:r>
        <w:rPr>
          <w:sz w:val="24"/>
          <w:szCs w:val="24"/>
        </w:rPr>
        <w:t>3,5</w:t>
      </w:r>
      <w:r w:rsidRPr="005445C5">
        <w:rPr>
          <w:sz w:val="24"/>
          <w:szCs w:val="24"/>
        </w:rPr>
        <w:t xml:space="preserve"> млн.лв. за издръжка и </w:t>
      </w:r>
      <w:r>
        <w:rPr>
          <w:sz w:val="24"/>
          <w:szCs w:val="24"/>
        </w:rPr>
        <w:t>0,3</w:t>
      </w:r>
      <w:r w:rsidRPr="005445C5">
        <w:rPr>
          <w:sz w:val="24"/>
          <w:szCs w:val="24"/>
        </w:rPr>
        <w:t xml:space="preserve"> млн.лв. за капиталови разходи. Отчетените администрирани разходи по програмата с</w:t>
      </w:r>
      <w:r w:rsidRPr="001B19DD">
        <w:rPr>
          <w:sz w:val="24"/>
          <w:szCs w:val="24"/>
        </w:rPr>
        <w:t xml:space="preserve">а в размер на </w:t>
      </w:r>
      <w:r>
        <w:rPr>
          <w:sz w:val="24"/>
          <w:szCs w:val="24"/>
        </w:rPr>
        <w:t>2,1</w:t>
      </w:r>
      <w:r w:rsidRPr="005445C5">
        <w:rPr>
          <w:sz w:val="24"/>
          <w:szCs w:val="24"/>
        </w:rPr>
        <w:t xml:space="preserve"> млн.лв. </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Общият брой през 2017 г. на постъпилите присъди за изпълнение на </w:t>
      </w:r>
      <w:proofErr w:type="spellStart"/>
      <w:r w:rsidRPr="00056DFA">
        <w:rPr>
          <w:sz w:val="24"/>
          <w:szCs w:val="24"/>
        </w:rPr>
        <w:t>пробация</w:t>
      </w:r>
      <w:proofErr w:type="spellEnd"/>
      <w:r w:rsidRPr="00056DFA">
        <w:rPr>
          <w:sz w:val="24"/>
          <w:szCs w:val="24"/>
        </w:rPr>
        <w:t xml:space="preserve"> е 5 774 спрямо 5 485 за 2016 година. Броят на постъпилите, но неприведени присъди е 1255, като по-голямата част от тях са поредни съдебни актове за лица, които вече изтърпяват </w:t>
      </w:r>
      <w:proofErr w:type="spellStart"/>
      <w:r w:rsidRPr="00056DFA">
        <w:rPr>
          <w:sz w:val="24"/>
          <w:szCs w:val="24"/>
        </w:rPr>
        <w:t>пробация</w:t>
      </w:r>
      <w:proofErr w:type="spellEnd"/>
      <w:r w:rsidRPr="00056DFA">
        <w:rPr>
          <w:sz w:val="24"/>
          <w:szCs w:val="24"/>
        </w:rPr>
        <w:t xml:space="preserve">. Тази тенденция се запазва вече пета година и по същия начин изглежда и съотношението на изпълнените присъди по служби, за изминалата година общият им брой е 5 774 спрямо 7 732 за 2016 година. Броят на присъдите в сравнение с предходните три години е намалял с около 2000. Причината за намаляване на броя на присъдите е в промяната на текстове на Наказателния кодекс – чл. 343б и чл. 343в, но от друга страна се е увеличил  броя на условно осъдените на основание чл. 67, ал. 3 от НК, на които се налага </w:t>
      </w:r>
      <w:proofErr w:type="spellStart"/>
      <w:r w:rsidRPr="00056DFA">
        <w:rPr>
          <w:sz w:val="24"/>
          <w:szCs w:val="24"/>
        </w:rPr>
        <w:t>пробационна</w:t>
      </w:r>
      <w:proofErr w:type="spellEnd"/>
      <w:r w:rsidRPr="00056DFA">
        <w:rPr>
          <w:sz w:val="24"/>
          <w:szCs w:val="24"/>
        </w:rPr>
        <w:t xml:space="preserve"> мярка. Прави впечатление, че постъпващите присъди са вече с по-дълги срокове на </w:t>
      </w:r>
      <w:proofErr w:type="spellStart"/>
      <w:r w:rsidRPr="00056DFA">
        <w:rPr>
          <w:sz w:val="24"/>
          <w:szCs w:val="24"/>
        </w:rPr>
        <w:t>пробационните</w:t>
      </w:r>
      <w:proofErr w:type="spellEnd"/>
      <w:r w:rsidRPr="00056DFA">
        <w:rPr>
          <w:sz w:val="24"/>
          <w:szCs w:val="24"/>
        </w:rPr>
        <w:t xml:space="preserve"> мерки, което ги прави по трудни за изпълнение от страна на инспекторите </w:t>
      </w:r>
      <w:proofErr w:type="spellStart"/>
      <w:r w:rsidRPr="00056DFA">
        <w:rPr>
          <w:sz w:val="24"/>
          <w:szCs w:val="24"/>
        </w:rPr>
        <w:t>пробация</w:t>
      </w:r>
      <w:proofErr w:type="spellEnd"/>
      <w:r w:rsidRPr="00056DFA">
        <w:rPr>
          <w:sz w:val="24"/>
          <w:szCs w:val="24"/>
        </w:rPr>
        <w:t>.</w:t>
      </w:r>
    </w:p>
    <w:p w:rsidR="00940E69" w:rsidRPr="00056DFA" w:rsidRDefault="00940E69" w:rsidP="00940E69">
      <w:pPr>
        <w:tabs>
          <w:tab w:val="left" w:pos="709"/>
          <w:tab w:val="left" w:pos="1276"/>
        </w:tabs>
        <w:spacing w:before="0" w:after="0"/>
        <w:jc w:val="both"/>
        <w:rPr>
          <w:sz w:val="24"/>
          <w:szCs w:val="24"/>
        </w:rPr>
      </w:pPr>
      <w:r w:rsidRPr="00056DFA">
        <w:rPr>
          <w:sz w:val="24"/>
          <w:szCs w:val="24"/>
        </w:rPr>
        <w:lastRenderedPageBreak/>
        <w:t xml:space="preserve">Наблюдава се значително увеличаване на рецидива сред </w:t>
      </w:r>
      <w:proofErr w:type="spellStart"/>
      <w:r w:rsidRPr="00056DFA">
        <w:rPr>
          <w:sz w:val="24"/>
          <w:szCs w:val="24"/>
        </w:rPr>
        <w:t>пробационните</w:t>
      </w:r>
      <w:proofErr w:type="spellEnd"/>
      <w:r w:rsidRPr="00056DFA">
        <w:rPr>
          <w:sz w:val="24"/>
          <w:szCs w:val="24"/>
        </w:rPr>
        <w:t xml:space="preserve"> клиенти извършили престъпления по чл. 197 и чл. 198 от НК, което налага извода за акцент на работата на служителите с този тип правонарушители.</w:t>
      </w:r>
    </w:p>
    <w:p w:rsidR="00940E69" w:rsidRPr="00056DFA" w:rsidRDefault="00940E69" w:rsidP="00940E69">
      <w:pPr>
        <w:tabs>
          <w:tab w:val="left" w:pos="709"/>
          <w:tab w:val="left" w:pos="1276"/>
        </w:tabs>
        <w:spacing w:before="0" w:after="0"/>
        <w:jc w:val="both"/>
        <w:rPr>
          <w:sz w:val="24"/>
          <w:szCs w:val="24"/>
        </w:rPr>
      </w:pPr>
      <w:r w:rsidRPr="00056DFA">
        <w:rPr>
          <w:sz w:val="24"/>
          <w:szCs w:val="24"/>
        </w:rPr>
        <w:t xml:space="preserve">Чрез регламентирането и въвеждането на системата за електронно наблюдение, като способ за контрол върху поведението на някои категории лица, ще се разшири и оптимизира прилагането на </w:t>
      </w:r>
      <w:proofErr w:type="spellStart"/>
      <w:r w:rsidRPr="00056DFA">
        <w:rPr>
          <w:sz w:val="24"/>
          <w:szCs w:val="24"/>
        </w:rPr>
        <w:t>пробационните</w:t>
      </w:r>
      <w:proofErr w:type="spellEnd"/>
      <w:r w:rsidRPr="00056DFA">
        <w:rPr>
          <w:sz w:val="24"/>
          <w:szCs w:val="24"/>
        </w:rPr>
        <w:t xml:space="preserve"> мерки в съответствие с европейските стандарти за внедряването на електронния мониторинг. Проведено е обучение в използването на технологията за електронно наблюдение на служители на ГДИН от </w:t>
      </w:r>
      <w:proofErr w:type="spellStart"/>
      <w:r w:rsidRPr="00056DFA">
        <w:rPr>
          <w:sz w:val="24"/>
          <w:szCs w:val="24"/>
        </w:rPr>
        <w:t>пробационните</w:t>
      </w:r>
      <w:proofErr w:type="spellEnd"/>
      <w:r w:rsidRPr="00056DFA">
        <w:rPr>
          <w:sz w:val="24"/>
          <w:szCs w:val="24"/>
        </w:rPr>
        <w:t xml:space="preserve"> служби, които ще отговарят по места за лицата поставени под електронно наблюдение и  представители на заинтересованите страни.</w:t>
      </w:r>
    </w:p>
    <w:p w:rsidR="00940E69" w:rsidRPr="00056DFA" w:rsidRDefault="00940E69" w:rsidP="00940E69">
      <w:pPr>
        <w:spacing w:before="0" w:after="0"/>
        <w:jc w:val="both"/>
        <w:rPr>
          <w:b/>
          <w:i/>
          <w:sz w:val="24"/>
          <w:szCs w:val="24"/>
        </w:rPr>
      </w:pPr>
      <w:r w:rsidRPr="00056DFA">
        <w:rPr>
          <w:b/>
          <w:i/>
          <w:sz w:val="24"/>
          <w:szCs w:val="24"/>
        </w:rPr>
        <w:t>Програма „Администрация”</w:t>
      </w:r>
    </w:p>
    <w:p w:rsidR="00940E69" w:rsidRPr="00056DFA" w:rsidRDefault="00940E69" w:rsidP="00940E69">
      <w:pPr>
        <w:spacing w:before="0" w:after="0"/>
        <w:jc w:val="both"/>
        <w:rPr>
          <w:sz w:val="24"/>
          <w:szCs w:val="24"/>
        </w:rPr>
      </w:pPr>
      <w:r w:rsidRPr="00056DFA">
        <w:rPr>
          <w:sz w:val="24"/>
          <w:szCs w:val="24"/>
        </w:rPr>
        <w:t>Програма „Администрация” осъществява дейности по управление на човешките ресурси, осигурява правното, финансовото, административното и материално - техническото обслужване на другите програми. Дейностите по програмата са насочени към създаване на условия за изпълнението на всички включени програми в структурата на програмния бюджет на Министерство на правосъдието. През 2017  г. са извършени  разходи в размер на 4,9 млн.лв., от които 0,2 млн..лв. – по Норвежкия финансов механизъм.</w:t>
      </w:r>
    </w:p>
    <w:p w:rsidR="00056DFA" w:rsidRPr="00056DFA" w:rsidRDefault="00056DFA" w:rsidP="00056DFA">
      <w:pPr>
        <w:rPr>
          <w:b/>
          <w:sz w:val="24"/>
          <w:szCs w:val="24"/>
        </w:rPr>
      </w:pPr>
    </w:p>
    <w:p w:rsidR="00056DFA" w:rsidRPr="00056DFA" w:rsidRDefault="00056DFA" w:rsidP="00056DFA">
      <w:pPr>
        <w:rPr>
          <w:b/>
          <w:sz w:val="24"/>
          <w:szCs w:val="24"/>
        </w:rPr>
      </w:pPr>
    </w:p>
    <w:p w:rsidR="00940E69" w:rsidRPr="00BE00BA" w:rsidRDefault="00940E69" w:rsidP="00940E69">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7" w:name="_Toc523492629"/>
      <w:r w:rsidRPr="00BE00BA">
        <w:rPr>
          <w:rFonts w:ascii="Times New Roman" w:eastAsia="Batang" w:hAnsi="Times New Roman" w:cs="Times New Roman"/>
          <w:b/>
          <w:bCs/>
          <w:caps/>
          <w:lang w:val="bg-BG" w:eastAsia="ko-KR"/>
        </w:rPr>
        <w:t>Министерство на труда и социалната политика</w:t>
      </w:r>
      <w:bookmarkEnd w:id="7"/>
    </w:p>
    <w:p w:rsidR="00940E69" w:rsidRPr="00056DFA" w:rsidRDefault="00940E69" w:rsidP="00940E69">
      <w:pPr>
        <w:spacing w:before="0" w:after="0"/>
        <w:jc w:val="both"/>
        <w:rPr>
          <w:rFonts w:eastAsia="Batang"/>
          <w:b/>
          <w:bCs/>
          <w:color w:val="000000"/>
          <w:sz w:val="24"/>
          <w:szCs w:val="24"/>
          <w:lang w:eastAsia="ko-KR"/>
        </w:rPr>
      </w:pPr>
      <w:r w:rsidRPr="00056DFA">
        <w:rPr>
          <w:rFonts w:eastAsia="Batang"/>
          <w:b/>
          <w:bCs/>
          <w:color w:val="000000"/>
          <w:sz w:val="24"/>
          <w:szCs w:val="24"/>
          <w:lang w:eastAsia="ko-KR"/>
        </w:rPr>
        <w:t>Политика в областта на заетостта</w:t>
      </w:r>
    </w:p>
    <w:p w:rsidR="00940E69" w:rsidRPr="00056DFA" w:rsidRDefault="00940E69" w:rsidP="00940E69">
      <w:pPr>
        <w:shd w:val="clear" w:color="auto" w:fill="FFFFFF"/>
        <w:tabs>
          <w:tab w:val="left" w:pos="0"/>
          <w:tab w:val="left" w:pos="567"/>
        </w:tabs>
        <w:spacing w:before="0" w:after="0"/>
        <w:jc w:val="both"/>
        <w:rPr>
          <w:sz w:val="24"/>
          <w:szCs w:val="24"/>
          <w:lang w:eastAsia="en-US"/>
        </w:rPr>
      </w:pPr>
      <w:r w:rsidRPr="00056DFA">
        <w:rPr>
          <w:sz w:val="24"/>
          <w:szCs w:val="24"/>
          <w:lang w:eastAsia="en-US"/>
        </w:rPr>
        <w:t xml:space="preserve">Политиката по заетостта през отчетния период е насочена към осигуряване на заетост на безработни лица от </w:t>
      </w:r>
      <w:proofErr w:type="spellStart"/>
      <w:r w:rsidRPr="00056DFA">
        <w:rPr>
          <w:sz w:val="24"/>
          <w:szCs w:val="24"/>
          <w:lang w:eastAsia="en-US"/>
        </w:rPr>
        <w:t>неравнопоставените</w:t>
      </w:r>
      <w:proofErr w:type="spellEnd"/>
      <w:r w:rsidRPr="00056DFA">
        <w:rPr>
          <w:sz w:val="24"/>
          <w:szCs w:val="24"/>
          <w:lang w:eastAsia="en-US"/>
        </w:rPr>
        <w:t xml:space="preserve"> групи на пазара на труда чрез предоставяне на услуги за активиране, информиране, мотивиране за активно поведение, обучения за повишаване на тяхната конкурентоспособност на пазара на труда; интегриране на  продължително безработните лица на пазара на труда, включително превенция на продължителната безработица, чрез услуги за активиране, заетост и обучения; осигуряване на всички младежи до 25-годишна възраст, с престой до 4 месеца без работа и неучастващи в образование или обучение, на качествено предложение за работа, продължаване на образованието, чиракуване или стаж; намаляване на несъответствията между търсене и предлагане на работна сила въз основа на прогнози за предлагането и търсенето на работна сила; по-добро обхващане на целевите групи и повишаване на ефекта от програмите, проектите и мерките на активната политика на пазара на труда на база резултатите от проведени оценки.</w:t>
      </w:r>
    </w:p>
    <w:p w:rsidR="00940E69" w:rsidRPr="00056DFA" w:rsidRDefault="00940E69" w:rsidP="00940E69">
      <w:pPr>
        <w:shd w:val="clear" w:color="auto" w:fill="FFFFFF"/>
        <w:tabs>
          <w:tab w:val="left" w:pos="0"/>
          <w:tab w:val="left" w:pos="567"/>
        </w:tabs>
        <w:suppressAutoHyphens/>
        <w:autoSpaceDN w:val="0"/>
        <w:spacing w:before="0" w:after="0"/>
        <w:jc w:val="both"/>
        <w:textAlignment w:val="baseline"/>
        <w:rPr>
          <w:rFonts w:eastAsia="Batang"/>
          <w:bCs/>
          <w:color w:val="000000"/>
          <w:sz w:val="24"/>
          <w:szCs w:val="24"/>
          <w:lang w:eastAsia="ko-KR"/>
        </w:rPr>
      </w:pPr>
      <w:r w:rsidRPr="00056DFA">
        <w:rPr>
          <w:rFonts w:eastAsia="Batang"/>
          <w:b/>
          <w:bCs/>
          <w:i/>
          <w:color w:val="000000"/>
          <w:sz w:val="24"/>
          <w:szCs w:val="24"/>
          <w:lang w:eastAsia="ko-KR"/>
        </w:rPr>
        <w:tab/>
      </w:r>
      <w:r w:rsidRPr="00056DFA">
        <w:rPr>
          <w:rFonts w:eastAsia="Batang"/>
          <w:bCs/>
          <w:color w:val="000000"/>
          <w:sz w:val="24"/>
          <w:szCs w:val="24"/>
          <w:lang w:eastAsia="ko-KR"/>
        </w:rPr>
        <w:t xml:space="preserve">Политиката по заетостта се реализира чрез изпълнението на програма „Осигуряване на заетост и повишаване на качеството на работната сила на безработните и заети лица”, като по нея са отчетени общо 209,7 млн.лв. </w:t>
      </w:r>
    </w:p>
    <w:p w:rsidR="00940E69" w:rsidRDefault="00940E69" w:rsidP="00940E69">
      <w:pPr>
        <w:shd w:val="clear" w:color="auto" w:fill="FFFFFF"/>
        <w:tabs>
          <w:tab w:val="left" w:pos="0"/>
          <w:tab w:val="left" w:pos="567"/>
        </w:tabs>
        <w:suppressAutoHyphens/>
        <w:autoSpaceDN w:val="0"/>
        <w:spacing w:before="0" w:after="0"/>
        <w:jc w:val="both"/>
        <w:textAlignment w:val="baseline"/>
        <w:rPr>
          <w:bCs/>
          <w:sz w:val="24"/>
          <w:szCs w:val="24"/>
          <w:lang w:eastAsia="en-US"/>
        </w:rPr>
      </w:pPr>
      <w:r w:rsidRPr="00056DFA">
        <w:rPr>
          <w:sz w:val="24"/>
          <w:szCs w:val="24"/>
          <w:lang w:eastAsia="en-US"/>
        </w:rPr>
        <w:tab/>
      </w:r>
      <w:r w:rsidR="00B14362" w:rsidRPr="00056DFA">
        <w:rPr>
          <w:sz w:val="24"/>
          <w:szCs w:val="24"/>
          <w:lang w:eastAsia="en-US"/>
        </w:rPr>
        <w:t>Чрез активната политика се балансират процесите на търсене и предлагане на пазара на труда, насърчава</w:t>
      </w:r>
      <w:r w:rsidR="00B14362">
        <w:rPr>
          <w:sz w:val="24"/>
          <w:szCs w:val="24"/>
          <w:lang w:eastAsia="en-US"/>
        </w:rPr>
        <w:t>не на</w:t>
      </w:r>
      <w:r w:rsidR="00B14362" w:rsidRPr="00056DFA">
        <w:rPr>
          <w:sz w:val="24"/>
          <w:szCs w:val="24"/>
          <w:lang w:eastAsia="en-US"/>
        </w:rPr>
        <w:t xml:space="preserve"> заетостта и ограничава</w:t>
      </w:r>
      <w:r w:rsidR="00B14362">
        <w:rPr>
          <w:sz w:val="24"/>
          <w:szCs w:val="24"/>
          <w:lang w:eastAsia="en-US"/>
        </w:rPr>
        <w:t>не на</w:t>
      </w:r>
      <w:r w:rsidR="00B14362" w:rsidRPr="00056DFA">
        <w:rPr>
          <w:sz w:val="24"/>
          <w:szCs w:val="24"/>
          <w:lang w:eastAsia="en-US"/>
        </w:rPr>
        <w:t xml:space="preserve"> безработицата. </w:t>
      </w:r>
      <w:r w:rsidR="00B14362" w:rsidRPr="00056DFA">
        <w:rPr>
          <w:bCs/>
          <w:sz w:val="24"/>
          <w:szCs w:val="24"/>
          <w:lang w:eastAsia="en-US"/>
        </w:rPr>
        <w:t xml:space="preserve">Активната политика изпълнява и много важна </w:t>
      </w:r>
      <w:proofErr w:type="spellStart"/>
      <w:r w:rsidR="00B14362" w:rsidRPr="00056DFA">
        <w:rPr>
          <w:bCs/>
          <w:sz w:val="24"/>
          <w:szCs w:val="24"/>
          <w:lang w:eastAsia="en-US"/>
        </w:rPr>
        <w:t>социално-преразпределителна</w:t>
      </w:r>
      <w:proofErr w:type="spellEnd"/>
      <w:r w:rsidR="00B14362" w:rsidRPr="00056DFA">
        <w:rPr>
          <w:bCs/>
          <w:sz w:val="24"/>
          <w:szCs w:val="24"/>
          <w:lang w:eastAsia="en-US"/>
        </w:rPr>
        <w:t xml:space="preserve"> функция, особено по отношение на групите в неравностойно положение на пазара на труда. За тези групи (продължително безработни, </w:t>
      </w:r>
      <w:proofErr w:type="spellStart"/>
      <w:r w:rsidR="00B14362" w:rsidRPr="00056DFA">
        <w:rPr>
          <w:bCs/>
          <w:sz w:val="24"/>
          <w:szCs w:val="24"/>
          <w:lang w:eastAsia="en-US"/>
        </w:rPr>
        <w:t>безработни</w:t>
      </w:r>
      <w:proofErr w:type="spellEnd"/>
      <w:r w:rsidR="00B14362" w:rsidRPr="00056DFA">
        <w:rPr>
          <w:bCs/>
          <w:sz w:val="24"/>
          <w:szCs w:val="24"/>
          <w:lang w:eastAsia="en-US"/>
        </w:rPr>
        <w:t xml:space="preserve"> младежи, лица над 50 год., хора с увреждания и др.) участието в активните програми и мерки е възможност за осигуряване на заетост и предотвратяване на изпадане в крайна бедност и социална изолация. Усилията за повишаване на ефективността и качеството на предоставяните услуги, както и на програмите и мерките оказват съществено влияние върху формирането на политиката по заетостта.</w:t>
      </w:r>
      <w:r w:rsidRPr="00056DFA">
        <w:rPr>
          <w:bCs/>
          <w:sz w:val="24"/>
          <w:szCs w:val="24"/>
          <w:lang w:eastAsia="en-US"/>
        </w:rPr>
        <w:t xml:space="preserve"> </w:t>
      </w:r>
    </w:p>
    <w:p w:rsidR="008747F0" w:rsidRPr="00056DFA" w:rsidRDefault="008747F0" w:rsidP="00940E69">
      <w:pPr>
        <w:shd w:val="clear" w:color="auto" w:fill="FFFFFF"/>
        <w:tabs>
          <w:tab w:val="left" w:pos="0"/>
          <w:tab w:val="left" w:pos="567"/>
        </w:tabs>
        <w:suppressAutoHyphens/>
        <w:autoSpaceDN w:val="0"/>
        <w:spacing w:before="0" w:after="0"/>
        <w:jc w:val="both"/>
        <w:textAlignment w:val="baseline"/>
        <w:rPr>
          <w:rFonts w:eastAsia="Batang"/>
          <w:b/>
          <w:bCs/>
          <w:i/>
          <w:color w:val="000000"/>
          <w:sz w:val="24"/>
          <w:szCs w:val="24"/>
          <w:lang w:eastAsia="ko-KR"/>
        </w:rPr>
      </w:pPr>
    </w:p>
    <w:p w:rsidR="00940E69" w:rsidRPr="00056DFA" w:rsidRDefault="00940E69" w:rsidP="00940E69">
      <w:pPr>
        <w:spacing w:before="0" w:after="0"/>
        <w:rPr>
          <w:rFonts w:eastAsia="Batang"/>
          <w:b/>
          <w:bCs/>
          <w:iCs/>
          <w:color w:val="000000"/>
          <w:sz w:val="24"/>
          <w:szCs w:val="24"/>
          <w:lang w:eastAsia="ko-KR"/>
        </w:rPr>
      </w:pPr>
      <w:r w:rsidRPr="00056DFA">
        <w:rPr>
          <w:rFonts w:eastAsia="Batang"/>
          <w:b/>
          <w:bCs/>
          <w:iCs/>
          <w:color w:val="000000"/>
          <w:sz w:val="24"/>
          <w:szCs w:val="24"/>
          <w:lang w:eastAsia="ko-KR"/>
        </w:rPr>
        <w:lastRenderedPageBreak/>
        <w:t>Политика в областта на трудовите отношения</w:t>
      </w:r>
    </w:p>
    <w:p w:rsidR="00940E69" w:rsidRPr="00056DFA" w:rsidRDefault="00940E69" w:rsidP="00940E69">
      <w:pPr>
        <w:autoSpaceDE w:val="0"/>
        <w:autoSpaceDN w:val="0"/>
        <w:adjustRightInd w:val="0"/>
        <w:spacing w:before="0" w:after="0"/>
        <w:jc w:val="both"/>
        <w:rPr>
          <w:bCs/>
          <w:sz w:val="24"/>
          <w:szCs w:val="24"/>
        </w:rPr>
      </w:pPr>
      <w:r w:rsidRPr="00056DFA">
        <w:rPr>
          <w:bCs/>
          <w:sz w:val="24"/>
          <w:szCs w:val="24"/>
        </w:rPr>
        <w:t>Стратегическа цел на политиката в областта на трудовите отношения на МТСП е повишаване на качеството и сигурността на труда и защита на правата на българите зад граница в областта на социалната сигурност.</w:t>
      </w:r>
    </w:p>
    <w:p w:rsidR="00940E69" w:rsidRPr="00056DFA" w:rsidRDefault="00940E69" w:rsidP="00940E69">
      <w:pPr>
        <w:autoSpaceDE w:val="0"/>
        <w:autoSpaceDN w:val="0"/>
        <w:adjustRightInd w:val="0"/>
        <w:spacing w:before="0" w:after="0"/>
        <w:jc w:val="both"/>
        <w:rPr>
          <w:bCs/>
          <w:sz w:val="24"/>
          <w:szCs w:val="24"/>
        </w:rPr>
      </w:pPr>
      <w:r w:rsidRPr="00056DFA">
        <w:rPr>
          <w:bCs/>
          <w:sz w:val="24"/>
          <w:szCs w:val="24"/>
        </w:rPr>
        <w:t xml:space="preserve">Политиката в областта на трудовите отношения се реализира, чрез програми “Осигуряване на подходящи условия на труд” по която са изразходвани 21,3 млн.лв. и </w:t>
      </w:r>
      <w:r w:rsidRPr="00056DFA">
        <w:rPr>
          <w:rFonts w:eastAsia="Batang"/>
          <w:bCs/>
          <w:color w:val="000000"/>
          <w:sz w:val="24"/>
          <w:szCs w:val="24"/>
          <w:lang w:eastAsia="ko-KR"/>
        </w:rPr>
        <w:t>програма “Предотвратяване и ограничаване на колективни трудови конфликти” – 0,6 млн.лв.</w:t>
      </w:r>
    </w:p>
    <w:p w:rsidR="00940E69" w:rsidRPr="00056DFA" w:rsidRDefault="00940E69" w:rsidP="00940E69">
      <w:pPr>
        <w:spacing w:before="0" w:after="0"/>
        <w:jc w:val="both"/>
        <w:rPr>
          <w:rFonts w:eastAsia="Batang"/>
          <w:b/>
          <w:bCs/>
          <w:iCs/>
          <w:sz w:val="24"/>
          <w:szCs w:val="24"/>
          <w:lang w:eastAsia="ko-KR"/>
        </w:rPr>
      </w:pPr>
      <w:r w:rsidRPr="00056DFA">
        <w:rPr>
          <w:rFonts w:eastAsia="Batang"/>
          <w:b/>
          <w:bCs/>
          <w:iCs/>
          <w:sz w:val="24"/>
          <w:szCs w:val="24"/>
          <w:lang w:eastAsia="ko-KR"/>
        </w:rPr>
        <w:t>Политика в областта на социалната закрила и равните възможности</w:t>
      </w:r>
    </w:p>
    <w:p w:rsidR="00940E69" w:rsidRPr="00056DFA" w:rsidRDefault="00940E69" w:rsidP="00940E69">
      <w:pPr>
        <w:widowControl w:val="0"/>
        <w:shd w:val="clear" w:color="auto" w:fill="FFFFFF"/>
        <w:autoSpaceDE w:val="0"/>
        <w:autoSpaceDN w:val="0"/>
        <w:adjustRightInd w:val="0"/>
        <w:spacing w:before="0" w:after="0"/>
        <w:jc w:val="both"/>
        <w:rPr>
          <w:sz w:val="24"/>
          <w:szCs w:val="24"/>
        </w:rPr>
      </w:pPr>
      <w:r w:rsidRPr="00056DFA">
        <w:rPr>
          <w:sz w:val="24"/>
          <w:szCs w:val="24"/>
        </w:rPr>
        <w:t>Стратегическа цел в областта на политиката по социална закрила и равни възможности е гарантиране на социалната защита на уязвимите групи от населението, солидарност и социална справедливост, създаване на условия за пълноценно социално включване, осигуряване на равен достъп до ресурсите на обществото и равноправно участие в създаването и потреблението им за всички групи в неравностойно положение, независимо от пол, възраст, увреждане, етническа принадлежност, вяра, сексуална ориентация и др.</w:t>
      </w:r>
    </w:p>
    <w:p w:rsidR="00940E69" w:rsidRPr="00056DFA" w:rsidRDefault="00940E69" w:rsidP="00940E69">
      <w:pPr>
        <w:spacing w:before="0" w:after="0"/>
        <w:jc w:val="both"/>
        <w:rPr>
          <w:rFonts w:eastAsia="Calibri"/>
          <w:bCs/>
          <w:iCs/>
          <w:sz w:val="24"/>
          <w:szCs w:val="24"/>
        </w:rPr>
      </w:pPr>
      <w:r w:rsidRPr="00056DFA">
        <w:rPr>
          <w:rFonts w:eastAsia="Calibri"/>
          <w:bCs/>
          <w:iCs/>
          <w:sz w:val="24"/>
          <w:szCs w:val="24"/>
        </w:rPr>
        <w:t>Политиката в областта на социалната закрила и равните възможности се реализира, чрез п</w:t>
      </w:r>
      <w:r w:rsidRPr="00056DFA">
        <w:rPr>
          <w:rFonts w:eastAsia="Calibri"/>
          <w:sz w:val="24"/>
          <w:szCs w:val="24"/>
        </w:rPr>
        <w:t>рограма “Предоставяне на социални помощи при прилагане на диференциран подход”, програма “Осигуряване на целева социална защита за отопление на населението с ниски доходи” и програма “Равни възможности”.</w:t>
      </w:r>
    </w:p>
    <w:p w:rsidR="00940E69" w:rsidRPr="00056DFA" w:rsidRDefault="00940E69" w:rsidP="00940E69">
      <w:pPr>
        <w:spacing w:before="0" w:after="0"/>
        <w:jc w:val="both"/>
        <w:rPr>
          <w:b/>
          <w:bCs/>
          <w:sz w:val="24"/>
          <w:szCs w:val="24"/>
        </w:rPr>
      </w:pPr>
    </w:p>
    <w:p w:rsidR="00940E69" w:rsidRPr="00056DFA" w:rsidRDefault="00940E69" w:rsidP="00940E69">
      <w:pPr>
        <w:spacing w:before="0" w:after="0"/>
        <w:jc w:val="both"/>
        <w:rPr>
          <w:bCs/>
          <w:sz w:val="24"/>
          <w:szCs w:val="24"/>
        </w:rPr>
      </w:pPr>
      <w:r w:rsidRPr="00056DFA">
        <w:rPr>
          <w:bCs/>
          <w:sz w:val="24"/>
          <w:szCs w:val="24"/>
        </w:rPr>
        <w:t>Основната цел на бюджетна програма „Предоставяне на социални помощи при прилагане на диференциран подход“ е</w:t>
      </w:r>
      <w:r w:rsidRPr="00056DFA">
        <w:rPr>
          <w:sz w:val="24"/>
          <w:szCs w:val="24"/>
        </w:rPr>
        <w:t xml:space="preserve"> подпомагане на хората с най-ниски доходи при прилагане на диференциран подход чрез подобряване на целенасочеността на мерките и оптимизиране на разходите. Тук са отчетени </w:t>
      </w:r>
      <w:proofErr w:type="spellStart"/>
      <w:r w:rsidRPr="00056DFA">
        <w:rPr>
          <w:sz w:val="24"/>
          <w:szCs w:val="24"/>
        </w:rPr>
        <w:t>предоствените</w:t>
      </w:r>
      <w:proofErr w:type="spellEnd"/>
      <w:r w:rsidRPr="00056DFA">
        <w:rPr>
          <w:sz w:val="24"/>
          <w:szCs w:val="24"/>
        </w:rPr>
        <w:t xml:space="preserve"> помощи по Закона за социално подпомагане и правилника за неговото прилагане, Закон за ветераните от войните и правилник за неговото прилагане, Закон за военноинвалидите и </w:t>
      </w:r>
      <w:proofErr w:type="spellStart"/>
      <w:r w:rsidRPr="00056DFA">
        <w:rPr>
          <w:sz w:val="24"/>
          <w:szCs w:val="24"/>
        </w:rPr>
        <w:t>военнопострадалите</w:t>
      </w:r>
      <w:proofErr w:type="spellEnd"/>
      <w:r w:rsidRPr="00056DFA">
        <w:rPr>
          <w:sz w:val="24"/>
          <w:szCs w:val="24"/>
        </w:rPr>
        <w:t xml:space="preserve"> и правилника за неговото прилагане: </w:t>
      </w:r>
    </w:p>
    <w:p w:rsidR="00940E69" w:rsidRPr="00056DFA" w:rsidRDefault="00940E69" w:rsidP="00940E69">
      <w:pPr>
        <w:numPr>
          <w:ilvl w:val="0"/>
          <w:numId w:val="68"/>
        </w:numPr>
        <w:tabs>
          <w:tab w:val="left" w:pos="-4962"/>
          <w:tab w:val="left" w:pos="-2694"/>
          <w:tab w:val="left" w:pos="1843"/>
        </w:tabs>
        <w:autoSpaceDE w:val="0"/>
        <w:autoSpaceDN w:val="0"/>
        <w:adjustRightInd w:val="0"/>
        <w:spacing w:before="0" w:after="0"/>
        <w:ind w:left="0" w:firstLine="567"/>
        <w:jc w:val="both"/>
        <w:rPr>
          <w:sz w:val="24"/>
          <w:szCs w:val="24"/>
        </w:rPr>
      </w:pPr>
      <w:r w:rsidRPr="00056DFA">
        <w:rPr>
          <w:b/>
          <w:sz w:val="24"/>
          <w:szCs w:val="24"/>
        </w:rPr>
        <w:t>Месечните социални помощи</w:t>
      </w:r>
      <w:r w:rsidRPr="00056DFA">
        <w:rPr>
          <w:sz w:val="24"/>
          <w:szCs w:val="24"/>
        </w:rPr>
        <w:t xml:space="preserve"> </w:t>
      </w:r>
      <w:r w:rsidR="008155A9" w:rsidRPr="00056DFA">
        <w:rPr>
          <w:sz w:val="24"/>
          <w:szCs w:val="24"/>
        </w:rPr>
        <w:t xml:space="preserve">допълват собствените доходи на лицата и семействата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Основа за определяне размера на месечните помощи е гарантираният минимален доход, който </w:t>
      </w:r>
      <w:r w:rsidR="008155A9">
        <w:rPr>
          <w:sz w:val="24"/>
          <w:szCs w:val="24"/>
        </w:rPr>
        <w:t>през 2017 г.</w:t>
      </w:r>
      <w:r w:rsidR="008155A9" w:rsidRPr="00056DFA">
        <w:rPr>
          <w:sz w:val="24"/>
          <w:szCs w:val="24"/>
        </w:rPr>
        <w:t xml:space="preserve"> </w:t>
      </w:r>
      <w:r w:rsidR="008155A9">
        <w:rPr>
          <w:sz w:val="24"/>
          <w:szCs w:val="24"/>
        </w:rPr>
        <w:t>беше</w:t>
      </w:r>
      <w:r w:rsidR="008155A9" w:rsidRPr="00056DFA">
        <w:rPr>
          <w:sz w:val="24"/>
          <w:szCs w:val="24"/>
        </w:rPr>
        <w:t xml:space="preserve"> 65 лв.</w:t>
      </w:r>
      <w:r w:rsidR="008155A9">
        <w:rPr>
          <w:sz w:val="24"/>
          <w:szCs w:val="24"/>
        </w:rPr>
        <w:t>;</w:t>
      </w:r>
    </w:p>
    <w:p w:rsidR="00940E69" w:rsidRPr="00056DFA" w:rsidRDefault="00940E69" w:rsidP="00940E69">
      <w:pPr>
        <w:numPr>
          <w:ilvl w:val="0"/>
          <w:numId w:val="68"/>
        </w:numPr>
        <w:tabs>
          <w:tab w:val="left" w:pos="567"/>
          <w:tab w:val="left" w:pos="1843"/>
        </w:tabs>
        <w:autoSpaceDE w:val="0"/>
        <w:autoSpaceDN w:val="0"/>
        <w:adjustRightInd w:val="0"/>
        <w:spacing w:before="0" w:after="0"/>
        <w:ind w:left="0" w:firstLine="567"/>
        <w:jc w:val="both"/>
        <w:rPr>
          <w:sz w:val="24"/>
          <w:szCs w:val="24"/>
        </w:rPr>
      </w:pPr>
      <w:r w:rsidRPr="00056DFA">
        <w:rPr>
          <w:b/>
          <w:sz w:val="24"/>
          <w:szCs w:val="24"/>
        </w:rPr>
        <w:t>Еднократните помощи</w:t>
      </w:r>
      <w:r w:rsidRPr="00056DFA">
        <w:rPr>
          <w:sz w:val="24"/>
          <w:szCs w:val="24"/>
        </w:rPr>
        <w:t xml:space="preserve"> са предназначени за: задоволяване на инцидентно възникнали здравни, образователни, комунално-битови и други жизненоважни потребности на лицата и семействата и се отпускат веднъж в годината, до петкратния размер на гарантирания минимален доход; за издаване на лична карта – еднократно до размера на гарантирания минимален доход; лечение в чужбина;</w:t>
      </w:r>
    </w:p>
    <w:p w:rsidR="00940E69" w:rsidRPr="00056DFA" w:rsidRDefault="00940E69" w:rsidP="00940E69">
      <w:pPr>
        <w:numPr>
          <w:ilvl w:val="0"/>
          <w:numId w:val="68"/>
        </w:numPr>
        <w:tabs>
          <w:tab w:val="left" w:pos="-3402"/>
          <w:tab w:val="left" w:pos="567"/>
          <w:tab w:val="left" w:pos="1843"/>
        </w:tabs>
        <w:autoSpaceDE w:val="0"/>
        <w:autoSpaceDN w:val="0"/>
        <w:adjustRightInd w:val="0"/>
        <w:spacing w:before="0" w:after="0"/>
        <w:ind w:left="0" w:firstLine="567"/>
        <w:jc w:val="both"/>
        <w:rPr>
          <w:sz w:val="24"/>
          <w:szCs w:val="24"/>
        </w:rPr>
      </w:pPr>
      <w:r w:rsidRPr="00056DFA">
        <w:rPr>
          <w:b/>
          <w:sz w:val="24"/>
          <w:szCs w:val="24"/>
        </w:rPr>
        <w:t>Целевите социални помощи</w:t>
      </w:r>
      <w:r w:rsidRPr="00056DFA">
        <w:rPr>
          <w:sz w:val="24"/>
          <w:szCs w:val="24"/>
        </w:rPr>
        <w:t xml:space="preserve"> по реда на Правилника за прилагане на Закона за социално подпомагане са: за заплащане на наем на общински жилища на самотни родители, самотно живеещи възрастни хора над 70 години, и сираци до 25 години;</w:t>
      </w:r>
    </w:p>
    <w:p w:rsidR="00940E69" w:rsidRPr="00056DFA" w:rsidRDefault="00940E69" w:rsidP="00940E69">
      <w:pPr>
        <w:numPr>
          <w:ilvl w:val="0"/>
          <w:numId w:val="69"/>
        </w:numPr>
        <w:tabs>
          <w:tab w:val="left" w:pos="567"/>
          <w:tab w:val="left" w:pos="1134"/>
        </w:tabs>
        <w:autoSpaceDE w:val="0"/>
        <w:autoSpaceDN w:val="0"/>
        <w:adjustRightInd w:val="0"/>
        <w:spacing w:before="0" w:after="0"/>
        <w:ind w:left="0" w:firstLine="567"/>
        <w:jc w:val="both"/>
        <w:rPr>
          <w:sz w:val="24"/>
          <w:szCs w:val="24"/>
        </w:rPr>
      </w:pPr>
      <w:r w:rsidRPr="00056DFA">
        <w:rPr>
          <w:b/>
          <w:sz w:val="24"/>
          <w:szCs w:val="24"/>
        </w:rPr>
        <w:t>Целеви средства за диагностика и лечение</w:t>
      </w:r>
      <w:r w:rsidRPr="00056DFA">
        <w:rPr>
          <w:sz w:val="24"/>
          <w:szCs w:val="24"/>
        </w:rPr>
        <w:t xml:space="preserve"> в лечебни заведения за болнична помощ на български граждани, които нямат доход и/или лично имущество, което да им осигурява лично участие в здравноосигурителния процес.;</w:t>
      </w:r>
    </w:p>
    <w:p w:rsidR="00940E69" w:rsidRPr="00056DFA" w:rsidRDefault="00940E69" w:rsidP="00940E69">
      <w:pPr>
        <w:numPr>
          <w:ilvl w:val="0"/>
          <w:numId w:val="69"/>
        </w:numPr>
        <w:tabs>
          <w:tab w:val="left" w:pos="567"/>
          <w:tab w:val="left" w:pos="1134"/>
        </w:tabs>
        <w:autoSpaceDE w:val="0"/>
        <w:autoSpaceDN w:val="0"/>
        <w:adjustRightInd w:val="0"/>
        <w:spacing w:before="0" w:after="0"/>
        <w:ind w:left="0" w:firstLine="567"/>
        <w:jc w:val="both"/>
        <w:rPr>
          <w:sz w:val="24"/>
          <w:szCs w:val="24"/>
        </w:rPr>
      </w:pPr>
      <w:r w:rsidRPr="00056DFA">
        <w:rPr>
          <w:b/>
          <w:sz w:val="24"/>
          <w:szCs w:val="24"/>
        </w:rPr>
        <w:t>Целеви помощи за ветерани от войните и военноинвалиди</w:t>
      </w:r>
    </w:p>
    <w:p w:rsidR="00940E69" w:rsidRPr="00056DFA" w:rsidRDefault="00940E69" w:rsidP="00940E69">
      <w:pPr>
        <w:tabs>
          <w:tab w:val="left" w:pos="567"/>
          <w:tab w:val="left" w:pos="1134"/>
        </w:tabs>
        <w:autoSpaceDE w:val="0"/>
        <w:autoSpaceDN w:val="0"/>
        <w:adjustRightInd w:val="0"/>
        <w:spacing w:before="0" w:after="0"/>
        <w:jc w:val="both"/>
        <w:rPr>
          <w:sz w:val="24"/>
          <w:szCs w:val="24"/>
        </w:rPr>
      </w:pPr>
      <w:r w:rsidRPr="00056DFA">
        <w:rPr>
          <w:sz w:val="24"/>
          <w:szCs w:val="24"/>
        </w:rPr>
        <w:t>По тази програма общо изразходваните средства възлизат на 111,5 млн.лв.</w:t>
      </w:r>
    </w:p>
    <w:p w:rsidR="00940E69" w:rsidRPr="00056DFA" w:rsidRDefault="00940E69" w:rsidP="00940E69">
      <w:pPr>
        <w:tabs>
          <w:tab w:val="left" w:pos="709"/>
        </w:tabs>
        <w:autoSpaceDE w:val="0"/>
        <w:autoSpaceDN w:val="0"/>
        <w:adjustRightInd w:val="0"/>
        <w:spacing w:before="0" w:after="0"/>
        <w:jc w:val="both"/>
        <w:rPr>
          <w:sz w:val="24"/>
          <w:szCs w:val="24"/>
        </w:rPr>
      </w:pPr>
      <w:r w:rsidRPr="00056DFA">
        <w:rPr>
          <w:sz w:val="24"/>
          <w:szCs w:val="24"/>
        </w:rPr>
        <w:t>Целта по програма “Осигуряване на целева социална защита за отопление на населението с ниски доходи” е да се предоставят финансови средства, с които хората с ниски доходи да осигурят отоплението си през зимния период.</w:t>
      </w:r>
    </w:p>
    <w:p w:rsidR="00940E69" w:rsidRPr="00056DFA" w:rsidRDefault="00940E69" w:rsidP="00940E69">
      <w:pPr>
        <w:autoSpaceDE w:val="0"/>
        <w:autoSpaceDN w:val="0"/>
        <w:adjustRightInd w:val="0"/>
        <w:spacing w:before="0" w:after="0"/>
        <w:jc w:val="both"/>
        <w:rPr>
          <w:sz w:val="24"/>
          <w:szCs w:val="24"/>
        </w:rPr>
      </w:pPr>
      <w:r w:rsidRPr="00056DFA">
        <w:rPr>
          <w:sz w:val="24"/>
          <w:szCs w:val="24"/>
        </w:rPr>
        <w:lastRenderedPageBreak/>
        <w:t>С Наредба № РД 07-5 от 16.05.2008 г. са регламентирани условията и реда за отпускане на целева помощ за отопление през зимния период на хората в най-тежко социално положение, като се компенсира изцяло увеличението на цените на енергоносителите. Право на целева помощ за отопление имат лицата и семействата, чиито доход е по-нисък от индивидуално определения диференциран минимален доход за отопление.</w:t>
      </w:r>
      <w:r w:rsidRPr="00056DFA">
        <w:rPr>
          <w:sz w:val="24"/>
          <w:szCs w:val="24"/>
        </w:rPr>
        <w:tab/>
        <w:t xml:space="preserve"> Помощите се отпускат след преценка на доходното, имущественото, здравословното състояние, възрастта и семейното положение, като основен приоритет са самотно живеещите възрастни хора, хората с трайни увреждания и родителите, които сами отглеждат децата си. Размерът на помощите се определя ежегодно, съобразно промените в цените на електроенергията. </w:t>
      </w:r>
    </w:p>
    <w:p w:rsidR="00940E69" w:rsidRPr="00056DFA" w:rsidRDefault="008155A9" w:rsidP="00940E69">
      <w:pPr>
        <w:spacing w:before="0" w:after="0"/>
        <w:jc w:val="both"/>
        <w:rPr>
          <w:sz w:val="24"/>
          <w:szCs w:val="24"/>
        </w:rPr>
      </w:pPr>
      <w:r w:rsidRPr="00056DFA">
        <w:rPr>
          <w:sz w:val="24"/>
          <w:szCs w:val="24"/>
        </w:rPr>
        <w:t xml:space="preserve">Към 31.12.2017 г. по програмата са изплатени общо </w:t>
      </w:r>
      <w:r w:rsidRPr="00056DFA">
        <w:rPr>
          <w:b/>
          <w:sz w:val="24"/>
          <w:szCs w:val="24"/>
        </w:rPr>
        <w:t>75</w:t>
      </w:r>
      <w:r>
        <w:rPr>
          <w:b/>
          <w:sz w:val="24"/>
          <w:szCs w:val="24"/>
        </w:rPr>
        <w:t>,2</w:t>
      </w:r>
      <w:r w:rsidRPr="00056DFA">
        <w:rPr>
          <w:b/>
          <w:sz w:val="24"/>
          <w:szCs w:val="24"/>
        </w:rPr>
        <w:t xml:space="preserve"> </w:t>
      </w:r>
      <w:r>
        <w:rPr>
          <w:b/>
          <w:sz w:val="24"/>
          <w:szCs w:val="24"/>
        </w:rPr>
        <w:t>млн.</w:t>
      </w:r>
      <w:r w:rsidRPr="00056DFA">
        <w:rPr>
          <w:b/>
          <w:sz w:val="24"/>
          <w:szCs w:val="24"/>
        </w:rPr>
        <w:t xml:space="preserve">лв., </w:t>
      </w:r>
      <w:r w:rsidRPr="00056DFA">
        <w:rPr>
          <w:sz w:val="24"/>
          <w:szCs w:val="24"/>
        </w:rPr>
        <w:t>както следва</w:t>
      </w:r>
      <w:r w:rsidR="00940E69" w:rsidRPr="00056DFA">
        <w:rPr>
          <w:sz w:val="24"/>
          <w:szCs w:val="24"/>
        </w:rPr>
        <w:t>:</w:t>
      </w:r>
    </w:p>
    <w:p w:rsidR="00940E69" w:rsidRPr="00056DFA" w:rsidRDefault="00940E69" w:rsidP="00940E69">
      <w:pPr>
        <w:numPr>
          <w:ilvl w:val="0"/>
          <w:numId w:val="70"/>
        </w:numPr>
        <w:spacing w:before="0" w:after="0"/>
        <w:ind w:left="0" w:firstLine="567"/>
        <w:contextualSpacing/>
        <w:jc w:val="both"/>
        <w:rPr>
          <w:sz w:val="24"/>
          <w:szCs w:val="24"/>
        </w:rPr>
      </w:pPr>
      <w:r w:rsidRPr="00056DFA">
        <w:rPr>
          <w:sz w:val="24"/>
          <w:szCs w:val="24"/>
        </w:rPr>
        <w:t xml:space="preserve">За отоплителен сезон </w:t>
      </w:r>
      <w:r w:rsidRPr="00056DFA">
        <w:rPr>
          <w:b/>
          <w:sz w:val="24"/>
          <w:szCs w:val="24"/>
        </w:rPr>
        <w:t>2017/2018 г.</w:t>
      </w:r>
      <w:r w:rsidRPr="00056DFA">
        <w:rPr>
          <w:sz w:val="24"/>
          <w:szCs w:val="24"/>
        </w:rPr>
        <w:t xml:space="preserve"> са начислени целеви помощи на </w:t>
      </w:r>
      <w:r w:rsidRPr="00056DFA">
        <w:rPr>
          <w:b/>
          <w:sz w:val="24"/>
          <w:szCs w:val="24"/>
        </w:rPr>
        <w:t>204 635</w:t>
      </w:r>
      <w:r w:rsidRPr="00056DFA">
        <w:rPr>
          <w:sz w:val="24"/>
          <w:szCs w:val="24"/>
        </w:rPr>
        <w:t xml:space="preserve"> брой лица и семейства, а изплатената сума е в размер на </w:t>
      </w:r>
      <w:r w:rsidRPr="00056DFA">
        <w:rPr>
          <w:b/>
          <w:sz w:val="24"/>
          <w:szCs w:val="24"/>
        </w:rPr>
        <w:t>74</w:t>
      </w:r>
      <w:r w:rsidR="008155A9">
        <w:rPr>
          <w:b/>
          <w:sz w:val="24"/>
          <w:szCs w:val="24"/>
        </w:rPr>
        <w:t>,</w:t>
      </w:r>
      <w:r w:rsidRPr="00056DFA">
        <w:rPr>
          <w:b/>
          <w:sz w:val="24"/>
          <w:szCs w:val="24"/>
        </w:rPr>
        <w:t>3</w:t>
      </w:r>
      <w:r w:rsidR="008155A9">
        <w:rPr>
          <w:b/>
          <w:sz w:val="24"/>
          <w:szCs w:val="24"/>
        </w:rPr>
        <w:t xml:space="preserve"> млн.</w:t>
      </w:r>
      <w:r w:rsidRPr="00056DFA">
        <w:rPr>
          <w:b/>
          <w:sz w:val="24"/>
          <w:szCs w:val="24"/>
        </w:rPr>
        <w:t xml:space="preserve"> лв.(</w:t>
      </w:r>
      <w:r w:rsidRPr="00056DFA">
        <w:rPr>
          <w:sz w:val="24"/>
          <w:szCs w:val="24"/>
        </w:rPr>
        <w:t>86%).</w:t>
      </w:r>
    </w:p>
    <w:p w:rsidR="00940E69" w:rsidRPr="008155A9" w:rsidRDefault="00940E69" w:rsidP="00940E69">
      <w:pPr>
        <w:numPr>
          <w:ilvl w:val="0"/>
          <w:numId w:val="70"/>
        </w:numPr>
        <w:spacing w:before="0" w:after="0"/>
        <w:ind w:left="0" w:firstLine="567"/>
        <w:contextualSpacing/>
        <w:jc w:val="both"/>
        <w:rPr>
          <w:b/>
          <w:sz w:val="24"/>
          <w:szCs w:val="24"/>
        </w:rPr>
      </w:pPr>
      <w:r w:rsidRPr="00056DFA">
        <w:rPr>
          <w:sz w:val="24"/>
          <w:szCs w:val="24"/>
        </w:rPr>
        <w:t xml:space="preserve">За отоплителен сезон </w:t>
      </w:r>
      <w:r w:rsidRPr="00056DFA">
        <w:rPr>
          <w:b/>
          <w:sz w:val="24"/>
          <w:szCs w:val="24"/>
        </w:rPr>
        <w:t>2016/2017</w:t>
      </w:r>
      <w:r w:rsidRPr="00056DFA">
        <w:rPr>
          <w:sz w:val="24"/>
          <w:szCs w:val="24"/>
        </w:rPr>
        <w:t xml:space="preserve"> към 31.12.2017 г. е изплатена сума в размер на </w:t>
      </w:r>
      <w:r w:rsidR="008155A9" w:rsidRPr="008155A9">
        <w:rPr>
          <w:b/>
          <w:sz w:val="24"/>
          <w:szCs w:val="24"/>
        </w:rPr>
        <w:t>0,9 млн.</w:t>
      </w:r>
      <w:r w:rsidRPr="008155A9">
        <w:rPr>
          <w:b/>
          <w:sz w:val="24"/>
          <w:szCs w:val="24"/>
        </w:rPr>
        <w:t>лв.</w:t>
      </w:r>
    </w:p>
    <w:p w:rsidR="00940E69" w:rsidRPr="00056DFA" w:rsidRDefault="00940E69" w:rsidP="00940E69">
      <w:pPr>
        <w:spacing w:before="0" w:after="0"/>
        <w:jc w:val="both"/>
        <w:rPr>
          <w:sz w:val="24"/>
          <w:szCs w:val="24"/>
          <w:highlight w:val="yellow"/>
          <w:lang w:eastAsia="x-none"/>
        </w:rPr>
      </w:pPr>
      <w:r w:rsidRPr="00056DFA">
        <w:rPr>
          <w:rFonts w:eastAsia="Batang"/>
          <w:b/>
          <w:bCs/>
          <w:iCs/>
          <w:smallCaps/>
          <w:color w:val="000000"/>
          <w:sz w:val="24"/>
          <w:szCs w:val="24"/>
          <w:lang w:eastAsia="ko-KR"/>
        </w:rPr>
        <w:t>Политика в областта на хората с увреждания</w:t>
      </w:r>
    </w:p>
    <w:p w:rsidR="00940E69" w:rsidRPr="00056DFA" w:rsidRDefault="00940E69" w:rsidP="00940E69">
      <w:pPr>
        <w:spacing w:before="0" w:after="0"/>
        <w:jc w:val="both"/>
        <w:rPr>
          <w:iCs/>
          <w:sz w:val="24"/>
          <w:szCs w:val="24"/>
        </w:rPr>
      </w:pPr>
      <w:r w:rsidRPr="00056DFA">
        <w:rPr>
          <w:sz w:val="24"/>
          <w:szCs w:val="24"/>
        </w:rPr>
        <w:t>В областта на политиката за интеграция на хората с увреждания през отчетния период п</w:t>
      </w:r>
      <w:r w:rsidRPr="00056DFA">
        <w:rPr>
          <w:iCs/>
          <w:sz w:val="24"/>
          <w:szCs w:val="24"/>
        </w:rPr>
        <w:t>родължи осигуряването на социално-икономическата защита на лицата с увреждания и гарантиране на техните права.</w:t>
      </w:r>
    </w:p>
    <w:p w:rsidR="00940E69" w:rsidRPr="00056DFA" w:rsidRDefault="00940E69" w:rsidP="00940E69">
      <w:pPr>
        <w:shd w:val="clear" w:color="auto" w:fill="FFFFFF"/>
        <w:spacing w:before="0" w:after="0"/>
        <w:jc w:val="both"/>
        <w:rPr>
          <w:b/>
          <w:bCs/>
          <w:iCs/>
          <w:sz w:val="24"/>
          <w:szCs w:val="24"/>
        </w:rPr>
      </w:pPr>
      <w:r w:rsidRPr="00056DFA">
        <w:rPr>
          <w:b/>
          <w:bCs/>
          <w:iCs/>
          <w:sz w:val="24"/>
          <w:szCs w:val="24"/>
        </w:rPr>
        <w:t>Бюджетна програма „Интеграция на хората с увреждания”</w:t>
      </w:r>
    </w:p>
    <w:p w:rsidR="00940E69" w:rsidRPr="00056DFA" w:rsidRDefault="00940E69" w:rsidP="00940E69">
      <w:pPr>
        <w:spacing w:before="0" w:after="0"/>
        <w:jc w:val="both"/>
        <w:rPr>
          <w:sz w:val="24"/>
          <w:szCs w:val="24"/>
        </w:rPr>
      </w:pPr>
      <w:r w:rsidRPr="00056DFA">
        <w:rPr>
          <w:sz w:val="24"/>
          <w:szCs w:val="24"/>
        </w:rPr>
        <w:t>Основната цел на програмата са с</w:t>
      </w:r>
      <w:r w:rsidRPr="00056DFA">
        <w:rPr>
          <w:color w:val="000000"/>
          <w:sz w:val="24"/>
          <w:szCs w:val="24"/>
        </w:rPr>
        <w:t xml:space="preserve">ъздаване на условия и гаранции за </w:t>
      </w:r>
      <w:proofErr w:type="spellStart"/>
      <w:r w:rsidRPr="00056DFA">
        <w:rPr>
          <w:color w:val="000000"/>
          <w:sz w:val="24"/>
          <w:szCs w:val="24"/>
        </w:rPr>
        <w:t>равнопоставеност</w:t>
      </w:r>
      <w:proofErr w:type="spellEnd"/>
      <w:r w:rsidRPr="00056DFA">
        <w:rPr>
          <w:color w:val="000000"/>
          <w:sz w:val="24"/>
          <w:szCs w:val="24"/>
        </w:rPr>
        <w:t xml:space="preserve"> и пълноценно участие на хората с увреждания във всички области на обществения живот, както и упражняване на техните права чрез осигуряване на социално-икономическа защита на тях и техните семейства и интегриране в обща и/или специализирана работна среда </w:t>
      </w:r>
      <w:r w:rsidRPr="00056DFA">
        <w:rPr>
          <w:sz w:val="24"/>
          <w:szCs w:val="24"/>
        </w:rPr>
        <w:t xml:space="preserve">е постигната. </w:t>
      </w:r>
    </w:p>
    <w:p w:rsidR="00940E69" w:rsidRPr="00056DFA" w:rsidRDefault="00940E69" w:rsidP="00940E69">
      <w:pPr>
        <w:spacing w:before="0" w:after="0"/>
        <w:jc w:val="both"/>
        <w:rPr>
          <w:sz w:val="24"/>
          <w:szCs w:val="24"/>
        </w:rPr>
      </w:pPr>
      <w:r w:rsidRPr="00056DFA">
        <w:rPr>
          <w:sz w:val="24"/>
          <w:szCs w:val="24"/>
        </w:rPr>
        <w:t>Изразходваните средства по тази програма са в размер на 111,5 млн.лв.</w:t>
      </w:r>
    </w:p>
    <w:p w:rsidR="00940E69" w:rsidRPr="00056DFA" w:rsidRDefault="00940E69" w:rsidP="00940E69">
      <w:pPr>
        <w:spacing w:before="0" w:after="0"/>
        <w:jc w:val="both"/>
        <w:rPr>
          <w:sz w:val="24"/>
          <w:szCs w:val="24"/>
        </w:rPr>
      </w:pPr>
      <w:r w:rsidRPr="00056DFA">
        <w:rPr>
          <w:b/>
          <w:bCs/>
          <w:iCs/>
          <w:sz w:val="24"/>
          <w:szCs w:val="24"/>
        </w:rPr>
        <w:t>Политика в областта на социалното включване</w:t>
      </w:r>
    </w:p>
    <w:p w:rsidR="00940E69" w:rsidRPr="00056DFA" w:rsidRDefault="00940E69" w:rsidP="00940E69">
      <w:pPr>
        <w:autoSpaceDE w:val="0"/>
        <w:autoSpaceDN w:val="0"/>
        <w:adjustRightInd w:val="0"/>
        <w:spacing w:before="0" w:after="0"/>
        <w:jc w:val="both"/>
        <w:rPr>
          <w:b/>
          <w:bCs/>
          <w:sz w:val="24"/>
          <w:szCs w:val="24"/>
        </w:rPr>
      </w:pPr>
      <w:r w:rsidRPr="00056DFA">
        <w:rPr>
          <w:b/>
          <w:bCs/>
          <w:sz w:val="24"/>
          <w:szCs w:val="24"/>
        </w:rPr>
        <w:t>Бюджетна програма „ Подпомагане на семействата с деца“</w:t>
      </w:r>
    </w:p>
    <w:p w:rsidR="00940E69" w:rsidRPr="00056DFA" w:rsidRDefault="00940E69" w:rsidP="00940E69">
      <w:pPr>
        <w:widowControl w:val="0"/>
        <w:tabs>
          <w:tab w:val="num" w:pos="709"/>
          <w:tab w:val="num" w:pos="1134"/>
        </w:tabs>
        <w:autoSpaceDE w:val="0"/>
        <w:autoSpaceDN w:val="0"/>
        <w:adjustRightInd w:val="0"/>
        <w:spacing w:before="0" w:after="0"/>
        <w:ind w:right="1"/>
        <w:jc w:val="both"/>
        <w:rPr>
          <w:sz w:val="24"/>
          <w:szCs w:val="24"/>
        </w:rPr>
      </w:pPr>
      <w:r w:rsidRPr="00056DFA">
        <w:rPr>
          <w:sz w:val="24"/>
          <w:szCs w:val="24"/>
        </w:rPr>
        <w:t>По програмата се предоставят семейни помощи съгласно Закона за семейни помощи за деца (ЗСПД) и Правилника за неговото прилагане. Семейните помощи имат за цел да подпомогнат отглеждането на деца в семейна среда.</w:t>
      </w:r>
      <w:r w:rsidRPr="00056DFA">
        <w:rPr>
          <w:sz w:val="24"/>
          <w:szCs w:val="24"/>
        </w:rPr>
        <w:tab/>
        <w:t xml:space="preserve"> </w:t>
      </w:r>
    </w:p>
    <w:p w:rsidR="00940E69" w:rsidRPr="00056DFA" w:rsidRDefault="00940E69" w:rsidP="00940E69">
      <w:pPr>
        <w:autoSpaceDE w:val="0"/>
        <w:autoSpaceDN w:val="0"/>
        <w:adjustRightInd w:val="0"/>
        <w:spacing w:before="0" w:after="0"/>
        <w:ind w:right="1"/>
        <w:jc w:val="both"/>
        <w:rPr>
          <w:rFonts w:eastAsia="Batang"/>
          <w:bCs/>
          <w:color w:val="000000"/>
          <w:sz w:val="24"/>
          <w:szCs w:val="24"/>
          <w:u w:val="single"/>
          <w:lang w:eastAsia="ko-KR"/>
        </w:rPr>
      </w:pPr>
      <w:r w:rsidRPr="00056DFA">
        <w:rPr>
          <w:rFonts w:eastAsia="Batang"/>
          <w:bCs/>
          <w:color w:val="000000"/>
          <w:sz w:val="24"/>
          <w:szCs w:val="24"/>
          <w:lang w:eastAsia="ko-KR"/>
        </w:rPr>
        <w:t xml:space="preserve">За 2017 г. по реда на ЗСПД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отпуснати семейни помощи при бременност, раждане и отглеждане на деца, както следва:</w:t>
      </w:r>
    </w:p>
    <w:p w:rsidR="00940E69" w:rsidRPr="00056DFA" w:rsidRDefault="00940E69" w:rsidP="00940E69">
      <w:pPr>
        <w:numPr>
          <w:ilvl w:val="0"/>
          <w:numId w:val="67"/>
        </w:numPr>
        <w:tabs>
          <w:tab w:val="num" w:pos="0"/>
          <w:tab w:val="left" w:pos="709"/>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Еднократна помощ при бременност. За периода от 01.</w:t>
      </w:r>
      <w:proofErr w:type="spellStart"/>
      <w:r w:rsidRPr="00056DFA">
        <w:rPr>
          <w:rFonts w:eastAsia="Batang"/>
          <w:bCs/>
          <w:color w:val="000000"/>
          <w:sz w:val="24"/>
          <w:szCs w:val="24"/>
          <w:lang w:eastAsia="ko-KR"/>
        </w:rPr>
        <w:t>01</w:t>
      </w:r>
      <w:proofErr w:type="spellEnd"/>
      <w:r w:rsidRPr="00056DFA">
        <w:rPr>
          <w:rFonts w:eastAsia="Batang"/>
          <w:bCs/>
          <w:color w:val="000000"/>
          <w:sz w:val="24"/>
          <w:szCs w:val="24"/>
          <w:lang w:eastAsia="ko-KR"/>
        </w:rPr>
        <w:t xml:space="preserve">.2017 г. до 31.12.2017 г. с еднократна помощ при бременност са подпомогнати общо 12 219 жени. Изплатената сума е </w:t>
      </w:r>
      <w:r w:rsidR="00801952" w:rsidRPr="00056DFA">
        <w:rPr>
          <w:rFonts w:eastAsia="Batang"/>
          <w:bCs/>
          <w:color w:val="000000"/>
          <w:sz w:val="24"/>
          <w:szCs w:val="24"/>
          <w:lang w:eastAsia="ko-KR"/>
        </w:rPr>
        <w:t>1</w:t>
      </w:r>
      <w:r w:rsidR="00801952">
        <w:rPr>
          <w:rFonts w:eastAsia="Batang"/>
          <w:bCs/>
          <w:color w:val="000000"/>
          <w:sz w:val="24"/>
          <w:szCs w:val="24"/>
          <w:lang w:eastAsia="ko-KR"/>
        </w:rPr>
        <w:t>,</w:t>
      </w:r>
      <w:r w:rsidR="00801952" w:rsidRPr="00056DFA">
        <w:rPr>
          <w:rFonts w:eastAsia="Batang"/>
          <w:bCs/>
          <w:color w:val="000000"/>
          <w:sz w:val="24"/>
          <w:szCs w:val="24"/>
          <w:lang w:eastAsia="ko-KR"/>
        </w:rPr>
        <w:t xml:space="preserve">8 </w:t>
      </w:r>
      <w:r w:rsidR="00801952">
        <w:rPr>
          <w:rFonts w:eastAsia="Batang"/>
          <w:bCs/>
          <w:color w:val="000000"/>
          <w:sz w:val="24"/>
          <w:szCs w:val="24"/>
          <w:lang w:eastAsia="ko-KR"/>
        </w:rPr>
        <w:t>млн.</w:t>
      </w:r>
      <w:r w:rsidRPr="00056DFA">
        <w:rPr>
          <w:rFonts w:eastAsia="Batang"/>
          <w:bCs/>
          <w:color w:val="000000"/>
          <w:sz w:val="24"/>
          <w:szCs w:val="24"/>
          <w:lang w:eastAsia="ko-KR"/>
        </w:rPr>
        <w:t xml:space="preserve">лв. </w:t>
      </w:r>
    </w:p>
    <w:p w:rsidR="00940E69" w:rsidRPr="00056DFA" w:rsidRDefault="00940E69" w:rsidP="00940E69">
      <w:pPr>
        <w:numPr>
          <w:ilvl w:val="0"/>
          <w:numId w:val="67"/>
        </w:numPr>
        <w:tabs>
          <w:tab w:val="num" w:pos="0"/>
          <w:tab w:val="left" w:pos="709"/>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Еднократна помощ при раждане на дете. През 2017 г. са отпуснати помощи за 66 050 родени деца. Изплатената сума е 25</w:t>
      </w:r>
      <w:r w:rsidR="00801952">
        <w:rPr>
          <w:rFonts w:eastAsia="Batang"/>
          <w:bCs/>
          <w:color w:val="000000"/>
          <w:sz w:val="24"/>
          <w:szCs w:val="24"/>
          <w:lang w:eastAsia="ko-KR"/>
        </w:rPr>
        <w:t>,8 млн.</w:t>
      </w:r>
      <w:r w:rsidRPr="00056DFA">
        <w:rPr>
          <w:rFonts w:eastAsia="Batang"/>
          <w:bCs/>
          <w:color w:val="000000"/>
          <w:sz w:val="24"/>
          <w:szCs w:val="24"/>
          <w:lang w:eastAsia="ko-KR"/>
        </w:rPr>
        <w:t xml:space="preserve">лв. </w:t>
      </w:r>
    </w:p>
    <w:p w:rsidR="00940E69" w:rsidRPr="00056DFA" w:rsidRDefault="00940E69" w:rsidP="00940E69">
      <w:pPr>
        <w:numPr>
          <w:ilvl w:val="0"/>
          <w:numId w:val="67"/>
        </w:numPr>
        <w:tabs>
          <w:tab w:val="num" w:pos="0"/>
          <w:tab w:val="left" w:pos="709"/>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Еднократна помощ при осиновяване на дете (в сила от 01.</w:t>
      </w:r>
      <w:proofErr w:type="spellStart"/>
      <w:r w:rsidRPr="00056DFA">
        <w:rPr>
          <w:rFonts w:eastAsia="Batang"/>
          <w:bCs/>
          <w:color w:val="000000"/>
          <w:sz w:val="24"/>
          <w:szCs w:val="24"/>
          <w:lang w:eastAsia="ko-KR"/>
        </w:rPr>
        <w:t>01</w:t>
      </w:r>
      <w:proofErr w:type="spellEnd"/>
      <w:r w:rsidRPr="00056DFA">
        <w:rPr>
          <w:rFonts w:eastAsia="Batang"/>
          <w:bCs/>
          <w:color w:val="000000"/>
          <w:sz w:val="24"/>
          <w:szCs w:val="24"/>
          <w:lang w:eastAsia="ko-KR"/>
        </w:rPr>
        <w:t>.2016 г.). За периода от 01.</w:t>
      </w:r>
      <w:proofErr w:type="spellStart"/>
      <w:r w:rsidRPr="00056DFA">
        <w:rPr>
          <w:rFonts w:eastAsia="Batang"/>
          <w:bCs/>
          <w:color w:val="000000"/>
          <w:sz w:val="24"/>
          <w:szCs w:val="24"/>
          <w:lang w:eastAsia="ko-KR"/>
        </w:rPr>
        <w:t>01</w:t>
      </w:r>
      <w:proofErr w:type="spellEnd"/>
      <w:r w:rsidRPr="00056DFA">
        <w:rPr>
          <w:rFonts w:eastAsia="Batang"/>
          <w:bCs/>
          <w:color w:val="000000"/>
          <w:sz w:val="24"/>
          <w:szCs w:val="24"/>
          <w:lang w:eastAsia="ko-KR"/>
        </w:rPr>
        <w:t xml:space="preserve">.2017 г. до 31.12.2017 г. са отпуснати помощи за 460 осиновени деца. </w:t>
      </w:r>
    </w:p>
    <w:p w:rsidR="00940E69" w:rsidRPr="00056DFA" w:rsidRDefault="00940E69" w:rsidP="00940E69">
      <w:pPr>
        <w:numPr>
          <w:ilvl w:val="0"/>
          <w:numId w:val="67"/>
        </w:numPr>
        <w:tabs>
          <w:tab w:val="num" w:pos="0"/>
          <w:tab w:val="num" w:pos="720"/>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Еднократна помощ за отглеждане на близнаци. През 2017 г. дирекциите „Социално подпомагане” са изплатили за 2 087 деца близнаци сумата 2</w:t>
      </w:r>
      <w:r w:rsidR="00801952">
        <w:rPr>
          <w:rFonts w:eastAsia="Batang"/>
          <w:bCs/>
          <w:color w:val="000000"/>
          <w:sz w:val="24"/>
          <w:szCs w:val="24"/>
          <w:lang w:eastAsia="ko-KR"/>
        </w:rPr>
        <w:t>,</w:t>
      </w:r>
      <w:r w:rsidRPr="00056DFA">
        <w:rPr>
          <w:rFonts w:eastAsia="Batang"/>
          <w:bCs/>
          <w:color w:val="000000"/>
          <w:sz w:val="24"/>
          <w:szCs w:val="24"/>
          <w:lang w:eastAsia="ko-KR"/>
        </w:rPr>
        <w:t>5</w:t>
      </w:r>
      <w:r w:rsidR="00801952">
        <w:rPr>
          <w:rFonts w:eastAsia="Batang"/>
          <w:bCs/>
          <w:color w:val="000000"/>
          <w:sz w:val="24"/>
          <w:szCs w:val="24"/>
          <w:lang w:eastAsia="ko-KR"/>
        </w:rPr>
        <w:t xml:space="preserve"> млн.</w:t>
      </w:r>
      <w:r w:rsidRPr="00056DFA">
        <w:rPr>
          <w:rFonts w:eastAsia="Batang"/>
          <w:bCs/>
          <w:color w:val="000000"/>
          <w:sz w:val="24"/>
          <w:szCs w:val="24"/>
          <w:lang w:eastAsia="ko-KR"/>
        </w:rPr>
        <w:t xml:space="preserve">лв. </w:t>
      </w:r>
    </w:p>
    <w:p w:rsidR="00940E69" w:rsidRPr="00056DFA" w:rsidRDefault="00940E69" w:rsidP="00940E69">
      <w:pPr>
        <w:numPr>
          <w:ilvl w:val="0"/>
          <w:numId w:val="67"/>
        </w:numPr>
        <w:tabs>
          <w:tab w:val="num" w:pos="0"/>
          <w:tab w:val="num" w:pos="720"/>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 xml:space="preserve">Еднократна помощ за отглеждане на дете от майка студентка, учаща в редовна форма на обучение. </w:t>
      </w:r>
    </w:p>
    <w:p w:rsidR="00940E69" w:rsidRPr="00056DFA" w:rsidRDefault="00940E69" w:rsidP="00940E69">
      <w:pPr>
        <w:numPr>
          <w:ilvl w:val="0"/>
          <w:numId w:val="67"/>
        </w:numPr>
        <w:tabs>
          <w:tab w:val="num" w:pos="0"/>
          <w:tab w:val="num" w:pos="720"/>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t>Еднократна помощ за ученици, записани в първи клас. За периода януари – декември 2017 г. са отпуснати помощи за 38 489 деца-първокласници за покриване на част от разходите в началото на учебната година. Изплатената сума е 9</w:t>
      </w:r>
      <w:r w:rsidR="00801952">
        <w:rPr>
          <w:rFonts w:eastAsia="Batang"/>
          <w:bCs/>
          <w:color w:val="000000"/>
          <w:sz w:val="24"/>
          <w:szCs w:val="24"/>
          <w:lang w:eastAsia="ko-KR"/>
        </w:rPr>
        <w:t>,6 млн.</w:t>
      </w:r>
      <w:r w:rsidRPr="00056DFA">
        <w:rPr>
          <w:rFonts w:eastAsia="Batang"/>
          <w:bCs/>
          <w:color w:val="000000"/>
          <w:sz w:val="24"/>
          <w:szCs w:val="24"/>
          <w:lang w:eastAsia="ko-KR"/>
        </w:rPr>
        <w:t xml:space="preserve">лв. </w:t>
      </w:r>
    </w:p>
    <w:p w:rsidR="00940E69" w:rsidRPr="00056DFA" w:rsidRDefault="00940E69" w:rsidP="00940E69">
      <w:pPr>
        <w:numPr>
          <w:ilvl w:val="0"/>
          <w:numId w:val="67"/>
        </w:numPr>
        <w:tabs>
          <w:tab w:val="num" w:pos="0"/>
          <w:tab w:val="left" w:pos="709"/>
        </w:tabs>
        <w:spacing w:before="0" w:after="0"/>
        <w:ind w:left="0" w:right="23" w:firstLine="567"/>
        <w:jc w:val="both"/>
        <w:rPr>
          <w:rFonts w:eastAsia="Batang"/>
          <w:bCs/>
          <w:color w:val="000000"/>
          <w:sz w:val="24"/>
          <w:szCs w:val="24"/>
          <w:lang w:eastAsia="ko-KR"/>
        </w:rPr>
      </w:pPr>
      <w:r w:rsidRPr="00056DFA">
        <w:rPr>
          <w:sz w:val="24"/>
          <w:szCs w:val="24"/>
          <w:lang w:eastAsia="en-US"/>
        </w:rPr>
        <w:t>Е</w:t>
      </w:r>
      <w:r w:rsidRPr="00056DFA">
        <w:rPr>
          <w:rFonts w:eastAsia="Batang"/>
          <w:color w:val="000000"/>
          <w:sz w:val="24"/>
          <w:szCs w:val="24"/>
          <w:lang w:eastAsia="ko-KR"/>
        </w:rPr>
        <w:t>днократна помощ за безплатно пътуване веднъж в годината с железопътния и автобусния транспорт в страната за многодетни майки</w:t>
      </w:r>
      <w:r w:rsidRPr="00056DFA">
        <w:rPr>
          <w:rFonts w:eastAsia="Batang"/>
          <w:bCs/>
          <w:color w:val="000000"/>
          <w:sz w:val="24"/>
          <w:szCs w:val="24"/>
          <w:lang w:eastAsia="ko-KR"/>
        </w:rPr>
        <w:t xml:space="preserve">. През отчетния период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подпомогнати 8 897 лица, като изплатената сума е </w:t>
      </w:r>
      <w:r w:rsidR="00801952">
        <w:rPr>
          <w:rFonts w:eastAsia="Batang"/>
          <w:bCs/>
          <w:color w:val="000000"/>
          <w:sz w:val="24"/>
          <w:szCs w:val="24"/>
          <w:lang w:eastAsia="ko-KR"/>
        </w:rPr>
        <w:t>0,5 млн.</w:t>
      </w:r>
      <w:r w:rsidRPr="00056DFA">
        <w:rPr>
          <w:rFonts w:eastAsia="Batang"/>
          <w:bCs/>
          <w:color w:val="000000"/>
          <w:sz w:val="24"/>
          <w:szCs w:val="24"/>
          <w:lang w:eastAsia="ko-KR"/>
        </w:rPr>
        <w:t xml:space="preserve">лв. </w:t>
      </w:r>
    </w:p>
    <w:p w:rsidR="00940E69" w:rsidRPr="00801952" w:rsidRDefault="00801952" w:rsidP="00801952">
      <w:pPr>
        <w:numPr>
          <w:ilvl w:val="0"/>
          <w:numId w:val="67"/>
        </w:numPr>
        <w:tabs>
          <w:tab w:val="num" w:pos="0"/>
          <w:tab w:val="left" w:pos="709"/>
        </w:tabs>
        <w:spacing w:before="0" w:after="0"/>
        <w:ind w:left="0" w:right="23" w:firstLine="567"/>
        <w:jc w:val="both"/>
        <w:rPr>
          <w:rFonts w:eastAsia="Batang"/>
          <w:bCs/>
          <w:color w:val="000000"/>
          <w:sz w:val="24"/>
          <w:szCs w:val="24"/>
          <w:lang w:eastAsia="ko-KR"/>
        </w:rPr>
      </w:pPr>
      <w:r w:rsidRPr="00056DFA">
        <w:rPr>
          <w:rFonts w:eastAsia="Batang"/>
          <w:bCs/>
          <w:color w:val="000000"/>
          <w:sz w:val="24"/>
          <w:szCs w:val="24"/>
          <w:lang w:eastAsia="ko-KR"/>
        </w:rPr>
        <w:lastRenderedPageBreak/>
        <w:t xml:space="preserve">Месечни помощи за отглеждане на дете до навършване на една година. За отчетния период януари – декември 2017 г. с месечни помощи за отглеждане на дете до навършване на 1 година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подпомогнати 15 083 майки,</w:t>
      </w:r>
      <w:r w:rsidRPr="00056DFA">
        <w:rPr>
          <w:bCs/>
          <w:color w:val="000000"/>
          <w:sz w:val="24"/>
          <w:szCs w:val="24"/>
        </w:rPr>
        <w:t xml:space="preserve"> </w:t>
      </w:r>
      <w:r w:rsidRPr="00056DFA">
        <w:rPr>
          <w:rFonts w:eastAsia="Batang"/>
          <w:bCs/>
          <w:color w:val="000000"/>
          <w:sz w:val="24"/>
          <w:szCs w:val="24"/>
          <w:lang w:eastAsia="ko-KR"/>
        </w:rPr>
        <w:t xml:space="preserve">от които 1 720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получили помощта си в натура. Изплатената сума е 18</w:t>
      </w:r>
      <w:r>
        <w:rPr>
          <w:rFonts w:eastAsia="Batang"/>
          <w:bCs/>
          <w:color w:val="000000"/>
          <w:sz w:val="24"/>
          <w:szCs w:val="24"/>
          <w:lang w:eastAsia="ko-KR"/>
        </w:rPr>
        <w:t>,1</w:t>
      </w:r>
      <w:r w:rsidRPr="00056DFA">
        <w:rPr>
          <w:rFonts w:eastAsia="Batang"/>
          <w:bCs/>
          <w:color w:val="000000"/>
          <w:sz w:val="24"/>
          <w:szCs w:val="24"/>
          <w:lang w:eastAsia="ko-KR"/>
        </w:rPr>
        <w:t xml:space="preserve"> </w:t>
      </w:r>
      <w:r>
        <w:rPr>
          <w:rFonts w:eastAsia="Batang"/>
          <w:bCs/>
          <w:color w:val="000000"/>
          <w:sz w:val="24"/>
          <w:szCs w:val="24"/>
          <w:lang w:eastAsia="ko-KR"/>
        </w:rPr>
        <w:t xml:space="preserve"> млн.</w:t>
      </w:r>
      <w:r w:rsidRPr="00056DFA">
        <w:rPr>
          <w:rFonts w:eastAsia="Batang"/>
          <w:bCs/>
          <w:color w:val="000000"/>
          <w:sz w:val="24"/>
          <w:szCs w:val="24"/>
          <w:lang w:eastAsia="ko-KR"/>
        </w:rPr>
        <w:t>лв., от които 16</w:t>
      </w:r>
      <w:r>
        <w:rPr>
          <w:rFonts w:eastAsia="Batang"/>
          <w:bCs/>
          <w:color w:val="000000"/>
          <w:sz w:val="24"/>
          <w:szCs w:val="24"/>
          <w:lang w:eastAsia="ko-KR"/>
        </w:rPr>
        <w:t>,</w:t>
      </w:r>
      <w:r w:rsidRPr="00056DFA">
        <w:rPr>
          <w:rFonts w:eastAsia="Batang"/>
          <w:bCs/>
          <w:color w:val="000000"/>
          <w:sz w:val="24"/>
          <w:szCs w:val="24"/>
          <w:lang w:eastAsia="ko-KR"/>
        </w:rPr>
        <w:t xml:space="preserve">0 </w:t>
      </w:r>
      <w:r>
        <w:rPr>
          <w:rFonts w:eastAsia="Batang"/>
          <w:bCs/>
          <w:color w:val="000000"/>
          <w:sz w:val="24"/>
          <w:szCs w:val="24"/>
          <w:lang w:eastAsia="ko-KR"/>
        </w:rPr>
        <w:t>млн.</w:t>
      </w:r>
      <w:r w:rsidRPr="00056DFA">
        <w:rPr>
          <w:rFonts w:eastAsia="Batang"/>
          <w:bCs/>
          <w:color w:val="000000"/>
          <w:sz w:val="24"/>
          <w:szCs w:val="24"/>
          <w:lang w:eastAsia="ko-KR"/>
        </w:rPr>
        <w:t>лв. в пари и 2</w:t>
      </w:r>
      <w:r>
        <w:rPr>
          <w:rFonts w:eastAsia="Batang"/>
          <w:bCs/>
          <w:color w:val="000000"/>
          <w:sz w:val="24"/>
          <w:szCs w:val="24"/>
          <w:lang w:eastAsia="ko-KR"/>
        </w:rPr>
        <w:t>,1</w:t>
      </w:r>
      <w:r w:rsidRPr="00056DFA">
        <w:rPr>
          <w:rFonts w:eastAsia="Batang"/>
          <w:bCs/>
          <w:color w:val="000000"/>
          <w:sz w:val="24"/>
          <w:szCs w:val="24"/>
          <w:lang w:eastAsia="ko-KR"/>
        </w:rPr>
        <w:t xml:space="preserve"> </w:t>
      </w:r>
      <w:r>
        <w:rPr>
          <w:rFonts w:eastAsia="Batang"/>
          <w:bCs/>
          <w:color w:val="000000"/>
          <w:sz w:val="24"/>
          <w:szCs w:val="24"/>
          <w:lang w:eastAsia="ko-KR"/>
        </w:rPr>
        <w:t>млн.</w:t>
      </w:r>
      <w:r w:rsidRPr="00056DFA">
        <w:rPr>
          <w:rFonts w:eastAsia="Batang"/>
          <w:bCs/>
          <w:color w:val="000000"/>
          <w:sz w:val="24"/>
          <w:szCs w:val="24"/>
          <w:lang w:eastAsia="ko-KR"/>
        </w:rPr>
        <w:t>лв. в натура под формата на ваучери</w:t>
      </w:r>
      <w:r w:rsidR="00940E69" w:rsidRPr="00801952">
        <w:rPr>
          <w:rFonts w:eastAsia="Batang"/>
          <w:bCs/>
          <w:color w:val="000000"/>
          <w:sz w:val="24"/>
          <w:szCs w:val="24"/>
          <w:lang w:eastAsia="ko-KR"/>
        </w:rPr>
        <w:t xml:space="preserve">. </w:t>
      </w:r>
    </w:p>
    <w:p w:rsidR="00940E69" w:rsidRPr="00056DFA" w:rsidRDefault="00940E69" w:rsidP="00940E69">
      <w:pPr>
        <w:numPr>
          <w:ilvl w:val="0"/>
          <w:numId w:val="67"/>
        </w:numPr>
        <w:tabs>
          <w:tab w:val="num" w:pos="0"/>
          <w:tab w:val="num" w:pos="720"/>
        </w:tabs>
        <w:spacing w:before="0" w:after="0"/>
        <w:ind w:left="0" w:right="23" w:firstLine="567"/>
        <w:jc w:val="both"/>
        <w:rPr>
          <w:rFonts w:eastAsia="Batang"/>
          <w:color w:val="000000"/>
          <w:sz w:val="24"/>
          <w:szCs w:val="24"/>
          <w:lang w:eastAsia="ko-KR"/>
        </w:rPr>
      </w:pPr>
      <w:r w:rsidRPr="00056DFA">
        <w:rPr>
          <w:sz w:val="24"/>
          <w:szCs w:val="24"/>
          <w:lang w:eastAsia="en-US"/>
        </w:rPr>
        <w:t>Месечни помощи за отглеждане на дете до завършване на средно образование, но не повече от 20-годишна възраст</w:t>
      </w:r>
      <w:r w:rsidRPr="00056DFA">
        <w:rPr>
          <w:rFonts w:eastAsia="Batang"/>
          <w:bCs/>
          <w:color w:val="000000"/>
          <w:sz w:val="24"/>
          <w:szCs w:val="24"/>
          <w:lang w:eastAsia="ko-KR"/>
        </w:rPr>
        <w:t xml:space="preserve">. През 2017 г. с месечни помощи за деца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подпомогнати 402 481 семейства за 625 060 деца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в т.ч. </w:t>
      </w:r>
      <w:proofErr w:type="spellStart"/>
      <w:r w:rsidRPr="00056DFA">
        <w:rPr>
          <w:rFonts w:eastAsia="Batang"/>
          <w:bCs/>
          <w:i/>
          <w:color w:val="000000"/>
          <w:sz w:val="24"/>
          <w:szCs w:val="24"/>
          <w:lang w:eastAsia="ko-KR"/>
        </w:rPr>
        <w:t>средномесечно</w:t>
      </w:r>
      <w:proofErr w:type="spellEnd"/>
      <w:r w:rsidRPr="00056DFA">
        <w:rPr>
          <w:rFonts w:eastAsia="Batang"/>
          <w:bCs/>
          <w:i/>
          <w:color w:val="000000"/>
          <w:sz w:val="24"/>
          <w:szCs w:val="24"/>
          <w:lang w:eastAsia="ko-KR"/>
        </w:rPr>
        <w:t xml:space="preserve"> </w:t>
      </w:r>
      <w:r w:rsidRPr="00056DFA">
        <w:rPr>
          <w:rFonts w:eastAsia="Batang"/>
          <w:bCs/>
          <w:color w:val="000000"/>
          <w:sz w:val="24"/>
          <w:szCs w:val="24"/>
          <w:lang w:eastAsia="ko-KR"/>
        </w:rPr>
        <w:t>2 542 семейства с 2 830 деца са получили помощта си под формата на ваучери. Изплатената сума за периода е 310</w:t>
      </w:r>
      <w:r w:rsidR="00F318EE">
        <w:rPr>
          <w:rFonts w:eastAsia="Batang"/>
          <w:bCs/>
          <w:color w:val="000000"/>
          <w:sz w:val="24"/>
          <w:szCs w:val="24"/>
          <w:lang w:eastAsia="ko-KR"/>
        </w:rPr>
        <w:t>,7 млн.</w:t>
      </w:r>
      <w:r w:rsidRPr="00056DFA">
        <w:rPr>
          <w:rFonts w:eastAsia="Batang"/>
          <w:bCs/>
          <w:color w:val="000000"/>
          <w:sz w:val="24"/>
          <w:szCs w:val="24"/>
          <w:lang w:eastAsia="ko-KR"/>
        </w:rPr>
        <w:t>лв., от които 309</w:t>
      </w:r>
      <w:r w:rsidR="00F318EE">
        <w:rPr>
          <w:rFonts w:eastAsia="Batang"/>
          <w:bCs/>
          <w:color w:val="000000"/>
          <w:sz w:val="24"/>
          <w:szCs w:val="24"/>
          <w:lang w:eastAsia="ko-KR"/>
        </w:rPr>
        <w:t>,</w:t>
      </w:r>
      <w:r w:rsidRPr="00056DFA">
        <w:rPr>
          <w:rFonts w:eastAsia="Batang"/>
          <w:bCs/>
          <w:color w:val="000000"/>
          <w:sz w:val="24"/>
          <w:szCs w:val="24"/>
          <w:lang w:eastAsia="ko-KR"/>
        </w:rPr>
        <w:t>3</w:t>
      </w:r>
      <w:r w:rsidR="00F318EE">
        <w:rPr>
          <w:rFonts w:eastAsia="Batang"/>
          <w:bCs/>
          <w:color w:val="000000"/>
          <w:sz w:val="24"/>
          <w:szCs w:val="24"/>
          <w:lang w:eastAsia="ko-KR"/>
        </w:rPr>
        <w:t xml:space="preserve"> млн.</w:t>
      </w:r>
      <w:r w:rsidRPr="00056DFA">
        <w:rPr>
          <w:rFonts w:eastAsia="Batang"/>
          <w:bCs/>
          <w:color w:val="000000"/>
          <w:sz w:val="24"/>
          <w:szCs w:val="24"/>
          <w:lang w:eastAsia="ko-KR"/>
        </w:rPr>
        <w:t>лв. в пари и 1</w:t>
      </w:r>
      <w:r w:rsidR="00F318EE">
        <w:rPr>
          <w:rFonts w:eastAsia="Batang"/>
          <w:bCs/>
          <w:color w:val="000000"/>
          <w:sz w:val="24"/>
          <w:szCs w:val="24"/>
          <w:lang w:eastAsia="ko-KR"/>
        </w:rPr>
        <w:t>,</w:t>
      </w:r>
      <w:r w:rsidRPr="00056DFA">
        <w:rPr>
          <w:rFonts w:eastAsia="Batang"/>
          <w:bCs/>
          <w:color w:val="000000"/>
          <w:sz w:val="24"/>
          <w:szCs w:val="24"/>
          <w:lang w:eastAsia="ko-KR"/>
        </w:rPr>
        <w:t>3</w:t>
      </w:r>
      <w:r w:rsidR="00F318EE">
        <w:rPr>
          <w:rFonts w:eastAsia="Batang"/>
          <w:bCs/>
          <w:color w:val="000000"/>
          <w:sz w:val="24"/>
          <w:szCs w:val="24"/>
          <w:lang w:eastAsia="ko-KR"/>
        </w:rPr>
        <w:t xml:space="preserve"> млн.</w:t>
      </w:r>
      <w:r w:rsidRPr="00056DFA">
        <w:rPr>
          <w:rFonts w:eastAsia="Batang"/>
          <w:bCs/>
          <w:color w:val="000000"/>
          <w:sz w:val="24"/>
          <w:szCs w:val="24"/>
          <w:lang w:eastAsia="ko-KR"/>
        </w:rPr>
        <w:t xml:space="preserve">лв. под формата на ваучери. </w:t>
      </w:r>
    </w:p>
    <w:p w:rsidR="00940E69" w:rsidRPr="00056DFA" w:rsidRDefault="00940E69" w:rsidP="00940E69">
      <w:pPr>
        <w:numPr>
          <w:ilvl w:val="0"/>
          <w:numId w:val="67"/>
        </w:numPr>
        <w:tabs>
          <w:tab w:val="num" w:pos="0"/>
          <w:tab w:val="num" w:pos="720"/>
        </w:tabs>
        <w:spacing w:before="0" w:after="0"/>
        <w:ind w:left="0" w:right="23" w:firstLine="567"/>
        <w:jc w:val="both"/>
        <w:rPr>
          <w:sz w:val="24"/>
          <w:szCs w:val="24"/>
        </w:rPr>
      </w:pPr>
      <w:r w:rsidRPr="00056DFA">
        <w:rPr>
          <w:rFonts w:eastAsia="Batang"/>
          <w:color w:val="000000"/>
          <w:sz w:val="24"/>
          <w:szCs w:val="24"/>
          <w:lang w:eastAsia="ko-KR"/>
        </w:rPr>
        <w:t>Месечни помощи за отглеждане на дете с трайно увреждане – в сила от 01.</w:t>
      </w:r>
      <w:proofErr w:type="spellStart"/>
      <w:r w:rsidRPr="00056DFA">
        <w:rPr>
          <w:rFonts w:eastAsia="Batang"/>
          <w:color w:val="000000"/>
          <w:sz w:val="24"/>
          <w:szCs w:val="24"/>
          <w:lang w:eastAsia="ko-KR"/>
        </w:rPr>
        <w:t>01</w:t>
      </w:r>
      <w:proofErr w:type="spellEnd"/>
      <w:r w:rsidRPr="00056DFA">
        <w:rPr>
          <w:rFonts w:eastAsia="Batang"/>
          <w:color w:val="000000"/>
          <w:sz w:val="24"/>
          <w:szCs w:val="24"/>
          <w:lang w:eastAsia="ko-KR"/>
        </w:rPr>
        <w:t xml:space="preserve">.2017 г. </w:t>
      </w:r>
      <w:r w:rsidRPr="00056DFA">
        <w:rPr>
          <w:rFonts w:eastAsia="Batang"/>
          <w:bCs/>
          <w:color w:val="000000"/>
          <w:sz w:val="24"/>
          <w:szCs w:val="24"/>
          <w:lang w:eastAsia="ko-KR"/>
        </w:rPr>
        <w:t xml:space="preserve">За 2017 г.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са изплатени м</w:t>
      </w:r>
      <w:r w:rsidRPr="00056DFA">
        <w:rPr>
          <w:rFonts w:eastAsia="Batang"/>
          <w:color w:val="000000"/>
          <w:sz w:val="24"/>
          <w:szCs w:val="24"/>
          <w:lang w:eastAsia="ko-KR"/>
        </w:rPr>
        <w:t xml:space="preserve">есечни помощи за дете с трайно увреждане на </w:t>
      </w:r>
      <w:r w:rsidRPr="00056DFA">
        <w:rPr>
          <w:rFonts w:eastAsia="Batang"/>
          <w:bCs/>
          <w:color w:val="000000"/>
          <w:sz w:val="24"/>
          <w:szCs w:val="24"/>
          <w:lang w:eastAsia="ko-KR"/>
        </w:rPr>
        <w:t xml:space="preserve">26 266 </w:t>
      </w:r>
      <w:r w:rsidRPr="00056DFA">
        <w:rPr>
          <w:rFonts w:eastAsia="Batang"/>
          <w:color w:val="000000"/>
          <w:sz w:val="24"/>
          <w:szCs w:val="24"/>
          <w:lang w:eastAsia="ko-KR"/>
        </w:rPr>
        <w:t xml:space="preserve">деца. </w:t>
      </w:r>
      <w:r w:rsidRPr="00056DFA">
        <w:rPr>
          <w:rFonts w:eastAsia="Batang"/>
          <w:bCs/>
          <w:color w:val="000000"/>
          <w:sz w:val="24"/>
          <w:szCs w:val="24"/>
          <w:lang w:eastAsia="ko-KR"/>
        </w:rPr>
        <w:t>Изплатената сума е в размер на 161</w:t>
      </w:r>
      <w:r w:rsidR="00F318EE">
        <w:rPr>
          <w:rFonts w:eastAsia="Batang"/>
          <w:bCs/>
          <w:color w:val="000000"/>
          <w:sz w:val="24"/>
          <w:szCs w:val="24"/>
          <w:lang w:eastAsia="ko-KR"/>
        </w:rPr>
        <w:t>,</w:t>
      </w:r>
      <w:r w:rsidRPr="00056DFA">
        <w:rPr>
          <w:rFonts w:eastAsia="Batang"/>
          <w:bCs/>
          <w:color w:val="000000"/>
          <w:sz w:val="24"/>
          <w:szCs w:val="24"/>
          <w:lang w:eastAsia="ko-KR"/>
        </w:rPr>
        <w:t>5</w:t>
      </w:r>
      <w:r w:rsidR="00F318EE">
        <w:rPr>
          <w:rFonts w:eastAsia="Batang"/>
          <w:bCs/>
          <w:color w:val="000000"/>
          <w:sz w:val="24"/>
          <w:szCs w:val="24"/>
          <w:lang w:eastAsia="ko-KR"/>
        </w:rPr>
        <w:t xml:space="preserve"> млн.</w:t>
      </w:r>
      <w:r w:rsidRPr="00056DFA">
        <w:rPr>
          <w:rFonts w:eastAsia="Batang"/>
          <w:bCs/>
          <w:color w:val="000000"/>
          <w:sz w:val="24"/>
          <w:szCs w:val="24"/>
          <w:lang w:eastAsia="ko-KR"/>
        </w:rPr>
        <w:t xml:space="preserve">лв. За 2016 г., когато по стария ред на чл. 8д от ЗСПД се предоставяха месечни добавки за деца с трайни увреждания, са подпомогнати </w:t>
      </w:r>
      <w:proofErr w:type="spellStart"/>
      <w:r w:rsidRPr="00056DFA">
        <w:rPr>
          <w:rFonts w:eastAsia="Batang"/>
          <w:bCs/>
          <w:color w:val="000000"/>
          <w:sz w:val="24"/>
          <w:szCs w:val="24"/>
          <w:lang w:eastAsia="ko-KR"/>
        </w:rPr>
        <w:t>средномесечно</w:t>
      </w:r>
      <w:proofErr w:type="spellEnd"/>
      <w:r w:rsidRPr="00056DFA">
        <w:rPr>
          <w:rFonts w:eastAsia="Batang"/>
          <w:bCs/>
          <w:color w:val="000000"/>
          <w:sz w:val="24"/>
          <w:szCs w:val="24"/>
          <w:lang w:eastAsia="ko-KR"/>
        </w:rPr>
        <w:t xml:space="preserve"> 26 092 деца, за сумата от 85</w:t>
      </w:r>
      <w:r w:rsidR="00F318EE">
        <w:rPr>
          <w:rFonts w:eastAsia="Batang"/>
          <w:bCs/>
          <w:color w:val="000000"/>
          <w:sz w:val="24"/>
          <w:szCs w:val="24"/>
          <w:lang w:eastAsia="ko-KR"/>
        </w:rPr>
        <w:t>,5 млн.</w:t>
      </w:r>
      <w:r w:rsidRPr="00056DFA">
        <w:rPr>
          <w:rFonts w:eastAsia="Batang"/>
          <w:bCs/>
          <w:color w:val="000000"/>
          <w:sz w:val="24"/>
          <w:szCs w:val="24"/>
          <w:lang w:eastAsia="ko-KR"/>
        </w:rPr>
        <w:t>лв.</w:t>
      </w:r>
    </w:p>
    <w:p w:rsidR="00940E69" w:rsidRPr="00056DFA" w:rsidRDefault="00940E69" w:rsidP="00940E69">
      <w:pPr>
        <w:spacing w:before="0" w:after="0"/>
        <w:ind w:right="23"/>
        <w:jc w:val="both"/>
        <w:rPr>
          <w:sz w:val="24"/>
          <w:szCs w:val="24"/>
        </w:rPr>
      </w:pPr>
      <w:r w:rsidRPr="00056DFA">
        <w:rPr>
          <w:sz w:val="24"/>
          <w:szCs w:val="24"/>
        </w:rPr>
        <w:t xml:space="preserve">Изразходваните за отчетния период средства по </w:t>
      </w:r>
      <w:r w:rsidRPr="00056DFA">
        <w:rPr>
          <w:bCs/>
          <w:sz w:val="24"/>
          <w:szCs w:val="24"/>
        </w:rPr>
        <w:t>Програма „Подпомагане на семейства с деца”</w:t>
      </w:r>
      <w:r w:rsidRPr="00056DFA">
        <w:rPr>
          <w:sz w:val="24"/>
          <w:szCs w:val="24"/>
        </w:rPr>
        <w:t xml:space="preserve"> са в размер на </w:t>
      </w:r>
      <w:r w:rsidRPr="00056DFA">
        <w:rPr>
          <w:bCs/>
          <w:sz w:val="24"/>
          <w:szCs w:val="24"/>
        </w:rPr>
        <w:t>531</w:t>
      </w:r>
      <w:r w:rsidR="00F947B4">
        <w:rPr>
          <w:bCs/>
          <w:sz w:val="24"/>
          <w:szCs w:val="24"/>
        </w:rPr>
        <w:t>,</w:t>
      </w:r>
      <w:r w:rsidRPr="00056DFA">
        <w:rPr>
          <w:bCs/>
          <w:sz w:val="24"/>
          <w:szCs w:val="24"/>
        </w:rPr>
        <w:t>9</w:t>
      </w:r>
      <w:r w:rsidR="00F947B4">
        <w:rPr>
          <w:bCs/>
          <w:sz w:val="24"/>
          <w:szCs w:val="24"/>
        </w:rPr>
        <w:t xml:space="preserve"> млн.</w:t>
      </w:r>
      <w:r w:rsidRPr="00056DFA">
        <w:rPr>
          <w:sz w:val="24"/>
          <w:szCs w:val="24"/>
        </w:rPr>
        <w:t>лв., което представлява 93,5% от бюджета, предвиден за изплащане на помощи по тази програма.</w:t>
      </w:r>
    </w:p>
    <w:p w:rsidR="00940E69" w:rsidRPr="00056DFA" w:rsidRDefault="00940E69" w:rsidP="00940E69">
      <w:pPr>
        <w:spacing w:before="0" w:after="0"/>
        <w:jc w:val="both"/>
        <w:rPr>
          <w:rFonts w:eastAsia="Batang"/>
          <w:b/>
          <w:bCs/>
          <w:iCs/>
          <w:sz w:val="24"/>
          <w:szCs w:val="24"/>
          <w:lang w:eastAsia="ko-KR"/>
        </w:rPr>
      </w:pPr>
      <w:r w:rsidRPr="00056DFA">
        <w:rPr>
          <w:rFonts w:eastAsia="Batang"/>
          <w:b/>
          <w:bCs/>
          <w:iCs/>
          <w:sz w:val="24"/>
          <w:szCs w:val="24"/>
          <w:lang w:eastAsia="ko-KR"/>
        </w:rPr>
        <w:t>Политика в областта на жизненото равнище, доходите и демографското  развитие</w:t>
      </w:r>
    </w:p>
    <w:p w:rsidR="00940E69" w:rsidRPr="00056DFA" w:rsidRDefault="00940E69" w:rsidP="00940E69">
      <w:pPr>
        <w:spacing w:before="0" w:after="0"/>
        <w:rPr>
          <w:rFonts w:eastAsia="Batang"/>
          <w:b/>
          <w:bCs/>
          <w:color w:val="000000"/>
          <w:sz w:val="24"/>
          <w:szCs w:val="24"/>
          <w:lang w:eastAsia="ko-KR"/>
        </w:rPr>
      </w:pPr>
      <w:r w:rsidRPr="00056DFA">
        <w:rPr>
          <w:rFonts w:eastAsia="Batang"/>
          <w:b/>
          <w:bCs/>
          <w:color w:val="000000"/>
          <w:sz w:val="24"/>
          <w:szCs w:val="24"/>
          <w:lang w:eastAsia="ko-KR"/>
        </w:rPr>
        <w:t>Бюджетна програма „Доходи от труд и жизнено равнище“</w:t>
      </w:r>
    </w:p>
    <w:p w:rsidR="00940E69" w:rsidRPr="00056DFA" w:rsidRDefault="00940E69" w:rsidP="00940E69">
      <w:pPr>
        <w:spacing w:before="0" w:after="0"/>
        <w:jc w:val="both"/>
        <w:rPr>
          <w:rFonts w:eastAsia="Batang"/>
          <w:b/>
          <w:bCs/>
          <w:sz w:val="24"/>
          <w:szCs w:val="24"/>
          <w:lang w:eastAsia="ko-KR"/>
        </w:rPr>
      </w:pPr>
      <w:bookmarkStart w:id="8" w:name="_Toc300323054"/>
      <w:r w:rsidRPr="00056DFA">
        <w:rPr>
          <w:rFonts w:eastAsia="Batang"/>
          <w:b/>
          <w:bCs/>
          <w:sz w:val="24"/>
          <w:szCs w:val="24"/>
          <w:lang w:eastAsia="ko-KR"/>
        </w:rPr>
        <w:t>Бюджетна програма „Инструменти за социална сигурност, социална икономика“</w:t>
      </w:r>
    </w:p>
    <w:p w:rsidR="00940E69" w:rsidRPr="00056DFA" w:rsidRDefault="00940E69" w:rsidP="00940E69">
      <w:pPr>
        <w:spacing w:before="0" w:after="0"/>
        <w:jc w:val="both"/>
        <w:rPr>
          <w:rFonts w:eastAsia="Batang"/>
          <w:bCs/>
          <w:color w:val="000000"/>
          <w:sz w:val="24"/>
          <w:szCs w:val="24"/>
          <w:lang w:eastAsia="ko-KR"/>
        </w:rPr>
      </w:pPr>
      <w:bookmarkStart w:id="9" w:name="_Toc300127675"/>
      <w:bookmarkEnd w:id="8"/>
      <w:r w:rsidRPr="00056DFA">
        <w:rPr>
          <w:rFonts w:eastAsia="Batang"/>
          <w:bCs/>
          <w:color w:val="000000"/>
          <w:sz w:val="24"/>
          <w:szCs w:val="24"/>
          <w:lang w:eastAsia="ko-KR"/>
        </w:rPr>
        <w:t xml:space="preserve">В областта на социалната сигурност програмата следва изпълнението на заложените цели и приоритети - намаляване риска от бедност, гарантиране на минимални стандарти за </w:t>
      </w:r>
      <w:proofErr w:type="spellStart"/>
      <w:r w:rsidRPr="00056DFA">
        <w:rPr>
          <w:rFonts w:eastAsia="Batang"/>
          <w:bCs/>
          <w:color w:val="000000"/>
          <w:sz w:val="24"/>
          <w:szCs w:val="24"/>
          <w:lang w:eastAsia="ko-KR"/>
        </w:rPr>
        <w:t>нискодоходните</w:t>
      </w:r>
      <w:proofErr w:type="spellEnd"/>
      <w:r w:rsidRPr="00056DFA">
        <w:rPr>
          <w:rFonts w:eastAsia="Batang"/>
          <w:bCs/>
          <w:color w:val="000000"/>
          <w:sz w:val="24"/>
          <w:szCs w:val="24"/>
          <w:lang w:eastAsia="ko-KR"/>
        </w:rPr>
        <w:t xml:space="preserve"> групи – за приемлив жизнен стандарт, при отчитане на възможностите на бюджета.</w:t>
      </w:r>
    </w:p>
    <w:p w:rsidR="00940E69" w:rsidRPr="00056DFA" w:rsidRDefault="00940E69" w:rsidP="00940E69">
      <w:pPr>
        <w:spacing w:before="0" w:after="0"/>
        <w:jc w:val="both"/>
        <w:rPr>
          <w:rFonts w:eastAsia="Batang"/>
          <w:bCs/>
          <w:color w:val="000000"/>
          <w:sz w:val="24"/>
          <w:szCs w:val="24"/>
          <w:lang w:eastAsia="ko-KR"/>
        </w:rPr>
      </w:pPr>
      <w:r w:rsidRPr="00056DFA">
        <w:rPr>
          <w:rFonts w:eastAsia="Batang"/>
          <w:b/>
          <w:bCs/>
          <w:color w:val="000000"/>
          <w:sz w:val="24"/>
          <w:szCs w:val="24"/>
          <w:lang w:eastAsia="ko-KR"/>
        </w:rPr>
        <w:t>Бюджетна програма „Демографско развитие на населението“</w:t>
      </w:r>
    </w:p>
    <w:bookmarkEnd w:id="9"/>
    <w:p w:rsidR="00940E69" w:rsidRPr="00056DFA" w:rsidRDefault="00940E69" w:rsidP="00940E69">
      <w:pPr>
        <w:spacing w:before="0" w:after="0"/>
        <w:jc w:val="both"/>
        <w:rPr>
          <w:rFonts w:eastAsia="Batang"/>
          <w:bCs/>
          <w:color w:val="000000"/>
          <w:sz w:val="24"/>
          <w:szCs w:val="24"/>
          <w:lang w:eastAsia="ko-KR"/>
        </w:rPr>
      </w:pPr>
      <w:r w:rsidRPr="00056DFA">
        <w:rPr>
          <w:rFonts w:eastAsia="Batang"/>
          <w:bCs/>
          <w:color w:val="000000"/>
          <w:sz w:val="24"/>
          <w:szCs w:val="24"/>
          <w:lang w:eastAsia="ko-KR"/>
        </w:rPr>
        <w:t xml:space="preserve">По програмата се реализират приоритетите на държавната политика в областта на демографското развитие според Актуализираната Национална стратегия за демографско развитие на населението в Република България (2012 – 2030 г.), в която са формулирани приоритетните направления и задачи в областта на демографската политика, насочени към забавяне темповете на намаляване на броя на населението с тенденция за стабилизирането му в дългосрочен план и осигуряване на високо качество на човешкия капитал, включващ хората с тяхното здравословно състояние, образованост, квалификация, способности и умения. </w:t>
      </w:r>
    </w:p>
    <w:p w:rsidR="00940E69" w:rsidRPr="00056DFA" w:rsidRDefault="00940E69" w:rsidP="00940E69">
      <w:pPr>
        <w:spacing w:before="0" w:after="0"/>
        <w:jc w:val="both"/>
        <w:rPr>
          <w:b/>
          <w:bCs/>
          <w:iCs/>
          <w:sz w:val="24"/>
          <w:szCs w:val="24"/>
          <w:lang w:eastAsia="en-US"/>
        </w:rPr>
      </w:pPr>
      <w:r w:rsidRPr="00056DFA">
        <w:rPr>
          <w:b/>
          <w:bCs/>
          <w:iCs/>
          <w:sz w:val="24"/>
          <w:szCs w:val="24"/>
          <w:lang w:eastAsia="en-US"/>
        </w:rPr>
        <w:t>Политика в областта на свободното движение, миграцията и интеграцията</w:t>
      </w:r>
    </w:p>
    <w:p w:rsidR="00940E69" w:rsidRPr="00056DFA" w:rsidRDefault="00940E69" w:rsidP="00940E69">
      <w:pPr>
        <w:suppressAutoHyphens/>
        <w:autoSpaceDN w:val="0"/>
        <w:spacing w:before="0" w:after="0"/>
        <w:jc w:val="both"/>
        <w:textAlignment w:val="baseline"/>
        <w:rPr>
          <w:rFonts w:eastAsia="Calibri"/>
          <w:b/>
          <w:bCs/>
          <w:sz w:val="24"/>
          <w:szCs w:val="24"/>
          <w:lang w:eastAsia="en-US"/>
        </w:rPr>
      </w:pPr>
      <w:r w:rsidRPr="00056DFA">
        <w:rPr>
          <w:rFonts w:eastAsia="Calibri"/>
          <w:sz w:val="24"/>
          <w:szCs w:val="24"/>
          <w:lang w:eastAsia="en-US"/>
        </w:rPr>
        <w:t xml:space="preserve">Дейността на МТСП в областта на свободно движение на работници е в изпълнение на достиженията на европейското законодателство в тази област.  </w:t>
      </w:r>
    </w:p>
    <w:p w:rsidR="00940E69" w:rsidRPr="00056DFA" w:rsidRDefault="00940E69" w:rsidP="00940E69">
      <w:pPr>
        <w:suppressAutoHyphens/>
        <w:autoSpaceDN w:val="0"/>
        <w:spacing w:before="0" w:after="0"/>
        <w:jc w:val="both"/>
        <w:textAlignment w:val="baseline"/>
        <w:rPr>
          <w:b/>
          <w:iCs/>
          <w:sz w:val="24"/>
          <w:szCs w:val="24"/>
          <w:lang w:eastAsia="en-US"/>
        </w:rPr>
      </w:pPr>
      <w:r w:rsidRPr="00056DFA">
        <w:rPr>
          <w:iCs/>
          <w:sz w:val="24"/>
          <w:szCs w:val="24"/>
          <w:lang w:eastAsia="en-US"/>
        </w:rPr>
        <w:t>По програма „Свободно движение на работници, миграция и интеграция” се реализират приоритетите на държавната политика в областта на реализирането на правото на свободно движение на работници, както и в областта на трудовата миграция и интеграцията на имигранти – граждани на трети държави.</w:t>
      </w:r>
    </w:p>
    <w:p w:rsidR="00940E69" w:rsidRPr="00056DFA" w:rsidRDefault="00940E69" w:rsidP="00940E69">
      <w:pPr>
        <w:spacing w:before="0" w:after="0"/>
        <w:jc w:val="both"/>
        <w:rPr>
          <w:sz w:val="24"/>
          <w:szCs w:val="24"/>
        </w:rPr>
      </w:pPr>
      <w:r w:rsidRPr="00056DFA">
        <w:rPr>
          <w:b/>
          <w:sz w:val="24"/>
          <w:szCs w:val="24"/>
        </w:rPr>
        <w:t>Програма „Администрация“</w:t>
      </w:r>
      <w:r w:rsidRPr="00056DFA">
        <w:rPr>
          <w:sz w:val="24"/>
          <w:szCs w:val="24"/>
        </w:rPr>
        <w:t xml:space="preserve"> има за цел повишаване ефективността на институциите на пазара на труда, социалните и здравни услуги. Сред целите на програма „Администрация” стои и постигането на максимално ефективно и ефикасно използване на средствата по ОП РЧР. Друга цел на програмата е осъществяването на ефективен контрол върху изпълнението на договорите, сключени по Програма ФАР.</w:t>
      </w:r>
    </w:p>
    <w:p w:rsidR="00940E69" w:rsidRPr="00056DFA" w:rsidRDefault="00940E69" w:rsidP="00940E69">
      <w:pPr>
        <w:tabs>
          <w:tab w:val="left" w:pos="720"/>
        </w:tabs>
        <w:spacing w:before="0"/>
        <w:jc w:val="both"/>
        <w:rPr>
          <w:b/>
          <w:sz w:val="24"/>
          <w:szCs w:val="24"/>
          <w:lang w:eastAsia="en-US"/>
        </w:rPr>
      </w:pPr>
      <w:r w:rsidRPr="00056DFA">
        <w:rPr>
          <w:b/>
          <w:sz w:val="24"/>
          <w:szCs w:val="24"/>
          <w:lang w:eastAsia="en-US"/>
        </w:rPr>
        <w:lastRenderedPageBreak/>
        <w:t>ОПЕРАТИВНА ПРОГРАМА “РАЗВИТИЕ НА ЧОВЕШКИТЕ РЕСУРСИ 2014-2020г.“</w:t>
      </w:r>
    </w:p>
    <w:p w:rsidR="00940E69" w:rsidRPr="00056DFA" w:rsidRDefault="00940E69" w:rsidP="00940E69">
      <w:pPr>
        <w:spacing w:before="0" w:after="0"/>
        <w:jc w:val="both"/>
        <w:rPr>
          <w:sz w:val="24"/>
          <w:szCs w:val="24"/>
          <w:lang w:eastAsia="en-US"/>
        </w:rPr>
      </w:pPr>
      <w:r w:rsidRPr="00056DFA">
        <w:rPr>
          <w:sz w:val="24"/>
          <w:szCs w:val="24"/>
          <w:lang w:eastAsia="en-US"/>
        </w:rPr>
        <w:t xml:space="preserve">Оперативна програма </w:t>
      </w:r>
      <w:r w:rsidRPr="00056DFA">
        <w:rPr>
          <w:b/>
          <w:bCs/>
          <w:sz w:val="24"/>
          <w:szCs w:val="24"/>
          <w:lang w:eastAsia="en-US"/>
        </w:rPr>
        <w:t>“Развитие на човешките ресурси” 2014-2020 г.</w:t>
      </w:r>
      <w:r w:rsidRPr="00056DFA">
        <w:rPr>
          <w:sz w:val="24"/>
          <w:szCs w:val="24"/>
          <w:lang w:eastAsia="en-US"/>
        </w:rPr>
        <w:t xml:space="preserve">, </w:t>
      </w:r>
      <w:proofErr w:type="spellStart"/>
      <w:r w:rsidRPr="00056DFA">
        <w:rPr>
          <w:sz w:val="24"/>
          <w:szCs w:val="24"/>
          <w:lang w:eastAsia="en-US"/>
        </w:rPr>
        <w:t>съфинансирана</w:t>
      </w:r>
      <w:proofErr w:type="spellEnd"/>
      <w:r w:rsidRPr="00056DFA">
        <w:rPr>
          <w:sz w:val="24"/>
          <w:szCs w:val="24"/>
          <w:lang w:eastAsia="en-US"/>
        </w:rPr>
        <w:t xml:space="preserve"> от Европейския социален фонд и Инициативата за младежка заетост, бе одобрена от Европейската комисия на 27 ноември 2014 г.</w:t>
      </w:r>
      <w:r w:rsidRPr="00056DFA">
        <w:rPr>
          <w:sz w:val="24"/>
          <w:szCs w:val="24"/>
        </w:rPr>
        <w:t xml:space="preserve"> </w:t>
      </w:r>
      <w:r w:rsidRPr="00056DFA">
        <w:rPr>
          <w:sz w:val="24"/>
          <w:szCs w:val="24"/>
          <w:lang w:eastAsia="en-US"/>
        </w:rPr>
        <w:t xml:space="preserve">ОП РЧР 2014-2020 г. запазва силната си </w:t>
      </w:r>
      <w:proofErr w:type="spellStart"/>
      <w:r w:rsidRPr="00056DFA">
        <w:rPr>
          <w:sz w:val="24"/>
          <w:szCs w:val="24"/>
          <w:lang w:eastAsia="en-US"/>
        </w:rPr>
        <w:t>приоритизация</w:t>
      </w:r>
      <w:proofErr w:type="spellEnd"/>
      <w:r w:rsidRPr="00056DFA">
        <w:rPr>
          <w:sz w:val="24"/>
          <w:szCs w:val="24"/>
          <w:lang w:eastAsia="en-US"/>
        </w:rPr>
        <w:t xml:space="preserve"> и поставя фокус върху ограничен набор от важни проблеми за политиките в областта на заетостта и социалното включване. Това, на първо място, е борбата с безработицата сред уязвимите групи на пазара на труда, с особен акцент върху младежите, продължително безработните и по-възрастните хора. На следващо място, приоритет на програмата е повишаването на адекватността на уменията на заетите лица спрямо актуалните нужди на бизнеса. Програмата ще допринесе за намаляване на бедността и насърчаване на социалното включване, насочвайки усилия към социално-икономическата интеграция на </w:t>
      </w:r>
      <w:proofErr w:type="spellStart"/>
      <w:r w:rsidRPr="00056DFA">
        <w:rPr>
          <w:sz w:val="24"/>
          <w:szCs w:val="24"/>
          <w:lang w:eastAsia="en-US"/>
        </w:rPr>
        <w:t>най-маргинализираните</w:t>
      </w:r>
      <w:proofErr w:type="spellEnd"/>
      <w:r w:rsidRPr="00056DFA">
        <w:rPr>
          <w:sz w:val="24"/>
          <w:szCs w:val="24"/>
          <w:lang w:eastAsia="en-US"/>
        </w:rPr>
        <w:t xml:space="preserve"> групи и общности, активното включване на хората най-отдалечени от пазара на труда, интеграцията на хората с увреждания и </w:t>
      </w:r>
      <w:proofErr w:type="spellStart"/>
      <w:r w:rsidRPr="00056DFA">
        <w:rPr>
          <w:sz w:val="24"/>
          <w:szCs w:val="24"/>
          <w:lang w:eastAsia="en-US"/>
        </w:rPr>
        <w:t>деинституционализацията</w:t>
      </w:r>
      <w:proofErr w:type="spellEnd"/>
      <w:r w:rsidRPr="00056DFA">
        <w:rPr>
          <w:sz w:val="24"/>
          <w:szCs w:val="24"/>
          <w:lang w:eastAsia="en-US"/>
        </w:rPr>
        <w:t xml:space="preserve"> на децата и възрастните. Също така, доколкото постигането на тези резултати изисква добре работещи политики и институции, програмата ще осигури подкрепа за действията за модернизиране на публичните политики в сферата на пазара на труда, социалното включване, здравеопазването, недискриминацията и равните възможности.</w:t>
      </w:r>
    </w:p>
    <w:p w:rsidR="00940E69" w:rsidRPr="00056DFA" w:rsidRDefault="00940E69" w:rsidP="00940E69">
      <w:pPr>
        <w:spacing w:before="0" w:after="0"/>
        <w:jc w:val="both"/>
        <w:rPr>
          <w:rFonts w:eastAsia="Calibri"/>
          <w:sz w:val="24"/>
          <w:szCs w:val="24"/>
          <w:lang w:eastAsia="ko-KR"/>
        </w:rPr>
      </w:pPr>
      <w:r w:rsidRPr="00056DFA">
        <w:rPr>
          <w:rFonts w:eastAsia="Calibri"/>
          <w:b/>
          <w:bCs/>
          <w:sz w:val="24"/>
          <w:szCs w:val="24"/>
          <w:lang w:eastAsia="ko-KR"/>
        </w:rPr>
        <w:t>В програма „Администрация” са включени осъществяваните от МТСП чрез дирекция ЕВМС</w:t>
      </w:r>
      <w:r w:rsidRPr="00056DFA">
        <w:rPr>
          <w:rFonts w:eastAsia="Calibri"/>
          <w:sz w:val="24"/>
          <w:szCs w:val="24"/>
          <w:lang w:eastAsia="ko-KR"/>
        </w:rPr>
        <w:t xml:space="preserve"> специализирани дейности по въпросите на Европейския съюз, с акцент на подготовката на първото българско Председателство на Съвета на ЕС (през първото полугодие на 2018 г.), подготовката, съгласуването и защитата на позиции за участие в заседанията на Съвета по заетост и социална политика и неговите подготвителни (Работната група по социални въпроси и </w:t>
      </w:r>
      <w:proofErr w:type="spellStart"/>
      <w:r w:rsidRPr="00056DFA">
        <w:rPr>
          <w:rFonts w:eastAsia="Calibri"/>
          <w:sz w:val="24"/>
          <w:szCs w:val="24"/>
          <w:lang w:eastAsia="ko-KR"/>
        </w:rPr>
        <w:t>Корепер</w:t>
      </w:r>
      <w:proofErr w:type="spellEnd"/>
      <w:r w:rsidRPr="00056DFA">
        <w:rPr>
          <w:rFonts w:eastAsia="Calibri"/>
          <w:sz w:val="24"/>
          <w:szCs w:val="24"/>
          <w:lang w:eastAsia="ko-KR"/>
        </w:rPr>
        <w:t xml:space="preserve">) и консултативни органи, двустранното, регионално и многостранно международно сътрудничество в социално-трудовата сфера, вкл. дейностите от компетентност на МТСП по изпълнение задълженията на България като член на ООН, Международната организация на труда, вкл. подготовка и участие в ръководните органи на МОТ (Международната конференция на труда и Административния съвет на Международното бюро по труда), Съвета на Европа, вкл. подготовка и участие в Правителствения комитет по Европейската социална харта, както и в други международни организации. </w:t>
      </w:r>
    </w:p>
    <w:p w:rsidR="00056DFA" w:rsidRPr="00056DFA" w:rsidRDefault="00056DFA" w:rsidP="00056DFA">
      <w:pPr>
        <w:rPr>
          <w:b/>
          <w:sz w:val="24"/>
          <w:szCs w:val="24"/>
        </w:rPr>
      </w:pPr>
    </w:p>
    <w:p w:rsidR="00056DFA" w:rsidRPr="00056DFA" w:rsidRDefault="00056DFA" w:rsidP="00056DFA">
      <w:pPr>
        <w:rPr>
          <w:b/>
          <w:sz w:val="24"/>
          <w:szCs w:val="24"/>
        </w:rPr>
      </w:pPr>
    </w:p>
    <w:p w:rsidR="00940E69" w:rsidRPr="00A83F49" w:rsidRDefault="00940E69" w:rsidP="00940E69">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10" w:name="_Toc523492630"/>
      <w:r w:rsidRPr="00A83F49">
        <w:rPr>
          <w:rFonts w:ascii="Times New Roman" w:eastAsia="Batang" w:hAnsi="Times New Roman" w:cs="Times New Roman"/>
          <w:b/>
          <w:bCs/>
          <w:caps/>
          <w:lang w:val="bg-BG" w:eastAsia="ko-KR"/>
        </w:rPr>
        <w:t>Министерство на здравеопазването</w:t>
      </w:r>
      <w:bookmarkEnd w:id="10"/>
    </w:p>
    <w:p w:rsidR="00940E69" w:rsidRPr="00BF123C" w:rsidRDefault="00940E69" w:rsidP="00940E69">
      <w:pPr>
        <w:widowControl w:val="0"/>
        <w:spacing w:before="0" w:after="0"/>
        <w:jc w:val="both"/>
        <w:rPr>
          <w:b/>
          <w:smallCaps/>
          <w:sz w:val="24"/>
          <w:szCs w:val="24"/>
          <w14:shadow w14:blurRad="50800" w14:dist="38100" w14:dir="2700000" w14:sx="100000" w14:sy="100000" w14:kx="0" w14:ky="0" w14:algn="tl">
            <w14:srgbClr w14:val="000000">
              <w14:alpha w14:val="60000"/>
            </w14:srgbClr>
          </w14:shadow>
        </w:rPr>
      </w:pPr>
      <w:r w:rsidRPr="00056DFA">
        <w:rPr>
          <w:sz w:val="24"/>
          <w:szCs w:val="24"/>
          <w:lang w:eastAsia="en-US"/>
        </w:rPr>
        <w:t>Отчетът на програмния и ориентиран към резултатите бюджет на Министерството на здравеопазването (МЗ) за 2017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МЗ за 2017 г., като първостепенен разпоредител с бюджет</w:t>
      </w:r>
      <w:r w:rsidRPr="00056DFA">
        <w:rPr>
          <w:b/>
          <w:sz w:val="24"/>
          <w:szCs w:val="24"/>
          <w:lang w:eastAsia="en-US"/>
        </w:rPr>
        <w:t>.</w:t>
      </w:r>
      <w:r w:rsidRPr="00056DFA">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Промоция, превенция и контрол на общественото здраве;  Диагностика и лечение и  Лекарства и медицински изделия, като </w:t>
      </w:r>
      <w:r w:rsidRPr="00BF123C">
        <w:rPr>
          <w:sz w:val="24"/>
          <w:szCs w:val="24"/>
        </w:rPr>
        <w:t xml:space="preserve"> идентифицира следните стратегически цели:</w:t>
      </w:r>
    </w:p>
    <w:p w:rsidR="00940E69" w:rsidRPr="00056DFA" w:rsidRDefault="00940E69" w:rsidP="00940E69">
      <w:pPr>
        <w:numPr>
          <w:ilvl w:val="0"/>
          <w:numId w:val="64"/>
        </w:numPr>
        <w:tabs>
          <w:tab w:val="left" w:pos="426"/>
        </w:tabs>
        <w:spacing w:before="0" w:after="0"/>
        <w:ind w:left="0" w:firstLine="567"/>
        <w:jc w:val="both"/>
        <w:rPr>
          <w:sz w:val="24"/>
          <w:szCs w:val="24"/>
        </w:rPr>
      </w:pPr>
      <w:r w:rsidRPr="00056DFA">
        <w:rPr>
          <w:b/>
          <w:sz w:val="24"/>
          <w:szCs w:val="24"/>
        </w:rPr>
        <w:t xml:space="preserve">Политика в областта на промоцията, превенцията и контрола на общественото здраве  </w:t>
      </w:r>
    </w:p>
    <w:p w:rsidR="00940E69" w:rsidRPr="00056DFA" w:rsidRDefault="00940E69" w:rsidP="00940E69">
      <w:pPr>
        <w:spacing w:before="0" w:after="0"/>
        <w:jc w:val="both"/>
        <w:rPr>
          <w:sz w:val="24"/>
          <w:szCs w:val="24"/>
        </w:rPr>
      </w:pPr>
      <w:r w:rsidRPr="00056DFA">
        <w:rPr>
          <w:sz w:val="24"/>
          <w:szCs w:val="24"/>
        </w:rPr>
        <w:lastRenderedPageBreak/>
        <w:t>Осигуряване на ефективен здравен контрол и ограничаване на заболеваемостта, чрез осъществяване на промоция и превенция на незаразните болести, профилактика и надзор на заразните болести, намаляване търсенето на наркотици.</w:t>
      </w:r>
    </w:p>
    <w:p w:rsidR="00940E69" w:rsidRPr="00056DFA" w:rsidRDefault="00940E69" w:rsidP="00940E69">
      <w:pPr>
        <w:numPr>
          <w:ilvl w:val="0"/>
          <w:numId w:val="64"/>
        </w:numPr>
        <w:spacing w:before="0" w:after="0"/>
        <w:ind w:left="0" w:firstLine="567"/>
        <w:jc w:val="both"/>
        <w:rPr>
          <w:b/>
          <w:sz w:val="24"/>
          <w:szCs w:val="24"/>
        </w:rPr>
      </w:pPr>
      <w:r w:rsidRPr="00056DFA">
        <w:rPr>
          <w:b/>
          <w:sz w:val="24"/>
          <w:szCs w:val="24"/>
        </w:rPr>
        <w:t xml:space="preserve">Политика в областта на </w:t>
      </w:r>
      <w:proofErr w:type="spellStart"/>
      <w:r w:rsidRPr="00056DFA">
        <w:rPr>
          <w:b/>
          <w:sz w:val="24"/>
          <w:szCs w:val="24"/>
        </w:rPr>
        <w:t>диагностиката</w:t>
      </w:r>
      <w:proofErr w:type="spellEnd"/>
      <w:r w:rsidRPr="00056DFA">
        <w:rPr>
          <w:b/>
          <w:sz w:val="24"/>
          <w:szCs w:val="24"/>
        </w:rPr>
        <w:t xml:space="preserve"> и лечението  </w:t>
      </w:r>
    </w:p>
    <w:p w:rsidR="00940E69" w:rsidRPr="00056DFA" w:rsidRDefault="00940E69" w:rsidP="00940E69">
      <w:pPr>
        <w:spacing w:before="0" w:after="0"/>
        <w:jc w:val="both"/>
        <w:rPr>
          <w:b/>
          <w:sz w:val="24"/>
          <w:szCs w:val="24"/>
        </w:rPr>
      </w:pPr>
      <w:r w:rsidRPr="00056DFA">
        <w:rPr>
          <w:sz w:val="24"/>
          <w:szCs w:val="24"/>
        </w:rPr>
        <w:t xml:space="preserve">Осигуряване на достъпна и качествена медицинска помощ и услуги: контрол на медицинските дейности, здравна информация и електронно здравеопазване, осигуряване на медицинска помощ на специфични групи от населението, психиатрична помощ, медицинска помощ при спешни състояния, осигуряване на кръв и кръвни продукти, осигуряване на медико-социални грижи за деца в неравностойно положение, майчино и детско здравеопазване. </w:t>
      </w:r>
    </w:p>
    <w:p w:rsidR="00940E69" w:rsidRPr="00056DFA" w:rsidRDefault="00940E69" w:rsidP="00940E69">
      <w:pPr>
        <w:numPr>
          <w:ilvl w:val="0"/>
          <w:numId w:val="64"/>
        </w:numPr>
        <w:tabs>
          <w:tab w:val="left" w:pos="426"/>
        </w:tabs>
        <w:spacing w:before="0" w:after="0"/>
        <w:ind w:left="0" w:firstLine="567"/>
        <w:jc w:val="both"/>
        <w:rPr>
          <w:sz w:val="24"/>
          <w:szCs w:val="24"/>
        </w:rPr>
      </w:pPr>
      <w:r w:rsidRPr="00056DFA">
        <w:rPr>
          <w:b/>
          <w:sz w:val="24"/>
          <w:szCs w:val="24"/>
        </w:rPr>
        <w:t>Политика в областта на лекарствените продукти и медицинските изделия</w:t>
      </w:r>
      <w:r w:rsidRPr="00056DFA">
        <w:rPr>
          <w:b/>
          <w:sz w:val="24"/>
          <w:szCs w:val="24"/>
          <w:u w:val="single"/>
        </w:rPr>
        <w:t xml:space="preserve"> </w:t>
      </w:r>
      <w:r w:rsidRPr="00056DFA">
        <w:rPr>
          <w:sz w:val="24"/>
          <w:szCs w:val="24"/>
        </w:rPr>
        <w:t>Осигуряване на навременен достъп до лекарствени продукти и медицински изделия, отговарящи на стандартите за качество, безопасност и ефективност.</w:t>
      </w:r>
    </w:p>
    <w:p w:rsidR="00940E69" w:rsidRPr="00056DFA" w:rsidRDefault="00940E69" w:rsidP="00940E69">
      <w:pPr>
        <w:spacing w:before="0" w:after="0"/>
        <w:rPr>
          <w:sz w:val="24"/>
          <w:szCs w:val="24"/>
          <w:lang w:eastAsia="en-US"/>
        </w:rPr>
      </w:pPr>
      <w:r w:rsidRPr="00056DFA">
        <w:rPr>
          <w:sz w:val="24"/>
          <w:szCs w:val="24"/>
          <w:lang w:eastAsia="en-US"/>
        </w:rPr>
        <w:t>В таблицата по-долу е представен преглед на общите разходите по бюджета на МЗ за 2017 г. по програми в рамките на изпълняваните политики:</w:t>
      </w:r>
    </w:p>
    <w:p w:rsidR="00940E69" w:rsidRPr="00056DFA" w:rsidRDefault="00940E69" w:rsidP="00940E69">
      <w:pPr>
        <w:spacing w:before="0" w:after="0"/>
        <w:ind w:right="57"/>
        <w:jc w:val="center"/>
        <w:rPr>
          <w:b/>
          <w:sz w:val="24"/>
          <w:szCs w:val="24"/>
        </w:rPr>
      </w:pPr>
      <w:r w:rsidRPr="00056DFA">
        <w:rPr>
          <w:b/>
          <w:sz w:val="24"/>
          <w:szCs w:val="24"/>
        </w:rPr>
        <w:t xml:space="preserve">Отчет на разходите по области на политики и бюджетни програми </w:t>
      </w:r>
    </w:p>
    <w:p w:rsidR="00940E69" w:rsidRPr="00056DFA" w:rsidRDefault="00940E69" w:rsidP="00940E69">
      <w:pPr>
        <w:spacing w:before="0" w:after="0"/>
        <w:ind w:right="57"/>
        <w:jc w:val="center"/>
        <w:rPr>
          <w:b/>
          <w:sz w:val="24"/>
          <w:szCs w:val="24"/>
        </w:rPr>
      </w:pPr>
      <w:r w:rsidRPr="00056DFA">
        <w:rPr>
          <w:b/>
          <w:sz w:val="24"/>
          <w:szCs w:val="24"/>
        </w:rPr>
        <w:t>на Министерство на здравеопазването</w:t>
      </w:r>
    </w:p>
    <w:tbl>
      <w:tblPr>
        <w:tblW w:w="9639" w:type="dxa"/>
        <w:tblInd w:w="70" w:type="dxa"/>
        <w:tblCellMar>
          <w:left w:w="70" w:type="dxa"/>
          <w:right w:w="70" w:type="dxa"/>
        </w:tblCellMar>
        <w:tblLook w:val="04A0" w:firstRow="1" w:lastRow="0" w:firstColumn="1" w:lastColumn="0" w:noHBand="0" w:noVBand="1"/>
      </w:tblPr>
      <w:tblGrid>
        <w:gridCol w:w="1347"/>
        <w:gridCol w:w="3794"/>
        <w:gridCol w:w="1380"/>
        <w:gridCol w:w="1701"/>
        <w:gridCol w:w="1417"/>
      </w:tblGrid>
      <w:tr w:rsidR="00940E69" w:rsidRPr="009C30A8" w:rsidTr="009C30A8">
        <w:trPr>
          <w:trHeight w:val="765"/>
        </w:trPr>
        <w:tc>
          <w:tcPr>
            <w:tcW w:w="1347" w:type="dxa"/>
            <w:tcBorders>
              <w:top w:val="single" w:sz="8" w:space="0" w:color="auto"/>
              <w:left w:val="single" w:sz="8" w:space="0" w:color="auto"/>
              <w:bottom w:val="single" w:sz="4" w:space="0" w:color="auto"/>
              <w:right w:val="single" w:sz="4" w:space="0" w:color="auto"/>
            </w:tcBorders>
            <w:shd w:val="clear" w:color="000000" w:fill="9BC2E6"/>
            <w:vAlign w:val="center"/>
            <w:hideMark/>
          </w:tcPr>
          <w:p w:rsidR="00940E69" w:rsidRPr="009C30A8" w:rsidRDefault="00940E69" w:rsidP="003A0A22">
            <w:pPr>
              <w:spacing w:before="0" w:after="0"/>
              <w:jc w:val="center"/>
              <w:rPr>
                <w:b/>
                <w:bCs/>
                <w:color w:val="000000"/>
                <w:szCs w:val="24"/>
              </w:rPr>
            </w:pPr>
            <w:proofErr w:type="spellStart"/>
            <w:r w:rsidRPr="009C30A8">
              <w:rPr>
                <w:b/>
                <w:bCs/>
                <w:color w:val="000000"/>
                <w:szCs w:val="24"/>
              </w:rPr>
              <w:t>Класифика-ционен</w:t>
            </w:r>
            <w:proofErr w:type="spellEnd"/>
            <w:r w:rsidRPr="009C30A8">
              <w:rPr>
                <w:b/>
                <w:bCs/>
                <w:color w:val="000000"/>
                <w:szCs w:val="24"/>
              </w:rPr>
              <w:t xml:space="preserve"> </w:t>
            </w:r>
            <w:r w:rsidRPr="009C30A8">
              <w:rPr>
                <w:b/>
                <w:bCs/>
                <w:color w:val="000000"/>
                <w:szCs w:val="24"/>
              </w:rPr>
              <w:br/>
              <w:t>код</w:t>
            </w:r>
          </w:p>
        </w:tc>
        <w:tc>
          <w:tcPr>
            <w:tcW w:w="3794" w:type="dxa"/>
            <w:tcBorders>
              <w:top w:val="single" w:sz="8" w:space="0" w:color="auto"/>
              <w:left w:val="nil"/>
              <w:bottom w:val="single" w:sz="4" w:space="0" w:color="auto"/>
              <w:right w:val="single" w:sz="4" w:space="0" w:color="auto"/>
            </w:tcBorders>
            <w:shd w:val="clear" w:color="000000" w:fill="9BC2E6"/>
            <w:vAlign w:val="center"/>
            <w:hideMark/>
          </w:tcPr>
          <w:p w:rsidR="00940E69" w:rsidRPr="009C30A8" w:rsidRDefault="00940E69" w:rsidP="003A0A22">
            <w:pPr>
              <w:spacing w:before="0" w:after="0"/>
              <w:jc w:val="center"/>
              <w:rPr>
                <w:b/>
                <w:bCs/>
                <w:szCs w:val="24"/>
              </w:rPr>
            </w:pPr>
            <w:r w:rsidRPr="009C30A8">
              <w:rPr>
                <w:b/>
                <w:bCs/>
                <w:szCs w:val="24"/>
              </w:rPr>
              <w:t>Разходи</w:t>
            </w:r>
            <w:r w:rsidRPr="009C30A8">
              <w:rPr>
                <w:b/>
                <w:bCs/>
                <w:szCs w:val="24"/>
              </w:rPr>
              <w:br/>
              <w:t xml:space="preserve">(в лева) </w:t>
            </w:r>
          </w:p>
        </w:tc>
        <w:tc>
          <w:tcPr>
            <w:tcW w:w="1380" w:type="dxa"/>
            <w:tcBorders>
              <w:top w:val="single" w:sz="8" w:space="0" w:color="auto"/>
              <w:left w:val="nil"/>
              <w:bottom w:val="single" w:sz="4" w:space="0" w:color="auto"/>
              <w:right w:val="single" w:sz="4" w:space="0" w:color="auto"/>
            </w:tcBorders>
            <w:shd w:val="clear" w:color="000000" w:fill="9BC2E6"/>
            <w:vAlign w:val="center"/>
            <w:hideMark/>
          </w:tcPr>
          <w:p w:rsidR="00940E69" w:rsidRPr="009C30A8" w:rsidRDefault="00940E69" w:rsidP="003A0A22">
            <w:pPr>
              <w:spacing w:before="0" w:after="0"/>
              <w:jc w:val="center"/>
              <w:rPr>
                <w:b/>
                <w:bCs/>
                <w:szCs w:val="24"/>
              </w:rPr>
            </w:pPr>
            <w:r w:rsidRPr="009C30A8">
              <w:rPr>
                <w:b/>
                <w:bCs/>
                <w:szCs w:val="24"/>
              </w:rPr>
              <w:t xml:space="preserve">Закон </w:t>
            </w:r>
            <w:r w:rsidRPr="009C30A8">
              <w:rPr>
                <w:b/>
                <w:bCs/>
                <w:szCs w:val="24"/>
              </w:rPr>
              <w:br/>
            </w:r>
          </w:p>
        </w:tc>
        <w:tc>
          <w:tcPr>
            <w:tcW w:w="1701" w:type="dxa"/>
            <w:tcBorders>
              <w:top w:val="single" w:sz="8" w:space="0" w:color="auto"/>
              <w:left w:val="nil"/>
              <w:bottom w:val="single" w:sz="4" w:space="0" w:color="auto"/>
              <w:right w:val="single" w:sz="4" w:space="0" w:color="auto"/>
            </w:tcBorders>
            <w:shd w:val="clear" w:color="000000" w:fill="9BC2E6"/>
            <w:vAlign w:val="center"/>
            <w:hideMark/>
          </w:tcPr>
          <w:p w:rsidR="00940E69" w:rsidRPr="009C30A8" w:rsidRDefault="00940E69" w:rsidP="003A0A22">
            <w:pPr>
              <w:spacing w:before="0" w:after="0"/>
              <w:jc w:val="center"/>
              <w:rPr>
                <w:b/>
                <w:bCs/>
                <w:szCs w:val="24"/>
              </w:rPr>
            </w:pPr>
            <w:r w:rsidRPr="009C30A8">
              <w:rPr>
                <w:b/>
                <w:bCs/>
                <w:szCs w:val="24"/>
              </w:rPr>
              <w:t>Уточнен</w:t>
            </w:r>
            <w:r w:rsidRPr="009C30A8">
              <w:rPr>
                <w:b/>
                <w:bCs/>
                <w:szCs w:val="24"/>
              </w:rPr>
              <w:br/>
            </w:r>
          </w:p>
        </w:tc>
        <w:tc>
          <w:tcPr>
            <w:tcW w:w="1417" w:type="dxa"/>
            <w:tcBorders>
              <w:top w:val="single" w:sz="8" w:space="0" w:color="auto"/>
              <w:left w:val="nil"/>
              <w:bottom w:val="single" w:sz="4" w:space="0" w:color="auto"/>
              <w:right w:val="single" w:sz="8" w:space="0" w:color="auto"/>
            </w:tcBorders>
            <w:shd w:val="clear" w:color="000000" w:fill="9BC2E6"/>
            <w:vAlign w:val="center"/>
            <w:hideMark/>
          </w:tcPr>
          <w:p w:rsidR="00940E69" w:rsidRPr="009C30A8" w:rsidRDefault="00940E69" w:rsidP="003A0A22">
            <w:pPr>
              <w:spacing w:before="0" w:after="0"/>
              <w:jc w:val="center"/>
              <w:rPr>
                <w:b/>
                <w:bCs/>
                <w:szCs w:val="24"/>
              </w:rPr>
            </w:pPr>
            <w:r w:rsidRPr="009C30A8">
              <w:rPr>
                <w:b/>
                <w:bCs/>
                <w:szCs w:val="24"/>
              </w:rPr>
              <w:t xml:space="preserve">Отчет  </w:t>
            </w:r>
            <w:r w:rsidRPr="009C30A8">
              <w:rPr>
                <w:b/>
                <w:bCs/>
                <w:szCs w:val="24"/>
              </w:rPr>
              <w:br/>
            </w:r>
          </w:p>
        </w:tc>
      </w:tr>
      <w:tr w:rsidR="00940E69" w:rsidRPr="00056DFA" w:rsidTr="009C30A8">
        <w:trPr>
          <w:trHeight w:val="315"/>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1</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center"/>
              <w:rPr>
                <w:b/>
                <w:bCs/>
                <w:sz w:val="24"/>
                <w:szCs w:val="24"/>
              </w:rPr>
            </w:pPr>
            <w:r w:rsidRPr="00056DFA">
              <w:rPr>
                <w:b/>
                <w:bCs/>
                <w:sz w:val="24"/>
                <w:szCs w:val="24"/>
              </w:rPr>
              <w:t>2</w:t>
            </w:r>
          </w:p>
        </w:tc>
        <w:tc>
          <w:tcPr>
            <w:tcW w:w="1380" w:type="dxa"/>
            <w:tcBorders>
              <w:top w:val="nil"/>
              <w:left w:val="nil"/>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3</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center"/>
              <w:rPr>
                <w:b/>
                <w:bCs/>
                <w:sz w:val="24"/>
                <w:szCs w:val="24"/>
              </w:rPr>
            </w:pPr>
            <w:r w:rsidRPr="00056DFA">
              <w:rPr>
                <w:b/>
                <w:bCs/>
                <w:sz w:val="24"/>
                <w:szCs w:val="24"/>
              </w:rPr>
              <w:t>4</w:t>
            </w:r>
          </w:p>
        </w:tc>
        <w:tc>
          <w:tcPr>
            <w:tcW w:w="1417" w:type="dxa"/>
            <w:tcBorders>
              <w:top w:val="nil"/>
              <w:left w:val="nil"/>
              <w:bottom w:val="single" w:sz="4" w:space="0" w:color="auto"/>
              <w:right w:val="single" w:sz="8" w:space="0" w:color="auto"/>
            </w:tcBorders>
            <w:shd w:val="clear" w:color="auto" w:fill="auto"/>
            <w:noWrap/>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5</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000000" w:fill="FFFF99"/>
            <w:noWrap/>
            <w:vAlign w:val="center"/>
            <w:hideMark/>
          </w:tcPr>
          <w:p w:rsidR="00940E69" w:rsidRPr="00056DFA" w:rsidRDefault="00940E69" w:rsidP="003A0A22">
            <w:pPr>
              <w:spacing w:before="0" w:after="0"/>
              <w:rPr>
                <w:sz w:val="24"/>
                <w:szCs w:val="24"/>
              </w:rPr>
            </w:pPr>
            <w:r w:rsidRPr="00056DFA">
              <w:rPr>
                <w:sz w:val="24"/>
                <w:szCs w:val="24"/>
              </w:rPr>
              <w:t> </w:t>
            </w:r>
          </w:p>
        </w:tc>
        <w:tc>
          <w:tcPr>
            <w:tcW w:w="3794" w:type="dxa"/>
            <w:tcBorders>
              <w:top w:val="nil"/>
              <w:left w:val="nil"/>
              <w:bottom w:val="single" w:sz="4" w:space="0" w:color="auto"/>
              <w:right w:val="single" w:sz="4" w:space="0" w:color="auto"/>
            </w:tcBorders>
            <w:shd w:val="clear" w:color="000000" w:fill="FFFF99"/>
            <w:vAlign w:val="center"/>
            <w:hideMark/>
          </w:tcPr>
          <w:p w:rsidR="00940E69" w:rsidRPr="00056DFA" w:rsidRDefault="00940E69" w:rsidP="003A0A22">
            <w:pPr>
              <w:spacing w:before="0" w:after="0"/>
              <w:rPr>
                <w:b/>
                <w:bCs/>
                <w:sz w:val="24"/>
                <w:szCs w:val="24"/>
              </w:rPr>
            </w:pPr>
            <w:r w:rsidRPr="00056DFA">
              <w:rPr>
                <w:b/>
                <w:bCs/>
                <w:sz w:val="24"/>
                <w:szCs w:val="24"/>
              </w:rPr>
              <w:t>Общо разходи по бюджета на Министерство на здравеопазването:</w:t>
            </w:r>
          </w:p>
        </w:tc>
        <w:tc>
          <w:tcPr>
            <w:tcW w:w="1380" w:type="dxa"/>
            <w:tcBorders>
              <w:top w:val="nil"/>
              <w:left w:val="nil"/>
              <w:bottom w:val="single" w:sz="4" w:space="0" w:color="auto"/>
              <w:right w:val="single" w:sz="4" w:space="0" w:color="auto"/>
            </w:tcBorders>
            <w:shd w:val="clear" w:color="000000" w:fill="FFFF99"/>
            <w:vAlign w:val="center"/>
            <w:hideMark/>
          </w:tcPr>
          <w:p w:rsidR="00940E69" w:rsidRPr="00056DFA" w:rsidRDefault="00940E69" w:rsidP="003A0A22">
            <w:pPr>
              <w:spacing w:before="0" w:after="0"/>
              <w:jc w:val="right"/>
              <w:rPr>
                <w:b/>
                <w:bCs/>
                <w:sz w:val="24"/>
                <w:szCs w:val="24"/>
              </w:rPr>
            </w:pPr>
            <w:r w:rsidRPr="00056DFA">
              <w:rPr>
                <w:b/>
                <w:bCs/>
                <w:sz w:val="24"/>
                <w:szCs w:val="24"/>
              </w:rPr>
              <w:t>458, 8</w:t>
            </w:r>
          </w:p>
        </w:tc>
        <w:tc>
          <w:tcPr>
            <w:tcW w:w="1701" w:type="dxa"/>
            <w:tcBorders>
              <w:top w:val="nil"/>
              <w:left w:val="nil"/>
              <w:bottom w:val="single" w:sz="4" w:space="0" w:color="auto"/>
              <w:right w:val="single" w:sz="4" w:space="0" w:color="auto"/>
            </w:tcBorders>
            <w:shd w:val="clear" w:color="000000" w:fill="FFFF99"/>
            <w:vAlign w:val="center"/>
            <w:hideMark/>
          </w:tcPr>
          <w:p w:rsidR="00940E69" w:rsidRPr="00056DFA" w:rsidRDefault="00940E69" w:rsidP="003A0A22">
            <w:pPr>
              <w:spacing w:before="0" w:after="0"/>
              <w:jc w:val="right"/>
              <w:rPr>
                <w:b/>
                <w:bCs/>
                <w:sz w:val="24"/>
                <w:szCs w:val="24"/>
              </w:rPr>
            </w:pPr>
            <w:r w:rsidRPr="00056DFA">
              <w:rPr>
                <w:b/>
                <w:bCs/>
                <w:sz w:val="24"/>
                <w:szCs w:val="24"/>
              </w:rPr>
              <w:t>479,4</w:t>
            </w:r>
          </w:p>
        </w:tc>
        <w:tc>
          <w:tcPr>
            <w:tcW w:w="1417" w:type="dxa"/>
            <w:tcBorders>
              <w:top w:val="nil"/>
              <w:left w:val="nil"/>
              <w:bottom w:val="single" w:sz="4" w:space="0" w:color="auto"/>
              <w:right w:val="single" w:sz="8" w:space="0" w:color="auto"/>
            </w:tcBorders>
            <w:shd w:val="clear" w:color="000000" w:fill="FFFF99"/>
            <w:vAlign w:val="center"/>
            <w:hideMark/>
          </w:tcPr>
          <w:p w:rsidR="00940E69" w:rsidRPr="00056DFA" w:rsidRDefault="00940E69" w:rsidP="003A0A22">
            <w:pPr>
              <w:spacing w:before="0" w:after="0"/>
              <w:jc w:val="right"/>
              <w:rPr>
                <w:b/>
                <w:bCs/>
                <w:sz w:val="24"/>
                <w:szCs w:val="24"/>
              </w:rPr>
            </w:pPr>
            <w:r w:rsidRPr="00056DFA">
              <w:rPr>
                <w:b/>
                <w:bCs/>
                <w:sz w:val="24"/>
                <w:szCs w:val="24"/>
              </w:rPr>
              <w:t>477, 4</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000000" w:fill="C6E0B4"/>
            <w:noWrap/>
            <w:vAlign w:val="center"/>
            <w:hideMark/>
          </w:tcPr>
          <w:p w:rsidR="00940E69" w:rsidRPr="00056DFA" w:rsidRDefault="00940E69" w:rsidP="003A0A22">
            <w:pPr>
              <w:spacing w:before="0" w:after="0"/>
              <w:rPr>
                <w:b/>
                <w:bCs/>
                <w:sz w:val="24"/>
                <w:szCs w:val="24"/>
              </w:rPr>
            </w:pPr>
            <w:r w:rsidRPr="00056DFA">
              <w:rPr>
                <w:b/>
                <w:bCs/>
                <w:sz w:val="24"/>
                <w:szCs w:val="24"/>
              </w:rPr>
              <w:t xml:space="preserve">1600-01-00 </w:t>
            </w:r>
          </w:p>
        </w:tc>
        <w:tc>
          <w:tcPr>
            <w:tcW w:w="3794"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rPr>
                <w:b/>
                <w:bCs/>
                <w:sz w:val="24"/>
                <w:szCs w:val="24"/>
              </w:rPr>
            </w:pPr>
            <w:r w:rsidRPr="00056DFA">
              <w:rPr>
                <w:b/>
                <w:bCs/>
                <w:sz w:val="24"/>
                <w:szCs w:val="24"/>
              </w:rPr>
              <w:t>ПОЛИТИКА В ОБЛАСТТА НА ПРОМОЦИЯ ПРЕВЕНЦИЯТА И КОНТРОЛА НА ОБЩЕСТВЕНОТО ЗДРАВЕ</w:t>
            </w:r>
          </w:p>
        </w:tc>
        <w:tc>
          <w:tcPr>
            <w:tcW w:w="1380"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69,1</w:t>
            </w:r>
          </w:p>
        </w:tc>
        <w:tc>
          <w:tcPr>
            <w:tcW w:w="1701"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98,9</w:t>
            </w:r>
          </w:p>
        </w:tc>
        <w:tc>
          <w:tcPr>
            <w:tcW w:w="1417" w:type="dxa"/>
            <w:tcBorders>
              <w:top w:val="nil"/>
              <w:left w:val="nil"/>
              <w:bottom w:val="single" w:sz="4" w:space="0" w:color="auto"/>
              <w:right w:val="single" w:sz="8"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98,5</w:t>
            </w:r>
          </w:p>
        </w:tc>
      </w:tr>
      <w:tr w:rsidR="00940E69" w:rsidRPr="00056DFA" w:rsidTr="009C30A8">
        <w:trPr>
          <w:trHeight w:val="315"/>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1600-01-01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"Държавен здравен контрол"</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15,2</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15,2</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15,2</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1600-01-02</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"Промоция и превенция на незаразните болести"</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8,3</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8,6</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8,5</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1600-01-03</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"Профилактика и надзор на заразните болести"</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44,2</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73,8</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73,6</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1600-01-04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"Намаляване търсенето на наркотични вещества"</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1,4</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1,3</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1,3</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000000" w:fill="C6E0B4"/>
            <w:noWrap/>
            <w:vAlign w:val="center"/>
            <w:hideMark/>
          </w:tcPr>
          <w:p w:rsidR="00940E69" w:rsidRPr="00056DFA" w:rsidRDefault="00940E69" w:rsidP="003A0A22">
            <w:pPr>
              <w:spacing w:before="0" w:after="0"/>
              <w:rPr>
                <w:b/>
                <w:bCs/>
                <w:sz w:val="24"/>
                <w:szCs w:val="24"/>
              </w:rPr>
            </w:pPr>
            <w:r w:rsidRPr="00056DFA">
              <w:rPr>
                <w:b/>
                <w:bCs/>
                <w:sz w:val="24"/>
                <w:szCs w:val="24"/>
              </w:rPr>
              <w:t xml:space="preserve">1600-02-00 </w:t>
            </w:r>
          </w:p>
        </w:tc>
        <w:tc>
          <w:tcPr>
            <w:tcW w:w="3794"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rPr>
                <w:b/>
                <w:bCs/>
                <w:sz w:val="24"/>
                <w:szCs w:val="24"/>
              </w:rPr>
            </w:pPr>
            <w:r w:rsidRPr="00056DFA">
              <w:rPr>
                <w:b/>
                <w:bCs/>
                <w:sz w:val="24"/>
                <w:szCs w:val="24"/>
              </w:rPr>
              <w:t>ПОЛИТИКА В ОБЛАСТТА НА ДИАГНОСТИКАТА И ЛЕЧЕНИЕТО</w:t>
            </w:r>
          </w:p>
        </w:tc>
        <w:tc>
          <w:tcPr>
            <w:tcW w:w="1380"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344,6</w:t>
            </w:r>
          </w:p>
        </w:tc>
        <w:tc>
          <w:tcPr>
            <w:tcW w:w="1701"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340,1</w:t>
            </w:r>
          </w:p>
        </w:tc>
        <w:tc>
          <w:tcPr>
            <w:tcW w:w="1417" w:type="dxa"/>
            <w:tcBorders>
              <w:top w:val="nil"/>
              <w:left w:val="nil"/>
              <w:bottom w:val="single" w:sz="4" w:space="0" w:color="auto"/>
              <w:right w:val="single" w:sz="8"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340,0</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1600-02-01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„Контрол на медицинските дейности, здравна информация и електронно здравеопазване“</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7,2</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7,4</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7,3</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1600-02-02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"Осигуряване на медицинска помощ на специфични групи от населението"</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49,6</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46,1</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46,1</w:t>
            </w:r>
          </w:p>
        </w:tc>
      </w:tr>
      <w:tr w:rsidR="00940E69" w:rsidRPr="00056DFA" w:rsidTr="009C30A8">
        <w:trPr>
          <w:trHeight w:val="315"/>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lastRenderedPageBreak/>
              <w:t xml:space="preserve">1600-02-03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"Спешна медицинска помощ"</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160,9</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162,9</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162,9</w:t>
            </w:r>
          </w:p>
        </w:tc>
      </w:tr>
      <w:tr w:rsidR="00940E69" w:rsidRPr="00056DFA" w:rsidTr="009C30A8">
        <w:trPr>
          <w:trHeight w:val="315"/>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1600-02-04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"Психиатрична помощ"</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53,4</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53,4</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53,4</w:t>
            </w:r>
          </w:p>
        </w:tc>
      </w:tr>
      <w:tr w:rsidR="00940E69" w:rsidRPr="00056DFA" w:rsidTr="009C30A8">
        <w:trPr>
          <w:trHeight w:val="315"/>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1600-02-05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"Осигуряване на кръв и кръвни продукти"</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21,8</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22,0</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22,0</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 xml:space="preserve">1600-02-06 </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„Медико-социални грижи за деца в неравностойно положение, майчино и детско здравеопазване“</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51,8</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48,3</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48,3</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000000" w:fill="C6E0B4"/>
            <w:noWrap/>
            <w:vAlign w:val="center"/>
            <w:hideMark/>
          </w:tcPr>
          <w:p w:rsidR="00940E69" w:rsidRPr="00056DFA" w:rsidRDefault="00940E69" w:rsidP="003A0A22">
            <w:pPr>
              <w:spacing w:before="0" w:after="0"/>
              <w:rPr>
                <w:b/>
                <w:bCs/>
                <w:sz w:val="24"/>
                <w:szCs w:val="24"/>
              </w:rPr>
            </w:pPr>
            <w:r w:rsidRPr="00056DFA">
              <w:rPr>
                <w:b/>
                <w:bCs/>
                <w:sz w:val="24"/>
                <w:szCs w:val="24"/>
              </w:rPr>
              <w:t>1600-03-00</w:t>
            </w:r>
          </w:p>
        </w:tc>
        <w:tc>
          <w:tcPr>
            <w:tcW w:w="3794"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rPr>
                <w:b/>
                <w:bCs/>
                <w:sz w:val="24"/>
                <w:szCs w:val="24"/>
              </w:rPr>
            </w:pPr>
            <w:r w:rsidRPr="00056DFA">
              <w:rPr>
                <w:b/>
                <w:bCs/>
                <w:sz w:val="24"/>
                <w:szCs w:val="24"/>
              </w:rPr>
              <w:t>ПОЛИТИКА В ОБЛАСТТА НА ЛЕКАРСТВЕНИТЕ ПРОДУКТИ И МЕДИЦИНСКИТЕ ИЗДЕЛИЯ</w:t>
            </w:r>
          </w:p>
        </w:tc>
        <w:tc>
          <w:tcPr>
            <w:tcW w:w="1380"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27,9</w:t>
            </w:r>
          </w:p>
        </w:tc>
        <w:tc>
          <w:tcPr>
            <w:tcW w:w="1701" w:type="dxa"/>
            <w:tcBorders>
              <w:top w:val="nil"/>
              <w:left w:val="nil"/>
              <w:bottom w:val="single" w:sz="4"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26,6</w:t>
            </w:r>
          </w:p>
        </w:tc>
        <w:tc>
          <w:tcPr>
            <w:tcW w:w="1417" w:type="dxa"/>
            <w:tcBorders>
              <w:top w:val="nil"/>
              <w:left w:val="nil"/>
              <w:bottom w:val="single" w:sz="4" w:space="0" w:color="auto"/>
              <w:right w:val="single" w:sz="8"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26,1</w:t>
            </w:r>
          </w:p>
        </w:tc>
      </w:tr>
      <w:tr w:rsidR="00940E69" w:rsidRPr="00056DFA" w:rsidTr="009C30A8">
        <w:trPr>
          <w:trHeight w:val="510"/>
        </w:trPr>
        <w:tc>
          <w:tcPr>
            <w:tcW w:w="1347" w:type="dxa"/>
            <w:tcBorders>
              <w:top w:val="nil"/>
              <w:left w:val="single" w:sz="8" w:space="0" w:color="auto"/>
              <w:bottom w:val="single" w:sz="4" w:space="0" w:color="auto"/>
              <w:right w:val="single" w:sz="4" w:space="0" w:color="auto"/>
            </w:tcBorders>
            <w:shd w:val="clear" w:color="auto" w:fill="auto"/>
            <w:noWrap/>
            <w:vAlign w:val="center"/>
            <w:hideMark/>
          </w:tcPr>
          <w:p w:rsidR="00940E69" w:rsidRPr="00056DFA" w:rsidRDefault="00940E69" w:rsidP="003A0A22">
            <w:pPr>
              <w:spacing w:before="0" w:after="0"/>
              <w:rPr>
                <w:sz w:val="24"/>
                <w:szCs w:val="24"/>
              </w:rPr>
            </w:pPr>
            <w:r w:rsidRPr="00056DFA">
              <w:rPr>
                <w:sz w:val="24"/>
                <w:szCs w:val="24"/>
              </w:rPr>
              <w:t>1600-03-01</w:t>
            </w:r>
          </w:p>
        </w:tc>
        <w:tc>
          <w:tcPr>
            <w:tcW w:w="3794"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rPr>
                <w:i/>
                <w:iCs/>
                <w:sz w:val="24"/>
                <w:szCs w:val="24"/>
              </w:rPr>
            </w:pPr>
            <w:r w:rsidRPr="00056DFA">
              <w:rPr>
                <w:i/>
                <w:iCs/>
                <w:sz w:val="24"/>
                <w:szCs w:val="24"/>
              </w:rPr>
              <w:t>Бюджетна програма "Достъпни и качествени лекарствени продукти и медицински изделия"</w:t>
            </w:r>
          </w:p>
        </w:tc>
        <w:tc>
          <w:tcPr>
            <w:tcW w:w="1380"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27,9</w:t>
            </w:r>
          </w:p>
        </w:tc>
        <w:tc>
          <w:tcPr>
            <w:tcW w:w="1701" w:type="dxa"/>
            <w:tcBorders>
              <w:top w:val="nil"/>
              <w:left w:val="nil"/>
              <w:bottom w:val="single" w:sz="4" w:space="0" w:color="auto"/>
              <w:right w:val="single" w:sz="4"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26,6</w:t>
            </w:r>
          </w:p>
        </w:tc>
        <w:tc>
          <w:tcPr>
            <w:tcW w:w="1417" w:type="dxa"/>
            <w:tcBorders>
              <w:top w:val="nil"/>
              <w:left w:val="nil"/>
              <w:bottom w:val="single" w:sz="4" w:space="0" w:color="auto"/>
              <w:right w:val="single" w:sz="8" w:space="0" w:color="auto"/>
            </w:tcBorders>
            <w:shd w:val="clear" w:color="auto" w:fill="auto"/>
            <w:vAlign w:val="center"/>
            <w:hideMark/>
          </w:tcPr>
          <w:p w:rsidR="00940E69" w:rsidRPr="00056DFA" w:rsidRDefault="00940E69" w:rsidP="003A0A22">
            <w:pPr>
              <w:spacing w:before="0" w:after="0"/>
              <w:jc w:val="right"/>
              <w:rPr>
                <w:sz w:val="24"/>
                <w:szCs w:val="24"/>
              </w:rPr>
            </w:pPr>
            <w:r w:rsidRPr="00056DFA">
              <w:rPr>
                <w:sz w:val="24"/>
                <w:szCs w:val="24"/>
              </w:rPr>
              <w:t>26,1</w:t>
            </w:r>
          </w:p>
        </w:tc>
      </w:tr>
      <w:tr w:rsidR="00940E69" w:rsidRPr="00056DFA" w:rsidTr="009C30A8">
        <w:trPr>
          <w:trHeight w:val="330"/>
        </w:trPr>
        <w:tc>
          <w:tcPr>
            <w:tcW w:w="1347" w:type="dxa"/>
            <w:tcBorders>
              <w:top w:val="nil"/>
              <w:left w:val="single" w:sz="8" w:space="0" w:color="auto"/>
              <w:bottom w:val="single" w:sz="8" w:space="0" w:color="auto"/>
              <w:right w:val="single" w:sz="4" w:space="0" w:color="auto"/>
            </w:tcBorders>
            <w:shd w:val="clear" w:color="000000" w:fill="C6E0B4"/>
            <w:noWrap/>
            <w:vAlign w:val="center"/>
            <w:hideMark/>
          </w:tcPr>
          <w:p w:rsidR="00940E69" w:rsidRPr="00056DFA" w:rsidRDefault="00940E69" w:rsidP="003A0A22">
            <w:pPr>
              <w:spacing w:before="0" w:after="0"/>
              <w:rPr>
                <w:b/>
                <w:bCs/>
                <w:sz w:val="24"/>
                <w:szCs w:val="24"/>
              </w:rPr>
            </w:pPr>
            <w:r w:rsidRPr="00056DFA">
              <w:rPr>
                <w:b/>
                <w:bCs/>
                <w:sz w:val="24"/>
                <w:szCs w:val="24"/>
              </w:rPr>
              <w:t>1600-04-00</w:t>
            </w:r>
          </w:p>
        </w:tc>
        <w:tc>
          <w:tcPr>
            <w:tcW w:w="3794" w:type="dxa"/>
            <w:tcBorders>
              <w:top w:val="nil"/>
              <w:left w:val="nil"/>
              <w:bottom w:val="single" w:sz="8" w:space="0" w:color="auto"/>
              <w:right w:val="single" w:sz="4" w:space="0" w:color="auto"/>
            </w:tcBorders>
            <w:shd w:val="clear" w:color="000000" w:fill="C6E0B4"/>
            <w:vAlign w:val="center"/>
            <w:hideMark/>
          </w:tcPr>
          <w:p w:rsidR="00940E69" w:rsidRPr="00056DFA" w:rsidRDefault="00940E69" w:rsidP="003A0A22">
            <w:pPr>
              <w:spacing w:before="0" w:after="0"/>
              <w:rPr>
                <w:b/>
                <w:bCs/>
                <w:sz w:val="24"/>
                <w:szCs w:val="24"/>
              </w:rPr>
            </w:pPr>
            <w:r w:rsidRPr="00056DFA">
              <w:rPr>
                <w:b/>
                <w:bCs/>
                <w:sz w:val="24"/>
                <w:szCs w:val="24"/>
              </w:rPr>
              <w:t>Бюджетна програма "Администрация"</w:t>
            </w:r>
          </w:p>
        </w:tc>
        <w:tc>
          <w:tcPr>
            <w:tcW w:w="1380" w:type="dxa"/>
            <w:tcBorders>
              <w:top w:val="nil"/>
              <w:left w:val="nil"/>
              <w:bottom w:val="single" w:sz="8"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17,2</w:t>
            </w:r>
          </w:p>
        </w:tc>
        <w:tc>
          <w:tcPr>
            <w:tcW w:w="1701" w:type="dxa"/>
            <w:tcBorders>
              <w:top w:val="nil"/>
              <w:left w:val="nil"/>
              <w:bottom w:val="single" w:sz="8" w:space="0" w:color="auto"/>
              <w:right w:val="single" w:sz="4"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13,9</w:t>
            </w:r>
          </w:p>
        </w:tc>
        <w:tc>
          <w:tcPr>
            <w:tcW w:w="1417" w:type="dxa"/>
            <w:tcBorders>
              <w:top w:val="nil"/>
              <w:left w:val="nil"/>
              <w:bottom w:val="single" w:sz="8" w:space="0" w:color="auto"/>
              <w:right w:val="single" w:sz="8" w:space="0" w:color="auto"/>
            </w:tcBorders>
            <w:shd w:val="clear" w:color="000000" w:fill="C6E0B4"/>
            <w:vAlign w:val="center"/>
            <w:hideMark/>
          </w:tcPr>
          <w:p w:rsidR="00940E69" w:rsidRPr="00056DFA" w:rsidRDefault="00940E69" w:rsidP="003A0A22">
            <w:pPr>
              <w:spacing w:before="0" w:after="0"/>
              <w:jc w:val="right"/>
              <w:rPr>
                <w:b/>
                <w:bCs/>
                <w:sz w:val="24"/>
                <w:szCs w:val="24"/>
              </w:rPr>
            </w:pPr>
            <w:r w:rsidRPr="00056DFA">
              <w:rPr>
                <w:b/>
                <w:bCs/>
                <w:sz w:val="24"/>
                <w:szCs w:val="24"/>
              </w:rPr>
              <w:t>12,9</w:t>
            </w:r>
          </w:p>
        </w:tc>
      </w:tr>
    </w:tbl>
    <w:p w:rsidR="00940E69" w:rsidRPr="00056DFA" w:rsidRDefault="00940E69" w:rsidP="00940E69">
      <w:pPr>
        <w:spacing w:before="0" w:after="0"/>
        <w:ind w:right="57"/>
        <w:jc w:val="both"/>
        <w:rPr>
          <w:b/>
          <w:sz w:val="24"/>
          <w:szCs w:val="24"/>
        </w:rPr>
      </w:pPr>
    </w:p>
    <w:p w:rsidR="00940E69" w:rsidRPr="00056DFA" w:rsidRDefault="00940E69" w:rsidP="00940E69">
      <w:pPr>
        <w:spacing w:before="0" w:after="0"/>
        <w:jc w:val="both"/>
        <w:rPr>
          <w:rFonts w:eastAsia="Calibri"/>
          <w:sz w:val="24"/>
          <w:szCs w:val="24"/>
          <w:lang w:eastAsia="en-US"/>
        </w:rPr>
      </w:pPr>
      <w:r w:rsidRPr="00056DFA">
        <w:rPr>
          <w:rFonts w:eastAsia="Calibri"/>
          <w:sz w:val="24"/>
          <w:szCs w:val="24"/>
          <w:lang w:eastAsia="en-US"/>
        </w:rPr>
        <w:t xml:space="preserve">През 2017 г. са извършени промени в организационната структура в системата на Министерството на здравеопазването.  С влизане в сила на нов </w:t>
      </w:r>
      <w:proofErr w:type="spellStart"/>
      <w:r w:rsidRPr="00056DFA">
        <w:rPr>
          <w:rFonts w:eastAsia="Calibri"/>
          <w:sz w:val="24"/>
          <w:szCs w:val="24"/>
          <w:lang w:eastAsia="en-US"/>
        </w:rPr>
        <w:t>Устройствен</w:t>
      </w:r>
      <w:proofErr w:type="spellEnd"/>
      <w:r w:rsidRPr="00056DFA">
        <w:rPr>
          <w:rFonts w:eastAsia="Calibri"/>
          <w:sz w:val="24"/>
          <w:szCs w:val="24"/>
          <w:lang w:eastAsia="en-US"/>
        </w:rPr>
        <w:t xml:space="preserve"> правилник, приет с ПМС № 148 от 24.07.2017 г. е определена общата численост на персонала на министерството - 279 щатни бройки. Министерството е структурирано в 13 дирекции, звено „Вътрешен одит“, звено „Сигурност на информацията“ и Инспекторат.</w:t>
      </w:r>
    </w:p>
    <w:p w:rsidR="004C4718" w:rsidRPr="004C4718" w:rsidRDefault="004C4718" w:rsidP="004C4718">
      <w:pPr>
        <w:spacing w:before="0" w:after="0"/>
        <w:jc w:val="both"/>
        <w:rPr>
          <w:sz w:val="24"/>
          <w:szCs w:val="24"/>
          <w:lang w:eastAsia="en-US"/>
        </w:rPr>
      </w:pPr>
      <w:r w:rsidRPr="004C4718">
        <w:rPr>
          <w:sz w:val="24"/>
          <w:szCs w:val="24"/>
          <w:lang w:eastAsia="en-US"/>
        </w:rPr>
        <w:t>Общият брой на второстепенните разпоредители с бюджет (ВРБ) към Министерството на здравеопазването през 2017 е 102 бр</w:t>
      </w:r>
      <w:r>
        <w:rPr>
          <w:sz w:val="24"/>
          <w:szCs w:val="24"/>
          <w:lang w:eastAsia="en-US"/>
        </w:rPr>
        <w:t>.</w:t>
      </w:r>
    </w:p>
    <w:p w:rsidR="004C4718" w:rsidRPr="004C4718" w:rsidRDefault="004C4718" w:rsidP="004C4718">
      <w:pPr>
        <w:spacing w:before="0" w:after="0"/>
        <w:jc w:val="both"/>
        <w:rPr>
          <w:b/>
          <w:sz w:val="24"/>
          <w:szCs w:val="24"/>
          <w:lang w:eastAsia="en-US"/>
        </w:rPr>
      </w:pPr>
      <w:r w:rsidRPr="004C4718">
        <w:rPr>
          <w:b/>
          <w:sz w:val="24"/>
          <w:szCs w:val="24"/>
          <w:lang w:eastAsia="en-US"/>
        </w:rPr>
        <w:t>Преглед на изпълнението на политика в областта на „Промоцията, превенцията и контрола на общественото здраве”</w:t>
      </w:r>
    </w:p>
    <w:p w:rsidR="004C4718" w:rsidRPr="004C4718" w:rsidRDefault="004C4718" w:rsidP="004C4718">
      <w:pPr>
        <w:spacing w:before="0" w:after="0"/>
        <w:jc w:val="both"/>
        <w:rPr>
          <w:sz w:val="24"/>
          <w:szCs w:val="24"/>
          <w:lang w:eastAsia="en-US"/>
        </w:rPr>
      </w:pPr>
      <w:r w:rsidRPr="004C4718">
        <w:rPr>
          <w:sz w:val="24"/>
          <w:szCs w:val="24"/>
          <w:lang w:eastAsia="en-US"/>
        </w:rPr>
        <w:t>Целта на политиката е осигуряване на ефективен здравен контрол и ограничаване на заболеваемостта от незаразни и заразни болести.</w:t>
      </w:r>
    </w:p>
    <w:p w:rsidR="004C4718" w:rsidRPr="004C4718" w:rsidRDefault="004C4718" w:rsidP="004C4718">
      <w:pPr>
        <w:tabs>
          <w:tab w:val="center" w:pos="4153"/>
          <w:tab w:val="right" w:pos="8306"/>
        </w:tabs>
        <w:spacing w:before="0" w:after="0"/>
        <w:ind w:firstLine="540"/>
        <w:jc w:val="both"/>
        <w:rPr>
          <w:sz w:val="24"/>
          <w:szCs w:val="24"/>
          <w:lang w:eastAsia="en-US"/>
        </w:rPr>
      </w:pPr>
      <w:r w:rsidRPr="004C4718">
        <w:rPr>
          <w:sz w:val="24"/>
          <w:szCs w:val="24"/>
          <w:lang w:eastAsia="en-US"/>
        </w:rPr>
        <w:t xml:space="preserve">За постигане на стратегическите и оперативни цели на политиката са  изпълнявани четири </w:t>
      </w:r>
      <w:r w:rsidRPr="004C4718">
        <w:rPr>
          <w:b/>
          <w:sz w:val="24"/>
          <w:szCs w:val="24"/>
          <w:lang w:eastAsia="en-US"/>
        </w:rPr>
        <w:t>основни програми</w:t>
      </w:r>
      <w:r w:rsidRPr="004C4718">
        <w:rPr>
          <w:sz w:val="24"/>
          <w:szCs w:val="24"/>
          <w:lang w:eastAsia="en-US"/>
        </w:rPr>
        <w:t>:</w:t>
      </w:r>
    </w:p>
    <w:p w:rsidR="004C4718" w:rsidRPr="004C4718" w:rsidRDefault="004C4718" w:rsidP="004C4718">
      <w:pPr>
        <w:spacing w:before="0" w:after="0"/>
        <w:ind w:left="708" w:firstLine="0"/>
        <w:jc w:val="both"/>
        <w:rPr>
          <w:rFonts w:eastAsia="Batang"/>
          <w:bCs/>
          <w:sz w:val="24"/>
          <w:szCs w:val="24"/>
          <w:lang w:eastAsia="ko-KR"/>
        </w:rPr>
      </w:pPr>
      <w:r>
        <w:rPr>
          <w:rFonts w:eastAsia="Batang"/>
          <w:bCs/>
          <w:sz w:val="24"/>
          <w:szCs w:val="24"/>
          <w:lang w:eastAsia="ko-KR"/>
        </w:rPr>
        <w:t xml:space="preserve">1. </w:t>
      </w:r>
      <w:r w:rsidRPr="004C4718">
        <w:rPr>
          <w:rFonts w:eastAsia="Batang"/>
          <w:bCs/>
          <w:sz w:val="24"/>
          <w:szCs w:val="24"/>
          <w:lang w:eastAsia="ko-KR"/>
        </w:rPr>
        <w:t>Програма „Държавен здравен контрол”</w:t>
      </w:r>
    </w:p>
    <w:p w:rsidR="004C4718" w:rsidRPr="004C4718" w:rsidRDefault="004C4718" w:rsidP="004C4718">
      <w:pPr>
        <w:spacing w:before="0" w:after="0"/>
        <w:ind w:left="708" w:firstLine="0"/>
        <w:jc w:val="both"/>
        <w:rPr>
          <w:rFonts w:eastAsia="Batang"/>
          <w:bCs/>
          <w:sz w:val="24"/>
          <w:szCs w:val="24"/>
          <w:lang w:eastAsia="ko-KR"/>
        </w:rPr>
      </w:pPr>
      <w:r>
        <w:rPr>
          <w:rFonts w:eastAsia="Batang"/>
          <w:bCs/>
          <w:sz w:val="24"/>
          <w:szCs w:val="24"/>
          <w:lang w:eastAsia="ko-KR"/>
        </w:rPr>
        <w:t xml:space="preserve">2. </w:t>
      </w:r>
      <w:r w:rsidRPr="004C4718">
        <w:rPr>
          <w:rFonts w:eastAsia="Batang"/>
          <w:bCs/>
          <w:sz w:val="24"/>
          <w:szCs w:val="24"/>
          <w:lang w:eastAsia="ko-KR"/>
        </w:rPr>
        <w:t>Програма „Промоция и превенция на незаразните болести”</w:t>
      </w:r>
    </w:p>
    <w:p w:rsidR="004C4718" w:rsidRPr="004C4718" w:rsidRDefault="004C4718" w:rsidP="004C4718">
      <w:pPr>
        <w:spacing w:before="0" w:after="0"/>
        <w:ind w:left="708" w:firstLine="0"/>
        <w:jc w:val="both"/>
        <w:rPr>
          <w:rFonts w:eastAsia="Batang"/>
          <w:bCs/>
          <w:sz w:val="24"/>
          <w:szCs w:val="24"/>
          <w:lang w:eastAsia="ko-KR"/>
        </w:rPr>
      </w:pPr>
      <w:r>
        <w:rPr>
          <w:rFonts w:eastAsia="Batang"/>
          <w:bCs/>
          <w:sz w:val="24"/>
          <w:szCs w:val="24"/>
          <w:lang w:eastAsia="ko-KR"/>
        </w:rPr>
        <w:t xml:space="preserve">3. </w:t>
      </w:r>
      <w:r w:rsidRPr="004C4718">
        <w:rPr>
          <w:rFonts w:eastAsia="Batang"/>
          <w:bCs/>
          <w:sz w:val="24"/>
          <w:szCs w:val="24"/>
          <w:lang w:eastAsia="ko-KR"/>
        </w:rPr>
        <w:t>Програма „Профилактика и надзор на заразните болести”</w:t>
      </w:r>
    </w:p>
    <w:p w:rsidR="004C4718" w:rsidRPr="004C4718" w:rsidRDefault="004C4718" w:rsidP="004C4718">
      <w:pPr>
        <w:spacing w:before="0" w:after="0"/>
        <w:ind w:left="708" w:firstLine="0"/>
        <w:jc w:val="both"/>
        <w:rPr>
          <w:rFonts w:eastAsia="Batang"/>
          <w:bCs/>
          <w:sz w:val="24"/>
          <w:szCs w:val="24"/>
          <w:lang w:eastAsia="ko-KR"/>
        </w:rPr>
      </w:pPr>
      <w:r>
        <w:rPr>
          <w:rFonts w:eastAsia="Batang"/>
          <w:bCs/>
          <w:sz w:val="24"/>
          <w:szCs w:val="24"/>
          <w:lang w:eastAsia="ko-KR"/>
        </w:rPr>
        <w:t xml:space="preserve">4. </w:t>
      </w:r>
      <w:r w:rsidRPr="004C4718">
        <w:rPr>
          <w:rFonts w:eastAsia="Batang"/>
          <w:bCs/>
          <w:sz w:val="24"/>
          <w:szCs w:val="24"/>
          <w:lang w:eastAsia="ko-KR"/>
        </w:rPr>
        <w:t>Програма „Намаляване търсенето на наркотици”</w:t>
      </w:r>
    </w:p>
    <w:p w:rsidR="004C4718" w:rsidRPr="004C4718" w:rsidRDefault="004C4718" w:rsidP="004C4718">
      <w:pPr>
        <w:spacing w:before="0" w:after="0"/>
        <w:jc w:val="both"/>
        <w:rPr>
          <w:sz w:val="24"/>
          <w:szCs w:val="24"/>
          <w:lang w:eastAsia="en-US"/>
        </w:rPr>
      </w:pPr>
      <w:r w:rsidRPr="004C4718">
        <w:rPr>
          <w:sz w:val="24"/>
          <w:szCs w:val="24"/>
          <w:lang w:eastAsia="en-US"/>
        </w:rPr>
        <w:t>В областта на опазването на общественото здраве, освен контролът по спазване на нормативно определените здравни изисквания се изпълняват и редица национални програми, планове и стратегии.</w:t>
      </w:r>
    </w:p>
    <w:p w:rsidR="004C4718" w:rsidRPr="004C4718" w:rsidRDefault="004C4718" w:rsidP="004C4718">
      <w:pPr>
        <w:spacing w:before="0" w:after="0"/>
        <w:jc w:val="both"/>
        <w:rPr>
          <w:sz w:val="24"/>
          <w:szCs w:val="24"/>
          <w:lang w:eastAsia="en-US"/>
        </w:rPr>
      </w:pPr>
      <w:r w:rsidRPr="004C4718">
        <w:rPr>
          <w:sz w:val="24"/>
          <w:szCs w:val="24"/>
          <w:lang w:eastAsia="en-US"/>
        </w:rPr>
        <w:t xml:space="preserve">За реализирането на целите на Министерството на здравеопазването по отношение повишаване ефективността на държавния здравен контрол, подобряване здравето на населението и повишаване качеството на живот и ограничаване на заболеваемостта от незаразни и заразни болести, през 2017 г. са предприети мерки и са реализирани редица дейности в областта на общественото здраве: </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Усъвършенстване на подзаконовата нормативна уредба по Закона за здравето и Закона за защита от вредното въздействие на химичните вещества и смеси по </w:t>
      </w:r>
      <w:r w:rsidRPr="004C4718">
        <w:rPr>
          <w:sz w:val="24"/>
          <w:szCs w:val="24"/>
          <w:lang w:eastAsia="en-US"/>
        </w:rPr>
        <w:lastRenderedPageBreak/>
        <w:t>отношение здравните изисквания към обектите с обществено предназначение и дейностите със значение за здравето на човека;</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Усъвършенстване на системите за мониторинг на жизнената среда;</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Повишаване капацитета на лабораторната дейност на Регионалните здравни инспекции;</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Контрол за разпространението на пазара на продукти и стоки със значение за здравето на човека, които не отговарят на нормативните изисквания;</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Поддържане на висок </w:t>
      </w:r>
      <w:proofErr w:type="spellStart"/>
      <w:r w:rsidRPr="004C4718">
        <w:rPr>
          <w:sz w:val="24"/>
          <w:szCs w:val="24"/>
          <w:lang w:eastAsia="en-US"/>
        </w:rPr>
        <w:t>имунизационен</w:t>
      </w:r>
      <w:proofErr w:type="spellEnd"/>
      <w:r w:rsidRPr="004C4718">
        <w:rPr>
          <w:sz w:val="24"/>
          <w:szCs w:val="24"/>
          <w:lang w:eastAsia="en-US"/>
        </w:rPr>
        <w:t xml:space="preserve"> обхват и организиране на бърз отговор при възникване на епидемични ситуации;</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Повишаване готовността на страната за посрещане на грипна пандемия, взривове и епидемии от други заразни болести;</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Опазване на страната от внос и разпространение на инфекции с висок епидемичен риск чрез създаване и поддържане на механизми за своевременна и адекватна реакция при здравни заплахи от биологично естество, в т. ч. </w:t>
      </w:r>
      <w:proofErr w:type="spellStart"/>
      <w:r w:rsidRPr="004C4718">
        <w:rPr>
          <w:sz w:val="24"/>
          <w:szCs w:val="24"/>
          <w:lang w:eastAsia="en-US"/>
        </w:rPr>
        <w:t>биотероризъм</w:t>
      </w:r>
      <w:proofErr w:type="spellEnd"/>
      <w:r w:rsidRPr="004C4718">
        <w:rPr>
          <w:sz w:val="24"/>
          <w:szCs w:val="24"/>
          <w:lang w:eastAsia="en-US"/>
        </w:rPr>
        <w:t>;</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Организиране на защитата на населението от инциденти с химични и радиоактивни материали от случаен, естествен и умишлен характер;</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 xml:space="preserve"> Повишаване информираността на населението за влиянието на рисковите фактори върху здравето;</w:t>
      </w:r>
    </w:p>
    <w:p w:rsidR="004C4718" w:rsidRPr="004C4718" w:rsidRDefault="004C4718" w:rsidP="004C4718">
      <w:pPr>
        <w:spacing w:before="0" w:after="0"/>
        <w:jc w:val="both"/>
        <w:rPr>
          <w:sz w:val="24"/>
          <w:szCs w:val="24"/>
          <w:lang w:eastAsia="en-US"/>
        </w:rPr>
      </w:pPr>
      <w:r w:rsidRPr="004C4718">
        <w:rPr>
          <w:sz w:val="24"/>
          <w:szCs w:val="24"/>
          <w:lang w:eastAsia="en-US"/>
        </w:rPr>
        <w:t>•</w:t>
      </w:r>
      <w:r w:rsidRPr="004C4718">
        <w:rPr>
          <w:sz w:val="24"/>
          <w:szCs w:val="24"/>
          <w:lang w:eastAsia="en-US"/>
        </w:rPr>
        <w:tab/>
        <w:t>Непрекъснато усъвършенстване и хармонизиране на нормативната уредба в системата на здравеопазването в съответствие с научните достижения и правото на Европейския съюз.</w:t>
      </w:r>
    </w:p>
    <w:p w:rsidR="004C4718" w:rsidRPr="004C4718" w:rsidRDefault="004C4718" w:rsidP="004C4718">
      <w:pPr>
        <w:spacing w:before="0" w:after="0"/>
        <w:ind w:firstLine="546"/>
        <w:jc w:val="both"/>
        <w:rPr>
          <w:rFonts w:eastAsia="Batang"/>
          <w:bCs/>
          <w:sz w:val="24"/>
          <w:szCs w:val="24"/>
          <w:lang w:eastAsia="ko-KR"/>
        </w:rPr>
      </w:pPr>
      <w:r w:rsidRPr="004C4718">
        <w:rPr>
          <w:rFonts w:eastAsia="Batang"/>
          <w:bCs/>
          <w:sz w:val="24"/>
          <w:szCs w:val="24"/>
          <w:lang w:eastAsia="ko-KR"/>
        </w:rPr>
        <w:t>Изразходваните средства през 2017 г. за реализирането на политиката са в размер на 98,5 млн.лв., което е на нивото на отчетените средства за реализиране на политиката през предходната година. В рамките на отчетените средства се изпълняват централни доставки на медикаменти и консумативи, както и дейностите по приети от Министерския съвет национални програми в областта на профилактиката и превенцията на общественото здраве.</w:t>
      </w:r>
    </w:p>
    <w:p w:rsidR="004C4718" w:rsidRPr="004C4718" w:rsidRDefault="004C4718" w:rsidP="004C4718">
      <w:pPr>
        <w:spacing w:before="0" w:after="0"/>
        <w:jc w:val="both"/>
        <w:rPr>
          <w:b/>
          <w:sz w:val="24"/>
          <w:szCs w:val="24"/>
          <w:lang w:eastAsia="en-US"/>
        </w:rPr>
      </w:pPr>
      <w:r w:rsidRPr="004C4718">
        <w:rPr>
          <w:b/>
          <w:sz w:val="24"/>
          <w:szCs w:val="24"/>
          <w:lang w:eastAsia="en-US"/>
        </w:rPr>
        <w:t>Преглед на изпълнението на политика в областта на „</w:t>
      </w:r>
      <w:proofErr w:type="spellStart"/>
      <w:r w:rsidRPr="004C4718">
        <w:rPr>
          <w:b/>
          <w:sz w:val="24"/>
          <w:szCs w:val="24"/>
          <w:lang w:eastAsia="en-US"/>
        </w:rPr>
        <w:t>Диагностиката</w:t>
      </w:r>
      <w:proofErr w:type="spellEnd"/>
      <w:r w:rsidRPr="004C4718">
        <w:rPr>
          <w:b/>
          <w:sz w:val="24"/>
          <w:szCs w:val="24"/>
          <w:lang w:eastAsia="en-US"/>
        </w:rPr>
        <w:t xml:space="preserve"> и лечението”</w:t>
      </w:r>
    </w:p>
    <w:p w:rsidR="004C4718" w:rsidRPr="004C4718" w:rsidRDefault="004C4718" w:rsidP="004C4718">
      <w:pPr>
        <w:spacing w:before="0" w:after="0"/>
        <w:jc w:val="both"/>
        <w:rPr>
          <w:sz w:val="24"/>
          <w:szCs w:val="24"/>
          <w:lang w:eastAsia="en-US"/>
        </w:rPr>
      </w:pPr>
      <w:r w:rsidRPr="004C4718">
        <w:rPr>
          <w:sz w:val="24"/>
          <w:szCs w:val="24"/>
          <w:lang w:eastAsia="en-US"/>
        </w:rPr>
        <w:t xml:space="preserve">Целта на политиката е осигуряване на равен достъп до медицинска помощ с необходимото качество на всички български граждани. </w:t>
      </w:r>
    </w:p>
    <w:p w:rsidR="004C4718" w:rsidRPr="004C4718" w:rsidRDefault="004C4718" w:rsidP="004C4718">
      <w:pPr>
        <w:spacing w:before="0" w:after="0"/>
        <w:jc w:val="both"/>
        <w:rPr>
          <w:sz w:val="24"/>
          <w:szCs w:val="24"/>
          <w:lang w:eastAsia="en-US"/>
        </w:rPr>
      </w:pPr>
      <w:r w:rsidRPr="004C4718">
        <w:rPr>
          <w:sz w:val="24"/>
          <w:szCs w:val="24"/>
          <w:lang w:eastAsia="en-US"/>
        </w:rPr>
        <w:t>За постигане на стратегическите и оперативни цели на политиката са  изпълнявани осем основни програми:</w:t>
      </w:r>
    </w:p>
    <w:p w:rsidR="004C4718" w:rsidRPr="004C4718" w:rsidRDefault="00A83F49" w:rsidP="004C4718">
      <w:pPr>
        <w:spacing w:before="0" w:after="0"/>
        <w:jc w:val="both"/>
        <w:rPr>
          <w:sz w:val="24"/>
          <w:szCs w:val="24"/>
          <w:lang w:eastAsia="en-US"/>
        </w:rPr>
      </w:pPr>
      <w:r>
        <w:rPr>
          <w:sz w:val="24"/>
          <w:szCs w:val="24"/>
          <w:lang w:eastAsia="en-US"/>
        </w:rPr>
        <w:t>1</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„Контрол на медицинските дейности, здравна информация и електронно здравеопазване ”</w:t>
      </w:r>
    </w:p>
    <w:p w:rsidR="004C4718" w:rsidRPr="004C4718" w:rsidRDefault="00A83F49" w:rsidP="004C4718">
      <w:pPr>
        <w:spacing w:before="0" w:after="0"/>
        <w:jc w:val="both"/>
        <w:rPr>
          <w:sz w:val="24"/>
          <w:szCs w:val="24"/>
          <w:lang w:eastAsia="en-US"/>
        </w:rPr>
      </w:pPr>
      <w:r>
        <w:rPr>
          <w:sz w:val="24"/>
          <w:szCs w:val="24"/>
          <w:lang w:eastAsia="en-US"/>
        </w:rPr>
        <w:t>2</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„Осигуряване на медицинска помощ на специфични групи от населението ”</w:t>
      </w:r>
    </w:p>
    <w:p w:rsidR="004C4718" w:rsidRPr="004C4718" w:rsidRDefault="00A83F49" w:rsidP="004C4718">
      <w:pPr>
        <w:spacing w:before="0" w:after="0"/>
        <w:jc w:val="both"/>
        <w:rPr>
          <w:sz w:val="24"/>
          <w:szCs w:val="24"/>
          <w:lang w:eastAsia="en-US"/>
        </w:rPr>
      </w:pPr>
      <w:r>
        <w:rPr>
          <w:sz w:val="24"/>
          <w:szCs w:val="24"/>
          <w:lang w:eastAsia="en-US"/>
        </w:rPr>
        <w:t>3</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„Спешна медицинска помощ”</w:t>
      </w:r>
    </w:p>
    <w:p w:rsidR="004C4718" w:rsidRPr="004C4718" w:rsidRDefault="00A83F49" w:rsidP="004C4718">
      <w:pPr>
        <w:spacing w:before="0" w:after="0"/>
        <w:jc w:val="both"/>
        <w:rPr>
          <w:sz w:val="24"/>
          <w:szCs w:val="24"/>
          <w:lang w:eastAsia="en-US"/>
        </w:rPr>
      </w:pPr>
      <w:r>
        <w:rPr>
          <w:sz w:val="24"/>
          <w:szCs w:val="24"/>
          <w:lang w:eastAsia="en-US"/>
        </w:rPr>
        <w:t>4</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„Психиатрична помощ”</w:t>
      </w:r>
    </w:p>
    <w:p w:rsidR="004C4718" w:rsidRPr="004C4718" w:rsidRDefault="00A83F49" w:rsidP="004C4718">
      <w:pPr>
        <w:spacing w:before="0" w:after="0"/>
        <w:jc w:val="both"/>
        <w:rPr>
          <w:sz w:val="24"/>
          <w:szCs w:val="24"/>
          <w:lang w:eastAsia="en-US"/>
        </w:rPr>
      </w:pPr>
      <w:r>
        <w:rPr>
          <w:sz w:val="24"/>
          <w:szCs w:val="24"/>
          <w:lang w:eastAsia="en-US"/>
        </w:rPr>
        <w:t>5</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„Осигуряване на кръв и кръвни продукти”</w:t>
      </w:r>
    </w:p>
    <w:p w:rsidR="004C4718" w:rsidRPr="004C4718" w:rsidRDefault="00A83F49" w:rsidP="004C4718">
      <w:pPr>
        <w:spacing w:before="0" w:after="0"/>
        <w:jc w:val="both"/>
        <w:rPr>
          <w:sz w:val="24"/>
          <w:szCs w:val="24"/>
          <w:lang w:eastAsia="en-US"/>
        </w:rPr>
      </w:pPr>
      <w:r>
        <w:rPr>
          <w:sz w:val="24"/>
          <w:szCs w:val="24"/>
          <w:lang w:eastAsia="en-US"/>
        </w:rPr>
        <w:t>6</w:t>
      </w:r>
      <w:r w:rsidR="004C4718" w:rsidRPr="004C4718">
        <w:rPr>
          <w:sz w:val="24"/>
          <w:szCs w:val="24"/>
          <w:lang w:eastAsia="en-US"/>
        </w:rPr>
        <w:t>.</w:t>
      </w:r>
      <w:r>
        <w:rPr>
          <w:sz w:val="24"/>
          <w:szCs w:val="24"/>
          <w:lang w:eastAsia="en-US"/>
        </w:rPr>
        <w:t xml:space="preserve"> </w:t>
      </w:r>
      <w:r w:rsidR="004C4718" w:rsidRPr="004C4718">
        <w:rPr>
          <w:sz w:val="24"/>
          <w:szCs w:val="24"/>
          <w:lang w:eastAsia="en-US"/>
        </w:rPr>
        <w:t>Програма „Медико-социални грижи за деца в неравностойно положение, майчино и детско здравеопазване ”</w:t>
      </w:r>
    </w:p>
    <w:p w:rsidR="004C4718" w:rsidRPr="004C4718" w:rsidRDefault="004C4718" w:rsidP="004C4718">
      <w:pPr>
        <w:spacing w:before="0" w:after="0"/>
        <w:jc w:val="both"/>
        <w:rPr>
          <w:sz w:val="24"/>
          <w:szCs w:val="24"/>
          <w:lang w:eastAsia="en-US"/>
        </w:rPr>
      </w:pPr>
      <w:r w:rsidRPr="004C4718">
        <w:rPr>
          <w:sz w:val="24"/>
          <w:szCs w:val="24"/>
          <w:lang w:eastAsia="en-US"/>
        </w:rPr>
        <w:t>Изпълнението на заложените цели на политиката през 2017 г. е съобразено и синхронизирано с изпълнението на целите и приоритетите на националните стратегически и програмни документи, действащи през 2017 г. - Националната програма за развитие България 2020, Национална програма за реформи, Национална здравна стратегия 2020, Национална здравна карта на Република България, приета с Решение № 202 от 24.03.2016 г. на Министерския съвет и др.</w:t>
      </w:r>
    </w:p>
    <w:p w:rsidR="004C4718" w:rsidRPr="004C4718" w:rsidRDefault="004C4718" w:rsidP="004C4718">
      <w:pPr>
        <w:spacing w:before="0" w:after="0"/>
        <w:jc w:val="both"/>
        <w:rPr>
          <w:sz w:val="24"/>
          <w:szCs w:val="24"/>
          <w:lang w:eastAsia="en-US"/>
        </w:rPr>
      </w:pPr>
      <w:r w:rsidRPr="004C4718">
        <w:rPr>
          <w:sz w:val="24"/>
          <w:szCs w:val="24"/>
          <w:lang w:eastAsia="en-US"/>
        </w:rPr>
        <w:lastRenderedPageBreak/>
        <w:t xml:space="preserve">През 2017г. са реализирани значителен обем дейности, в т.ч. разработване на редица нормативни актове, които пряко изпълняват поставените оперативни цели и създават предпоставки за успешната реализация на политиката в бъдеще. </w:t>
      </w:r>
    </w:p>
    <w:p w:rsidR="004C4718" w:rsidRPr="004C4718" w:rsidRDefault="004C4718" w:rsidP="004C4718">
      <w:pPr>
        <w:spacing w:before="0" w:after="0"/>
        <w:jc w:val="both"/>
        <w:rPr>
          <w:sz w:val="24"/>
          <w:szCs w:val="24"/>
          <w:lang w:eastAsia="en-US"/>
        </w:rPr>
      </w:pPr>
      <w:r w:rsidRPr="004C4718">
        <w:rPr>
          <w:sz w:val="24"/>
          <w:szCs w:val="24"/>
          <w:lang w:eastAsia="en-US"/>
        </w:rPr>
        <w:t>По отношение на стратегическата цел на политиката за „Осигуряване равен достъп до медицинска помощ с необходимото качество на всички български граждани“ в контекста на целите и приоритетите, заложени в основните национални стратегически и програмни документи за подобряване на здравето и качеството на живот на гражданите, липсват убедителни данни за реализирани ползи по отношение на основните здравно-демографски показатели.</w:t>
      </w:r>
    </w:p>
    <w:p w:rsidR="004C4718" w:rsidRPr="004C4718" w:rsidRDefault="004C4718" w:rsidP="004C4718">
      <w:pPr>
        <w:spacing w:before="0" w:after="0"/>
        <w:ind w:firstLine="546"/>
        <w:jc w:val="both"/>
        <w:rPr>
          <w:rFonts w:eastAsia="Batang"/>
          <w:bCs/>
          <w:sz w:val="24"/>
          <w:szCs w:val="24"/>
          <w:lang w:eastAsia="ko-KR"/>
        </w:rPr>
      </w:pPr>
      <w:r w:rsidRPr="004C4718">
        <w:rPr>
          <w:rFonts w:eastAsia="Batang"/>
          <w:bCs/>
          <w:sz w:val="24"/>
          <w:szCs w:val="24"/>
          <w:lang w:eastAsia="ko-KR"/>
        </w:rPr>
        <w:t>През 2017 г. са</w:t>
      </w:r>
      <w:r w:rsidR="00A83F49" w:rsidRPr="00A83F49">
        <w:rPr>
          <w:rFonts w:eastAsia="Batang"/>
          <w:bCs/>
          <w:sz w:val="24"/>
          <w:szCs w:val="24"/>
          <w:lang w:eastAsia="ko-KR"/>
        </w:rPr>
        <w:t xml:space="preserve"> </w:t>
      </w:r>
      <w:r w:rsidRPr="004C4718">
        <w:rPr>
          <w:rFonts w:eastAsia="Batang"/>
          <w:bCs/>
          <w:sz w:val="24"/>
          <w:szCs w:val="24"/>
          <w:lang w:eastAsia="ko-KR"/>
        </w:rPr>
        <w:t>реализирани редица дейности:</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Развитие</w:t>
      </w:r>
      <w:r>
        <w:rPr>
          <w:rFonts w:eastAsia="Batang"/>
          <w:bCs/>
          <w:sz w:val="24"/>
          <w:szCs w:val="24"/>
          <w:lang w:eastAsia="ko-KR"/>
        </w:rPr>
        <w:t xml:space="preserve"> </w:t>
      </w:r>
      <w:r w:rsidR="004C4718" w:rsidRPr="004C4718">
        <w:rPr>
          <w:rFonts w:eastAsia="Batang"/>
          <w:bCs/>
          <w:sz w:val="24"/>
          <w:szCs w:val="24"/>
          <w:lang w:eastAsia="ko-KR"/>
        </w:rPr>
        <w:t>на единна здравно-информационна система и електронно здравеопазване;</w:t>
      </w:r>
    </w:p>
    <w:p w:rsidR="004C4718" w:rsidRPr="004C4718" w:rsidRDefault="00A83F49" w:rsidP="004C4718">
      <w:pPr>
        <w:tabs>
          <w:tab w:val="left" w:pos="1134"/>
        </w:tabs>
        <w:spacing w:before="0" w:after="0"/>
        <w:jc w:val="both"/>
        <w:rPr>
          <w:rFonts w:eastAsia="Batang"/>
          <w:bCs/>
          <w:sz w:val="24"/>
          <w:szCs w:val="24"/>
          <w:lang w:eastAsia="ko-KR"/>
        </w:rPr>
      </w:pPr>
      <w:r>
        <w:rPr>
          <w:sz w:val="24"/>
          <w:szCs w:val="24"/>
        </w:rPr>
        <w:t xml:space="preserve">- </w:t>
      </w:r>
      <w:r w:rsidR="004C4718" w:rsidRPr="004C4718">
        <w:rPr>
          <w:sz w:val="24"/>
          <w:szCs w:val="24"/>
        </w:rPr>
        <w:t>Усъвършенстване на механизмите за контрол и мониторинг върху дейността на лечебните заведения и на структурите, свързани със задължителното и доброволно здравно осигуряване</w:t>
      </w:r>
      <w:r w:rsidR="004C4718" w:rsidRPr="004C4718">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sz w:val="24"/>
          <w:szCs w:val="24"/>
        </w:rPr>
        <w:t xml:space="preserve">- </w:t>
      </w:r>
      <w:r w:rsidR="004C4718" w:rsidRPr="004C4718">
        <w:rPr>
          <w:sz w:val="24"/>
          <w:szCs w:val="24"/>
        </w:rPr>
        <w:t xml:space="preserve">Дейностите, свързани с трансплантация на органи, тъкани, и клетки и осигуряване на достъп на максимален брой нуждаещи се граждани до </w:t>
      </w:r>
      <w:proofErr w:type="spellStart"/>
      <w:r w:rsidR="004C4718" w:rsidRPr="004C4718">
        <w:rPr>
          <w:sz w:val="24"/>
          <w:szCs w:val="24"/>
        </w:rPr>
        <w:t>трансплантационно</w:t>
      </w:r>
      <w:proofErr w:type="spellEnd"/>
      <w:r w:rsidR="004C4718" w:rsidRPr="004C4718">
        <w:rPr>
          <w:sz w:val="24"/>
          <w:szCs w:val="24"/>
        </w:rPr>
        <w:t xml:space="preserve"> лечение в страната и чужбина и необходимото </w:t>
      </w:r>
      <w:proofErr w:type="spellStart"/>
      <w:r w:rsidR="004C4718" w:rsidRPr="004C4718">
        <w:rPr>
          <w:sz w:val="24"/>
          <w:szCs w:val="24"/>
        </w:rPr>
        <w:t>последващо</w:t>
      </w:r>
      <w:proofErr w:type="spellEnd"/>
      <w:r w:rsidR="004C4718" w:rsidRPr="004C4718">
        <w:rPr>
          <w:sz w:val="24"/>
          <w:szCs w:val="24"/>
        </w:rPr>
        <w:t xml:space="preserve"> наблюдение в </w:t>
      </w:r>
      <w:proofErr w:type="spellStart"/>
      <w:r w:rsidR="004C4718" w:rsidRPr="004C4718">
        <w:rPr>
          <w:sz w:val="24"/>
          <w:szCs w:val="24"/>
        </w:rPr>
        <w:t>посттрансплантационния</w:t>
      </w:r>
      <w:proofErr w:type="spellEnd"/>
      <w:r w:rsidR="004C4718" w:rsidRPr="004C4718">
        <w:rPr>
          <w:sz w:val="24"/>
          <w:szCs w:val="24"/>
        </w:rPr>
        <w:t xml:space="preserve"> период</w:t>
      </w:r>
      <w:r>
        <w:rPr>
          <w:sz w:val="24"/>
          <w:szCs w:val="24"/>
        </w:rPr>
        <w:t>;</w:t>
      </w:r>
    </w:p>
    <w:p w:rsidR="00A83F49"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Преструктурирана е организацията и дейностите на медицинската експертиза</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Издадени експертизи на временната неработоспособност и на трайно намалената работоспособност</w:t>
      </w:r>
      <w:r>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Своевременна диагностика, лечение, генетично консултиране и профилактика на най-честите наследствени болести и най-честите вродени аномалии;</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Подобряване на </w:t>
      </w:r>
      <w:proofErr w:type="spellStart"/>
      <w:r w:rsidR="004C4718" w:rsidRPr="004C4718">
        <w:rPr>
          <w:rFonts w:eastAsia="Batang"/>
          <w:bCs/>
          <w:sz w:val="24"/>
          <w:szCs w:val="24"/>
          <w:lang w:eastAsia="ko-KR"/>
        </w:rPr>
        <w:t>диагностиката</w:t>
      </w:r>
      <w:proofErr w:type="spellEnd"/>
      <w:r w:rsidR="004C4718" w:rsidRPr="004C4718">
        <w:rPr>
          <w:rFonts w:eastAsia="Batang"/>
          <w:bCs/>
          <w:sz w:val="24"/>
          <w:szCs w:val="24"/>
          <w:lang w:eastAsia="ko-KR"/>
        </w:rPr>
        <w:t>, лечението и рехабилитацията;</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Финансово са подпомогнати български деца до 18 години, които се нуждаят от диагностични и лечебни процедури, за които няма условия за извършването им в страната и лекувани от чужди специалисти; изпратени са на лечение в чужбина български граждани, за които няма достатъчно ефикасни средства, апаратура и методи за лечение; </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Подобряване на изградената система за спешна медицинска помощ, с цел осигуряване на </w:t>
      </w:r>
      <w:proofErr w:type="spellStart"/>
      <w:r w:rsidR="004C4718" w:rsidRPr="004C4718">
        <w:rPr>
          <w:rFonts w:eastAsia="Batang"/>
          <w:bCs/>
          <w:sz w:val="24"/>
          <w:szCs w:val="24"/>
          <w:lang w:eastAsia="ko-KR"/>
        </w:rPr>
        <w:t>равнопоставен</w:t>
      </w:r>
      <w:proofErr w:type="spellEnd"/>
      <w:r w:rsidR="004C4718" w:rsidRPr="004C4718">
        <w:rPr>
          <w:rFonts w:eastAsia="Batang"/>
          <w:bCs/>
          <w:sz w:val="24"/>
          <w:szCs w:val="24"/>
          <w:lang w:eastAsia="ko-KR"/>
        </w:rPr>
        <w:t xml:space="preserve"> достъп на гражданите до спешна медицинска помощ в съответствие с най-добрите европейски практики и изисквания за своевременност, достатъчност, качество и безопасност, в съответствие с приетата от МС Концепция за развитие на системата за спешна медицинска помощ в Република България 2014 г. – 2020 г.</w:t>
      </w:r>
      <w:r>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Осигуряване на </w:t>
      </w:r>
      <w:proofErr w:type="spellStart"/>
      <w:r w:rsidR="004C4718" w:rsidRPr="004C4718">
        <w:rPr>
          <w:rFonts w:eastAsia="Batang"/>
          <w:bCs/>
          <w:sz w:val="24"/>
          <w:szCs w:val="24"/>
          <w:lang w:eastAsia="ko-KR"/>
        </w:rPr>
        <w:t>равнопоставен</w:t>
      </w:r>
      <w:proofErr w:type="spellEnd"/>
      <w:r w:rsidR="004C4718" w:rsidRPr="004C4718">
        <w:rPr>
          <w:rFonts w:eastAsia="Batang"/>
          <w:bCs/>
          <w:sz w:val="24"/>
          <w:szCs w:val="24"/>
          <w:lang w:eastAsia="ko-KR"/>
        </w:rPr>
        <w:t xml:space="preserve"> достъп и качествено лечение и грижи на всички хора с психични разстройства</w:t>
      </w:r>
      <w:r>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Осигурени медицински изделия за вземане и съхраняване на    </w:t>
      </w:r>
      <w:proofErr w:type="spellStart"/>
      <w:r w:rsidR="004C4718" w:rsidRPr="004C4718">
        <w:rPr>
          <w:rFonts w:eastAsia="Batang"/>
          <w:bCs/>
          <w:sz w:val="24"/>
          <w:szCs w:val="24"/>
          <w:lang w:eastAsia="ko-KR"/>
        </w:rPr>
        <w:t>диагностицирани</w:t>
      </w:r>
      <w:proofErr w:type="spellEnd"/>
      <w:r w:rsidR="004C4718" w:rsidRPr="004C4718">
        <w:rPr>
          <w:rFonts w:eastAsia="Batang"/>
          <w:bCs/>
          <w:sz w:val="24"/>
          <w:szCs w:val="24"/>
          <w:lang w:eastAsia="ko-KR"/>
        </w:rPr>
        <w:t xml:space="preserve"> и преработени кръв и кръвни съставки, както и реактиви за </w:t>
      </w:r>
      <w:proofErr w:type="spellStart"/>
      <w:r w:rsidR="004C4718" w:rsidRPr="004C4718">
        <w:rPr>
          <w:rFonts w:eastAsia="Batang"/>
          <w:bCs/>
          <w:sz w:val="24"/>
          <w:szCs w:val="24"/>
          <w:lang w:eastAsia="ko-KR"/>
        </w:rPr>
        <w:t>имунохематологична</w:t>
      </w:r>
      <w:proofErr w:type="spellEnd"/>
      <w:r w:rsidR="004C4718" w:rsidRPr="004C4718">
        <w:rPr>
          <w:rFonts w:eastAsia="Batang"/>
          <w:bCs/>
          <w:sz w:val="24"/>
          <w:szCs w:val="24"/>
          <w:lang w:eastAsia="ko-KR"/>
        </w:rPr>
        <w:t xml:space="preserve"> диагностика; </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Осигурени за употреба на лечебните заведения необходимите количества </w:t>
      </w:r>
      <w:proofErr w:type="spellStart"/>
      <w:r w:rsidR="004C4718" w:rsidRPr="004C4718">
        <w:rPr>
          <w:rFonts w:eastAsia="Batang"/>
          <w:bCs/>
          <w:sz w:val="24"/>
          <w:szCs w:val="24"/>
          <w:lang w:eastAsia="ko-KR"/>
        </w:rPr>
        <w:t>диагностицирани</w:t>
      </w:r>
      <w:proofErr w:type="spellEnd"/>
      <w:r w:rsidR="004C4718" w:rsidRPr="004C4718">
        <w:rPr>
          <w:rFonts w:eastAsia="Batang"/>
          <w:bCs/>
          <w:sz w:val="24"/>
          <w:szCs w:val="24"/>
          <w:lang w:eastAsia="ko-KR"/>
        </w:rPr>
        <w:t xml:space="preserve"> и преработени кръв и кръвни съставки от трансфузионните центрове.</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Осигурени на продължително медицинско наблюдение, профилактика, диагностика, лечение, рехабилитация и специфични грижи за деца с хронични заболявания и медико-социални проблеми, отглеждани в домовете за медико-социални грижи за деца или такива от семейна среда</w:t>
      </w:r>
      <w:r>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Продължава процеса и подготовката за преминаване от институционален тип грижи за деца в риск към грижи, приоритетно ориентирани към семейна и близка до семейната среда, в изпълнение на Актуализирания план за изпълнение на Националната </w:t>
      </w:r>
      <w:r w:rsidR="004C4718" w:rsidRPr="004C4718">
        <w:rPr>
          <w:rFonts w:eastAsia="Batang"/>
          <w:bCs/>
          <w:sz w:val="24"/>
          <w:szCs w:val="24"/>
          <w:lang w:eastAsia="ko-KR"/>
        </w:rPr>
        <w:lastRenderedPageBreak/>
        <w:t xml:space="preserve">стратегия „Визия за </w:t>
      </w:r>
      <w:proofErr w:type="spellStart"/>
      <w:r w:rsidR="004C4718" w:rsidRPr="004C4718">
        <w:rPr>
          <w:rFonts w:eastAsia="Batang"/>
          <w:bCs/>
          <w:sz w:val="24"/>
          <w:szCs w:val="24"/>
          <w:lang w:eastAsia="ko-KR"/>
        </w:rPr>
        <w:t>деинституционализация</w:t>
      </w:r>
      <w:proofErr w:type="spellEnd"/>
      <w:r w:rsidR="004C4718" w:rsidRPr="004C4718">
        <w:rPr>
          <w:rFonts w:eastAsia="Batang"/>
          <w:bCs/>
          <w:sz w:val="24"/>
          <w:szCs w:val="24"/>
          <w:lang w:eastAsia="ko-KR"/>
        </w:rPr>
        <w:t xml:space="preserve"> на децата в Република България“, както и в съответствие с Концепцията за </w:t>
      </w:r>
      <w:proofErr w:type="spellStart"/>
      <w:r w:rsidR="004C4718" w:rsidRPr="004C4718">
        <w:rPr>
          <w:rFonts w:eastAsia="Batang"/>
          <w:bCs/>
          <w:sz w:val="24"/>
          <w:szCs w:val="24"/>
          <w:lang w:eastAsia="ko-KR"/>
        </w:rPr>
        <w:t>деинституционализация</w:t>
      </w:r>
      <w:proofErr w:type="spellEnd"/>
      <w:r w:rsidR="004C4718" w:rsidRPr="004C4718">
        <w:rPr>
          <w:rFonts w:eastAsia="Batang"/>
          <w:bCs/>
          <w:sz w:val="24"/>
          <w:szCs w:val="24"/>
          <w:lang w:eastAsia="ko-KR"/>
        </w:rPr>
        <w:t xml:space="preserve"> на децата от ДМСГД</w:t>
      </w:r>
      <w:r>
        <w:rPr>
          <w:rFonts w:eastAsia="Batang"/>
          <w:bCs/>
          <w:sz w:val="24"/>
          <w:szCs w:val="24"/>
          <w:lang w:eastAsia="ko-KR"/>
        </w:rPr>
        <w:t>;</w:t>
      </w:r>
    </w:p>
    <w:p w:rsidR="004C4718" w:rsidRPr="004C4718" w:rsidRDefault="00A83F49" w:rsidP="004C4718">
      <w:pPr>
        <w:tabs>
          <w:tab w:val="left" w:pos="1134"/>
        </w:tabs>
        <w:spacing w:before="0" w:after="0"/>
        <w:jc w:val="both"/>
        <w:rPr>
          <w:rFonts w:eastAsia="Batang"/>
          <w:bCs/>
          <w:sz w:val="24"/>
          <w:szCs w:val="24"/>
          <w:lang w:eastAsia="ko-KR"/>
        </w:rPr>
      </w:pPr>
      <w:r>
        <w:rPr>
          <w:rFonts w:eastAsia="Batang"/>
          <w:bCs/>
          <w:sz w:val="24"/>
          <w:szCs w:val="24"/>
          <w:lang w:eastAsia="ko-KR"/>
        </w:rPr>
        <w:t xml:space="preserve">- </w:t>
      </w:r>
      <w:r w:rsidR="004C4718" w:rsidRPr="004C4718">
        <w:rPr>
          <w:rFonts w:eastAsia="Batang"/>
          <w:bCs/>
          <w:sz w:val="24"/>
          <w:szCs w:val="24"/>
          <w:lang w:eastAsia="ko-KR"/>
        </w:rPr>
        <w:t xml:space="preserve">Осигуряване на достъп на български граждани до финансиране за дейности по </w:t>
      </w:r>
      <w:proofErr w:type="spellStart"/>
      <w:r w:rsidR="004C4718" w:rsidRPr="004C4718">
        <w:rPr>
          <w:rFonts w:eastAsia="Batang"/>
          <w:bCs/>
          <w:sz w:val="24"/>
          <w:szCs w:val="24"/>
          <w:lang w:eastAsia="ko-KR"/>
        </w:rPr>
        <w:t>асистирана</w:t>
      </w:r>
      <w:proofErr w:type="spellEnd"/>
      <w:r w:rsidR="004C4718" w:rsidRPr="004C4718">
        <w:rPr>
          <w:rFonts w:eastAsia="Batang"/>
          <w:bCs/>
          <w:sz w:val="24"/>
          <w:szCs w:val="24"/>
          <w:lang w:eastAsia="ko-KR"/>
        </w:rPr>
        <w:t xml:space="preserve"> репродукция от ЦАР</w:t>
      </w:r>
      <w:r>
        <w:rPr>
          <w:rFonts w:eastAsia="Batang"/>
          <w:bCs/>
          <w:sz w:val="24"/>
          <w:szCs w:val="24"/>
          <w:lang w:eastAsia="ko-KR"/>
        </w:rPr>
        <w:t>.</w:t>
      </w:r>
    </w:p>
    <w:p w:rsidR="004C4718" w:rsidRPr="004C4718" w:rsidRDefault="004C4718" w:rsidP="004C4718">
      <w:pPr>
        <w:spacing w:before="0" w:after="0"/>
        <w:jc w:val="both"/>
        <w:rPr>
          <w:sz w:val="24"/>
          <w:szCs w:val="24"/>
          <w:lang w:eastAsia="en-US"/>
        </w:rPr>
      </w:pPr>
      <w:r w:rsidRPr="004C4718">
        <w:rPr>
          <w:sz w:val="24"/>
          <w:szCs w:val="24"/>
          <w:lang w:eastAsia="en-US"/>
        </w:rPr>
        <w:t xml:space="preserve">За изпълнението на дейностите по програмата са ангажирани служители от Регионалните здравни инспекции (РЗИ), Държавните психиатрични болници (ДПБ), Центровете за спешна медицинска помощ (ЦСМП), Домовете за медико-социални грижи за деца (ДМСГД), Националния център по трансфузионна хематология (НЦТХ), Регионалните центрове по трансфузионна хематология (РЦТХ), Националната експертна лекарска комисия (НЕЛК), Изпълнителна агенция по трансплантация (ИАТ), Център „Фонд за лечение на деца” (ЦФЛД), Център за </w:t>
      </w:r>
      <w:proofErr w:type="spellStart"/>
      <w:r w:rsidRPr="004C4718">
        <w:rPr>
          <w:sz w:val="24"/>
          <w:szCs w:val="24"/>
          <w:lang w:eastAsia="en-US"/>
        </w:rPr>
        <w:t>асистирана</w:t>
      </w:r>
      <w:proofErr w:type="spellEnd"/>
      <w:r w:rsidRPr="004C4718">
        <w:rPr>
          <w:sz w:val="24"/>
          <w:szCs w:val="24"/>
          <w:lang w:eastAsia="en-US"/>
        </w:rPr>
        <w:t xml:space="preserve"> репродукция, както и персоналът на преобразуваните лечебни заведения за болнична помощ с държавно и общинско участие.</w:t>
      </w:r>
      <w:r w:rsidRPr="004C4718">
        <w:rPr>
          <w:sz w:val="24"/>
          <w:szCs w:val="24"/>
          <w:lang w:eastAsia="en-US"/>
        </w:rPr>
        <w:tab/>
      </w:r>
    </w:p>
    <w:p w:rsidR="004C4718" w:rsidRPr="004C4718" w:rsidRDefault="004C4718" w:rsidP="004C4718">
      <w:pPr>
        <w:spacing w:before="0" w:after="0"/>
        <w:jc w:val="both"/>
        <w:rPr>
          <w:sz w:val="24"/>
          <w:szCs w:val="24"/>
          <w:lang w:eastAsia="en-US"/>
        </w:rPr>
      </w:pPr>
      <w:r w:rsidRPr="004C4718">
        <w:rPr>
          <w:sz w:val="24"/>
          <w:szCs w:val="24"/>
          <w:lang w:eastAsia="en-US"/>
        </w:rPr>
        <w:t>Изразходваните средства през 2017 г. за реализирането на политиката са в размер на 340,0 млн.лв., което е с 10,8 млн.лв. или 3,2 % повече спрямо отчетените средства за реализиране на политиката през предходната година. В рамките на отчетените средства се изпълняват централни доставки на медикаменти и консумативи и национални програми, лечение в чужбина, както и се предоставят субсидии за лечебните заведения за болнична помощ с държавно и общинско участие.</w:t>
      </w:r>
    </w:p>
    <w:p w:rsidR="004C4718" w:rsidRPr="004C4718" w:rsidRDefault="004C4718" w:rsidP="004C4718">
      <w:pPr>
        <w:spacing w:before="0" w:after="0"/>
        <w:jc w:val="both"/>
        <w:rPr>
          <w:b/>
          <w:sz w:val="24"/>
          <w:szCs w:val="24"/>
          <w:lang w:eastAsia="en-US"/>
        </w:rPr>
      </w:pPr>
      <w:r w:rsidRPr="004C4718">
        <w:rPr>
          <w:b/>
          <w:sz w:val="24"/>
          <w:szCs w:val="24"/>
          <w:lang w:eastAsia="en-US"/>
        </w:rPr>
        <w:t>Преглед на изпълнението на политика в областта на „Лекарствените продукти и медицинските изделия”</w:t>
      </w:r>
    </w:p>
    <w:p w:rsidR="004C4718" w:rsidRPr="004C4718" w:rsidRDefault="004C4718" w:rsidP="004C4718">
      <w:pPr>
        <w:spacing w:before="0" w:after="0"/>
        <w:jc w:val="both"/>
        <w:rPr>
          <w:sz w:val="24"/>
          <w:szCs w:val="24"/>
          <w:lang w:eastAsia="en-US"/>
        </w:rPr>
      </w:pPr>
      <w:r w:rsidRPr="004C4718">
        <w:rPr>
          <w:sz w:val="24"/>
          <w:szCs w:val="24"/>
          <w:lang w:eastAsia="en-US"/>
        </w:rPr>
        <w:t>Целта на политиката е осигуряване на лекарствени продукти и медицински изделия, които отговарят на стандартите за качество, безопасност и ефикасност.</w:t>
      </w:r>
    </w:p>
    <w:p w:rsidR="004C4718" w:rsidRPr="004C4718" w:rsidRDefault="004C4718" w:rsidP="004C4718">
      <w:pPr>
        <w:spacing w:before="0" w:after="0"/>
        <w:ind w:firstLine="546"/>
        <w:jc w:val="both"/>
        <w:rPr>
          <w:rFonts w:eastAsia="Batang"/>
          <w:bCs/>
          <w:sz w:val="24"/>
          <w:szCs w:val="24"/>
          <w:lang w:eastAsia="ko-KR"/>
        </w:rPr>
      </w:pPr>
      <w:r w:rsidRPr="004C4718">
        <w:rPr>
          <w:rFonts w:eastAsia="Batang"/>
          <w:bCs/>
          <w:sz w:val="24"/>
          <w:szCs w:val="24"/>
          <w:lang w:eastAsia="ko-KR"/>
        </w:rPr>
        <w:t xml:space="preserve">За постигане на стратегическите и оперативни цели на политиката е изпълнявана една </w:t>
      </w:r>
      <w:r w:rsidRPr="004C4718">
        <w:rPr>
          <w:rFonts w:eastAsia="Batang"/>
          <w:b/>
          <w:bCs/>
          <w:sz w:val="24"/>
          <w:szCs w:val="24"/>
          <w:lang w:eastAsia="ko-KR"/>
        </w:rPr>
        <w:t>основна програма</w:t>
      </w:r>
      <w:r w:rsidR="00A83F49">
        <w:rPr>
          <w:rFonts w:eastAsia="Batang"/>
          <w:b/>
          <w:bCs/>
          <w:sz w:val="24"/>
          <w:szCs w:val="24"/>
          <w:lang w:eastAsia="ko-KR"/>
        </w:rPr>
        <w:t xml:space="preserve"> </w:t>
      </w:r>
      <w:r w:rsidRPr="004C4718">
        <w:rPr>
          <w:rFonts w:eastAsia="Batang"/>
          <w:bCs/>
          <w:sz w:val="24"/>
          <w:szCs w:val="24"/>
          <w:lang w:eastAsia="ko-KR"/>
        </w:rPr>
        <w:t>„</w:t>
      </w:r>
      <w:r w:rsidRPr="004C4718">
        <w:t>Д</w:t>
      </w:r>
      <w:r w:rsidRPr="004C4718">
        <w:rPr>
          <w:rFonts w:eastAsia="Batang"/>
          <w:bCs/>
          <w:sz w:val="24"/>
          <w:szCs w:val="24"/>
          <w:lang w:eastAsia="ko-KR"/>
        </w:rPr>
        <w:t>остъпни и качествени лекарствени продукти и медицински изделия”</w:t>
      </w:r>
      <w:r w:rsidR="00A83F49">
        <w:rPr>
          <w:rFonts w:eastAsia="Batang"/>
          <w:bCs/>
          <w:sz w:val="24"/>
          <w:szCs w:val="24"/>
          <w:lang w:eastAsia="ko-KR"/>
        </w:rPr>
        <w:t>.</w:t>
      </w:r>
    </w:p>
    <w:p w:rsidR="004C4718" w:rsidRPr="004C4718" w:rsidRDefault="004C4718" w:rsidP="004C4718">
      <w:pPr>
        <w:spacing w:before="0" w:after="0"/>
        <w:jc w:val="both"/>
        <w:rPr>
          <w:sz w:val="24"/>
          <w:szCs w:val="24"/>
          <w:lang w:eastAsia="en-US"/>
        </w:rPr>
      </w:pPr>
      <w:r w:rsidRPr="004C4718">
        <w:rPr>
          <w:sz w:val="24"/>
          <w:szCs w:val="24"/>
          <w:lang w:eastAsia="en-US"/>
        </w:rPr>
        <w:t>За постигане на целта са извършени следните дейности:</w:t>
      </w:r>
    </w:p>
    <w:p w:rsidR="004C4718" w:rsidRPr="004C4718" w:rsidRDefault="00A83F49" w:rsidP="00A83F49">
      <w:pPr>
        <w:spacing w:before="0" w:after="0"/>
        <w:contextualSpacing/>
        <w:jc w:val="both"/>
        <w:rPr>
          <w:sz w:val="24"/>
          <w:szCs w:val="24"/>
          <w:lang w:eastAsia="en-US"/>
        </w:rPr>
      </w:pPr>
      <w:r>
        <w:rPr>
          <w:sz w:val="24"/>
          <w:szCs w:val="24"/>
          <w:lang w:eastAsia="en-US"/>
        </w:rPr>
        <w:t xml:space="preserve">- </w:t>
      </w:r>
      <w:r w:rsidR="004C4718" w:rsidRPr="004C4718">
        <w:rPr>
          <w:sz w:val="24"/>
          <w:szCs w:val="24"/>
          <w:lang w:eastAsia="en-US"/>
        </w:rPr>
        <w:t>Осъвременяване на нормативната база в областта на лекарствените продукти и медицинските изделия, отговарящи на правото на Европейския съюз;</w:t>
      </w:r>
    </w:p>
    <w:p w:rsidR="004C4718" w:rsidRPr="004C4718" w:rsidRDefault="00A83F49" w:rsidP="00A83F49">
      <w:pPr>
        <w:spacing w:before="0" w:after="0"/>
        <w:contextualSpacing/>
        <w:jc w:val="both"/>
        <w:rPr>
          <w:sz w:val="24"/>
          <w:szCs w:val="24"/>
          <w:lang w:eastAsia="en-US"/>
        </w:rPr>
      </w:pPr>
      <w:r>
        <w:rPr>
          <w:sz w:val="24"/>
          <w:szCs w:val="24"/>
          <w:lang w:eastAsia="en-US"/>
        </w:rPr>
        <w:t xml:space="preserve">- </w:t>
      </w:r>
      <w:r w:rsidR="004C4718" w:rsidRPr="004C4718">
        <w:rPr>
          <w:sz w:val="24"/>
          <w:szCs w:val="24"/>
          <w:lang w:eastAsia="en-US"/>
        </w:rPr>
        <w:t>Осигурен е непрекъснат контрол и мониторинг на качеството, безопасността и ефикасността на разрешените за употреба лекарствени продукти в страната, както и текущо актуализиране на нормите и стандартите за производство, разрешаване на употреба, разпространение, предписване и отпускане на лекарствени продукти и медицински изделия;</w:t>
      </w:r>
    </w:p>
    <w:p w:rsidR="004C4718" w:rsidRPr="004C4718" w:rsidRDefault="00A83F49" w:rsidP="00A83F49">
      <w:pPr>
        <w:spacing w:before="0" w:after="0"/>
        <w:contextualSpacing/>
        <w:jc w:val="both"/>
        <w:rPr>
          <w:sz w:val="24"/>
          <w:szCs w:val="24"/>
          <w:lang w:eastAsia="en-US"/>
        </w:rPr>
      </w:pPr>
      <w:r>
        <w:rPr>
          <w:sz w:val="24"/>
          <w:szCs w:val="24"/>
          <w:lang w:eastAsia="en-US"/>
        </w:rPr>
        <w:t xml:space="preserve">- </w:t>
      </w:r>
      <w:r w:rsidR="004C4718" w:rsidRPr="004C4718">
        <w:rPr>
          <w:sz w:val="24"/>
          <w:szCs w:val="24"/>
          <w:lang w:eastAsia="en-US"/>
        </w:rPr>
        <w:t xml:space="preserve">Провеждане на </w:t>
      </w:r>
      <w:proofErr w:type="spellStart"/>
      <w:r w:rsidR="004C4718" w:rsidRPr="004C4718">
        <w:rPr>
          <w:sz w:val="24"/>
          <w:szCs w:val="24"/>
          <w:lang w:eastAsia="en-US"/>
        </w:rPr>
        <w:t>реимбурсна</w:t>
      </w:r>
      <w:proofErr w:type="spellEnd"/>
      <w:r w:rsidR="004C4718" w:rsidRPr="004C4718">
        <w:rPr>
          <w:sz w:val="24"/>
          <w:szCs w:val="24"/>
          <w:lang w:eastAsia="en-US"/>
        </w:rPr>
        <w:t xml:space="preserve"> и ценова политика в областта на лекарствените продукти, осъществявана от Националния съвет по цени и </w:t>
      </w:r>
      <w:proofErr w:type="spellStart"/>
      <w:r w:rsidR="004C4718" w:rsidRPr="004C4718">
        <w:rPr>
          <w:sz w:val="24"/>
          <w:szCs w:val="24"/>
          <w:lang w:eastAsia="en-US"/>
        </w:rPr>
        <w:t>реимбурсиране</w:t>
      </w:r>
      <w:proofErr w:type="spellEnd"/>
      <w:r w:rsidR="004C4718" w:rsidRPr="004C4718">
        <w:rPr>
          <w:sz w:val="24"/>
          <w:szCs w:val="24"/>
          <w:lang w:eastAsia="en-US"/>
        </w:rPr>
        <w:t xml:space="preserve"> на лекарствените продукти (НСЦРЛП).</w:t>
      </w:r>
    </w:p>
    <w:p w:rsidR="004C4718" w:rsidRPr="004C4718" w:rsidRDefault="004C4718" w:rsidP="004C4718">
      <w:pPr>
        <w:spacing w:before="0" w:after="0"/>
        <w:jc w:val="both"/>
        <w:rPr>
          <w:sz w:val="24"/>
          <w:szCs w:val="24"/>
          <w:lang w:eastAsia="en-US"/>
        </w:rPr>
      </w:pPr>
      <w:r w:rsidRPr="004C4718">
        <w:rPr>
          <w:sz w:val="24"/>
          <w:szCs w:val="24"/>
          <w:lang w:eastAsia="en-US"/>
        </w:rPr>
        <w:t xml:space="preserve">За изпълнението на дейностите по програмата са ангажирани служители от Изпълнителна агенция по лекарствата и Националния съвет по цени и </w:t>
      </w:r>
      <w:proofErr w:type="spellStart"/>
      <w:r w:rsidRPr="004C4718">
        <w:rPr>
          <w:sz w:val="24"/>
          <w:szCs w:val="24"/>
          <w:lang w:eastAsia="en-US"/>
        </w:rPr>
        <w:t>реимбурсиране</w:t>
      </w:r>
      <w:proofErr w:type="spellEnd"/>
      <w:r w:rsidRPr="004C4718">
        <w:rPr>
          <w:sz w:val="24"/>
          <w:szCs w:val="24"/>
          <w:lang w:eastAsia="en-US"/>
        </w:rPr>
        <w:t xml:space="preserve"> на лекарствените продукти.</w:t>
      </w:r>
    </w:p>
    <w:p w:rsidR="004C4718" w:rsidRDefault="004C4718" w:rsidP="004C4718">
      <w:pPr>
        <w:spacing w:before="0" w:after="0"/>
        <w:jc w:val="both"/>
        <w:rPr>
          <w:sz w:val="24"/>
          <w:szCs w:val="24"/>
          <w:lang w:eastAsia="en-US"/>
        </w:rPr>
      </w:pPr>
      <w:r w:rsidRPr="004C4718">
        <w:rPr>
          <w:sz w:val="24"/>
          <w:szCs w:val="24"/>
          <w:lang w:eastAsia="en-US"/>
        </w:rPr>
        <w:t xml:space="preserve">За изпълнението на дейностите по политиката в областта на лекарствата и медицинските изделия през 2017 г. от бюджета на МЗ са изразходвани 26,1 млн.лв., което е с 5,4 млн.лв. или 26 % повече спрямо отчетените средства за реализиране на политиката през предходната година. В рамките на отчетените средства са осигуряването на лекарствени продукти за лечение на пациенти със СПИН, туберкулоза, психични и поведенчески разстройства, дължащи се на употреба на </w:t>
      </w:r>
      <w:proofErr w:type="spellStart"/>
      <w:r w:rsidRPr="004C4718">
        <w:rPr>
          <w:sz w:val="24"/>
          <w:szCs w:val="24"/>
          <w:lang w:eastAsia="en-US"/>
        </w:rPr>
        <w:t>опиоиди</w:t>
      </w:r>
      <w:proofErr w:type="spellEnd"/>
      <w:r w:rsidRPr="004C4718">
        <w:rPr>
          <w:sz w:val="24"/>
          <w:szCs w:val="24"/>
          <w:lang w:eastAsia="en-US"/>
        </w:rPr>
        <w:t xml:space="preserve">, синдром на зависимости и </w:t>
      </w:r>
      <w:proofErr w:type="spellStart"/>
      <w:r w:rsidRPr="004C4718">
        <w:rPr>
          <w:sz w:val="24"/>
          <w:szCs w:val="24"/>
          <w:lang w:eastAsia="en-US"/>
        </w:rPr>
        <w:t>радиофармацевтици</w:t>
      </w:r>
      <w:proofErr w:type="spellEnd"/>
      <w:r w:rsidRPr="004C4718">
        <w:rPr>
          <w:sz w:val="24"/>
          <w:szCs w:val="24"/>
          <w:lang w:eastAsia="en-US"/>
        </w:rPr>
        <w:t xml:space="preserve"> по реда на Наредба № 34/2005г.    </w:t>
      </w:r>
    </w:p>
    <w:p w:rsidR="008747F0" w:rsidRDefault="008747F0" w:rsidP="004C4718">
      <w:pPr>
        <w:spacing w:before="0" w:after="0"/>
        <w:jc w:val="both"/>
        <w:rPr>
          <w:sz w:val="24"/>
          <w:szCs w:val="24"/>
          <w:lang w:eastAsia="en-US"/>
        </w:rPr>
      </w:pPr>
    </w:p>
    <w:p w:rsidR="008747F0" w:rsidRPr="004C4718" w:rsidRDefault="008747F0" w:rsidP="004C4718">
      <w:pPr>
        <w:spacing w:before="0" w:after="0"/>
        <w:jc w:val="both"/>
        <w:rPr>
          <w:sz w:val="24"/>
          <w:szCs w:val="24"/>
          <w:lang w:eastAsia="en-US"/>
        </w:rPr>
      </w:pPr>
    </w:p>
    <w:p w:rsidR="004C4718" w:rsidRPr="004C4718" w:rsidRDefault="004C4718" w:rsidP="004C4718">
      <w:pPr>
        <w:spacing w:before="0" w:after="0"/>
        <w:jc w:val="both"/>
        <w:rPr>
          <w:b/>
          <w:sz w:val="24"/>
          <w:szCs w:val="24"/>
        </w:rPr>
      </w:pPr>
      <w:r w:rsidRPr="004C4718">
        <w:rPr>
          <w:b/>
          <w:sz w:val="24"/>
          <w:szCs w:val="24"/>
        </w:rPr>
        <w:lastRenderedPageBreak/>
        <w:t>Програма „Администрация”</w:t>
      </w:r>
    </w:p>
    <w:p w:rsidR="004C4718" w:rsidRPr="004C4718" w:rsidRDefault="004C4718" w:rsidP="004C4718">
      <w:pPr>
        <w:spacing w:before="0" w:after="0"/>
        <w:jc w:val="both"/>
        <w:rPr>
          <w:sz w:val="24"/>
          <w:szCs w:val="24"/>
        </w:rPr>
      </w:pPr>
      <w:r w:rsidRPr="004C4718">
        <w:rPr>
          <w:sz w:val="24"/>
          <w:szCs w:val="24"/>
        </w:rPr>
        <w:t>В програмата са включени дейностите, които подпомагат изпълнението на програмите за постигането на стратегическите цели в здравеопазването.  По тази програма са отнесени разходите за администрацията на Министерството на здравеопазването и дейностите по “управление при кризи и отбранително мобилизационна подготовка”, както и разходите за лихви по заеми от международни организации и институции.</w:t>
      </w:r>
    </w:p>
    <w:p w:rsidR="004C4718" w:rsidRPr="004C4718" w:rsidRDefault="004C4718" w:rsidP="004C4718">
      <w:pPr>
        <w:spacing w:before="0" w:after="0"/>
        <w:jc w:val="both"/>
        <w:rPr>
          <w:sz w:val="24"/>
          <w:szCs w:val="24"/>
        </w:rPr>
      </w:pPr>
    </w:p>
    <w:p w:rsidR="00940E69" w:rsidRPr="00056DFA" w:rsidRDefault="00940E69" w:rsidP="00940E69">
      <w:pPr>
        <w:spacing w:before="0" w:after="0"/>
        <w:jc w:val="both"/>
        <w:rPr>
          <w:sz w:val="24"/>
          <w:szCs w:val="24"/>
        </w:rPr>
      </w:pPr>
    </w:p>
    <w:p w:rsidR="00940E69" w:rsidRPr="00927B11" w:rsidRDefault="00940E69" w:rsidP="00940E69">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11" w:name="_Toc523492631"/>
      <w:r w:rsidRPr="00927B11">
        <w:rPr>
          <w:rFonts w:ascii="Times New Roman" w:eastAsia="Batang" w:hAnsi="Times New Roman" w:cs="Times New Roman"/>
          <w:b/>
          <w:bCs/>
          <w:caps/>
          <w:lang w:val="bg-BG" w:eastAsia="ko-KR"/>
        </w:rPr>
        <w:t>Министерството на културата</w:t>
      </w:r>
      <w:bookmarkEnd w:id="11"/>
    </w:p>
    <w:p w:rsidR="00940E69" w:rsidRPr="00BF123C" w:rsidRDefault="00940E69" w:rsidP="00940E69">
      <w:pPr>
        <w:spacing w:before="0" w:after="0"/>
        <w:jc w:val="both"/>
        <w:rPr>
          <w:sz w:val="24"/>
          <w:szCs w:val="24"/>
        </w:rPr>
      </w:pPr>
      <w:r w:rsidRPr="00056DFA">
        <w:rPr>
          <w:sz w:val="24"/>
          <w:szCs w:val="24"/>
        </w:rPr>
        <w:t>В програмния отчет на Министерство на културата е представено изпълнението на политиките, утвърдени с чл. 17, ал. 2 от Закона за държавния бюджет на Република България за 201</w:t>
      </w:r>
      <w:r w:rsidRPr="00BF123C">
        <w:rPr>
          <w:sz w:val="24"/>
          <w:szCs w:val="24"/>
        </w:rPr>
        <w:t>7</w:t>
      </w:r>
      <w:r w:rsidRPr="00056DFA">
        <w:rPr>
          <w:sz w:val="24"/>
          <w:szCs w:val="24"/>
        </w:rPr>
        <w:t> г. и на програмите, утвърдени от Министерския съвет с приложение № 1 към чл. 1 от ПМС № 374 от 22 декември 2016 г. за изпълнението на държавния бюджет на Република България за 2017 г. Програмният формат на бюджета на Министерство на културата е изградена от 10 програми, групирани в две политики.</w:t>
      </w:r>
    </w:p>
    <w:p w:rsidR="00940E69" w:rsidRPr="00BF123C" w:rsidRDefault="00940E69" w:rsidP="00940E69">
      <w:pPr>
        <w:spacing w:before="0" w:after="0"/>
        <w:jc w:val="both"/>
        <w:rPr>
          <w:b/>
          <w:sz w:val="24"/>
          <w:szCs w:val="24"/>
        </w:rPr>
      </w:pPr>
      <w:r w:rsidRPr="00056DFA">
        <w:rPr>
          <w:b/>
          <w:sz w:val="24"/>
          <w:szCs w:val="24"/>
        </w:rPr>
        <w:t>Политика в областта на опазване на движимото и недвижимото културно наследство.</w:t>
      </w:r>
    </w:p>
    <w:p w:rsidR="00940E69" w:rsidRPr="00BF123C" w:rsidRDefault="00940E69" w:rsidP="00940E69">
      <w:pPr>
        <w:spacing w:before="0" w:after="0"/>
        <w:jc w:val="both"/>
        <w:rPr>
          <w:b/>
          <w:sz w:val="24"/>
          <w:szCs w:val="24"/>
        </w:rPr>
      </w:pPr>
      <w:r w:rsidRPr="00056DFA">
        <w:rPr>
          <w:b/>
          <w:sz w:val="24"/>
          <w:szCs w:val="24"/>
        </w:rPr>
        <w:t>Бюджетна програма „Опазване на недвижимото културно наследство“</w:t>
      </w:r>
    </w:p>
    <w:p w:rsidR="00940E69" w:rsidRPr="00BF123C" w:rsidRDefault="00940E69" w:rsidP="00940E69">
      <w:pPr>
        <w:spacing w:before="0" w:after="0"/>
        <w:jc w:val="both"/>
        <w:rPr>
          <w:sz w:val="24"/>
          <w:szCs w:val="24"/>
        </w:rPr>
      </w:pPr>
      <w:r w:rsidRPr="00056DFA">
        <w:rPr>
          <w:sz w:val="24"/>
          <w:szCs w:val="24"/>
        </w:rPr>
        <w:t xml:space="preserve">Дейностите по бюджетната програмата обхващат три основни направления, изготвени в съответствие с няколко значими критерия, засягащи проучването, опазването и </w:t>
      </w:r>
      <w:proofErr w:type="spellStart"/>
      <w:r w:rsidRPr="00056DFA">
        <w:rPr>
          <w:sz w:val="24"/>
          <w:szCs w:val="24"/>
        </w:rPr>
        <w:t>социо-културната</w:t>
      </w:r>
      <w:proofErr w:type="spellEnd"/>
      <w:r w:rsidRPr="00056DFA">
        <w:rPr>
          <w:sz w:val="24"/>
          <w:szCs w:val="24"/>
        </w:rPr>
        <w:t xml:space="preserve"> интеграция на недвижимото културно наследство в обществото и реализиране на неговите функции като фактор за устойчиво развитие, а именно: културната значимост на обектите на недвижимото културно наследство; степента на риска; възможностите за ефективна социализация. Осигурено е изпълнение на технически и </w:t>
      </w:r>
      <w:proofErr w:type="spellStart"/>
      <w:r w:rsidRPr="00056DFA">
        <w:rPr>
          <w:sz w:val="24"/>
          <w:szCs w:val="24"/>
        </w:rPr>
        <w:t>проучвателски</w:t>
      </w:r>
      <w:proofErr w:type="spellEnd"/>
      <w:r w:rsidRPr="00056DFA">
        <w:rPr>
          <w:sz w:val="24"/>
          <w:szCs w:val="24"/>
        </w:rPr>
        <w:t xml:space="preserve"> научни дейности по реставрация и консервация, укрепване, защитни покрития, вертикална планировка на някои от най-значимите обекти на недвижимото културно наследство, вписани са нови обекти в Индикативната листа на Р. България, притежаващи качества за кандидатстване за световно наследство, предоставен е статут и са определени режими за опазване на редица недвижими културни ценности, финансирани са редовни археологически проучвания, съгласувани са проекти за изграждане и поставяне на паметници и монументално-декоративни структури.</w:t>
      </w:r>
    </w:p>
    <w:tbl>
      <w:tblPr>
        <w:tblW w:w="9120" w:type="dxa"/>
        <w:tblInd w:w="55" w:type="dxa"/>
        <w:tblCellMar>
          <w:left w:w="70" w:type="dxa"/>
          <w:right w:w="70" w:type="dxa"/>
        </w:tblCellMar>
        <w:tblLook w:val="04A0" w:firstRow="1" w:lastRow="0" w:firstColumn="1" w:lastColumn="0" w:noHBand="0" w:noVBand="1"/>
      </w:tblPr>
      <w:tblGrid>
        <w:gridCol w:w="6040"/>
        <w:gridCol w:w="1480"/>
        <w:gridCol w:w="1600"/>
      </w:tblGrid>
      <w:tr w:rsidR="00940E69" w:rsidRPr="00056DFA" w:rsidTr="003A0A22">
        <w:trPr>
          <w:trHeight w:val="645"/>
        </w:trPr>
        <w:tc>
          <w:tcPr>
            <w:tcW w:w="6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“Опазване на недвижимото културно наследство”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0E70B9" w:rsidRDefault="00940E69" w:rsidP="000E70B9">
            <w:pPr>
              <w:spacing w:before="0" w:after="0"/>
              <w:ind w:firstLine="284"/>
              <w:jc w:val="center"/>
              <w:rPr>
                <w:b/>
                <w:bCs/>
                <w:color w:val="000000"/>
                <w:sz w:val="24"/>
                <w:szCs w:val="24"/>
                <w:lang w:val="en-US"/>
              </w:rPr>
            </w:pPr>
            <w:r w:rsidRPr="00056DFA">
              <w:rPr>
                <w:b/>
                <w:bCs/>
                <w:color w:val="000000"/>
                <w:sz w:val="24"/>
                <w:szCs w:val="24"/>
              </w:rPr>
              <w:t xml:space="preserve">План </w:t>
            </w:r>
          </w:p>
          <w:p w:rsidR="00940E69" w:rsidRPr="00056DFA" w:rsidRDefault="00940E69" w:rsidP="000E70B9">
            <w:pPr>
              <w:spacing w:before="0" w:after="0"/>
              <w:ind w:firstLine="284"/>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0E70B9" w:rsidRDefault="00940E69" w:rsidP="000E70B9">
            <w:pPr>
              <w:spacing w:before="0" w:after="0"/>
              <w:ind w:firstLine="363"/>
              <w:rPr>
                <w:b/>
                <w:bCs/>
                <w:color w:val="000000"/>
                <w:sz w:val="24"/>
                <w:szCs w:val="24"/>
                <w:lang w:val="en-US"/>
              </w:rPr>
            </w:pPr>
            <w:r w:rsidRPr="00056DFA">
              <w:rPr>
                <w:b/>
                <w:bCs/>
                <w:color w:val="000000"/>
                <w:sz w:val="24"/>
                <w:szCs w:val="24"/>
              </w:rPr>
              <w:t xml:space="preserve">Отчет </w:t>
            </w:r>
          </w:p>
          <w:p w:rsidR="00940E69" w:rsidRPr="00056DFA" w:rsidRDefault="00940E69" w:rsidP="000E70B9">
            <w:pPr>
              <w:spacing w:before="0" w:after="0"/>
              <w:ind w:firstLine="363"/>
              <w:rPr>
                <w:b/>
                <w:bCs/>
                <w:color w:val="000000"/>
                <w:sz w:val="24"/>
                <w:szCs w:val="24"/>
              </w:rPr>
            </w:pPr>
            <w:r w:rsidRPr="00056DFA">
              <w:rPr>
                <w:b/>
                <w:bCs/>
                <w:color w:val="000000"/>
                <w:sz w:val="24"/>
                <w:szCs w:val="24"/>
              </w:rPr>
              <w:t>(брой)</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Поддържане на Националния регистър на недвижимите културни ценности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39 037</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39 135</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Издирване, изучаване и определяне режими на опазване на НКЦ и определяне реда за обществен достъп</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150</w:t>
            </w:r>
          </w:p>
        </w:tc>
      </w:tr>
      <w:tr w:rsidR="00940E69" w:rsidRPr="00056DFA" w:rsidTr="003A0A22">
        <w:trPr>
          <w:trHeight w:val="72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Проекти за изменение и допълнение на законови и подзаконови актове и становища по предложения</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r>
      <w:tr w:rsidR="00940E69" w:rsidRPr="00056DFA" w:rsidTr="003A0A22">
        <w:trPr>
          <w:trHeight w:val="126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4. Методически указания, анализи, експертизи, становища върху състоянието на НКЦ, експертизи, мониторинг, концесии  и определяне на приоритети за опазване. </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90</w:t>
            </w:r>
          </w:p>
        </w:tc>
      </w:tr>
      <w:tr w:rsidR="00940E69" w:rsidRPr="00056DFA" w:rsidTr="003A0A22">
        <w:trPr>
          <w:trHeight w:val="94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lastRenderedPageBreak/>
              <w:t xml:space="preserve">5. Становища по </w:t>
            </w:r>
            <w:proofErr w:type="spellStart"/>
            <w:r w:rsidRPr="00056DFA">
              <w:rPr>
                <w:color w:val="000000"/>
                <w:sz w:val="24"/>
                <w:szCs w:val="24"/>
              </w:rPr>
              <w:t>устройствени</w:t>
            </w:r>
            <w:proofErr w:type="spellEnd"/>
            <w:r w:rsidRPr="00056DFA">
              <w:rPr>
                <w:color w:val="000000"/>
                <w:sz w:val="24"/>
                <w:szCs w:val="24"/>
              </w:rPr>
              <w:t xml:space="preserve"> схеми и планове, инвестиционни инициативи и проекти по намеси в територии и обекти на КИН концесии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2 600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2 090</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6. Обслужване "на едно гише"</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6 500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4 599</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7. Специализирано документиране-фотограметрия, геодезия, фото и видео и поддържане на архив</w:t>
            </w:r>
          </w:p>
        </w:tc>
        <w:tc>
          <w:tcPr>
            <w:tcW w:w="148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50 000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95 000</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8. Провеждане на следдипломна квалификация за архитекти</w:t>
            </w:r>
          </w:p>
        </w:tc>
        <w:tc>
          <w:tcPr>
            <w:tcW w:w="148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9. Популяризиране на НКЦ и дейността по опазването им - печатни издания, медийни участия и изложби</w:t>
            </w:r>
          </w:p>
        </w:tc>
        <w:tc>
          <w:tcPr>
            <w:tcW w:w="148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r>
    </w:tbl>
    <w:p w:rsidR="00300FE8" w:rsidRDefault="00300FE8" w:rsidP="00940E69">
      <w:pPr>
        <w:spacing w:before="0" w:after="0"/>
        <w:jc w:val="both"/>
        <w:rPr>
          <w:b/>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„Опазване и представяне на движимото културно наследство и визуалните изкуства“.</w:t>
      </w:r>
    </w:p>
    <w:p w:rsidR="00940E69" w:rsidRPr="00BF123C" w:rsidRDefault="00940E69" w:rsidP="00940E69">
      <w:pPr>
        <w:spacing w:before="0" w:after="0"/>
        <w:jc w:val="both"/>
        <w:rPr>
          <w:b/>
          <w:i/>
          <w:sz w:val="24"/>
          <w:szCs w:val="24"/>
        </w:rPr>
      </w:pPr>
      <w:r w:rsidRPr="00056DFA">
        <w:rPr>
          <w:sz w:val="24"/>
          <w:szCs w:val="24"/>
        </w:rPr>
        <w:t>Бюджетната програма включва дейност по опазване на движимите културни ценности включва физическото им опазване, консервацията, реставрацията, контрола и редица други дейности, заложени в Закона за културното наследство и подзаконовата нормативна уредба. Паралелно върви представянето на движимото културно наследство пред публика, свързано с дигитализацията и онлайн достъпа до експозициите и движимите културни ценности в музеите, специализираното обучение на служителите в музеите, обновяването на експозициите, развитието на устойчив културен туризъм, образователните инициативи, изложбите в България и чужбина и др.</w:t>
      </w:r>
    </w:p>
    <w:tbl>
      <w:tblPr>
        <w:tblW w:w="9120" w:type="dxa"/>
        <w:tblInd w:w="55" w:type="dxa"/>
        <w:tblCellMar>
          <w:left w:w="70" w:type="dxa"/>
          <w:right w:w="70" w:type="dxa"/>
        </w:tblCellMar>
        <w:tblLook w:val="04A0" w:firstRow="1" w:lastRow="0" w:firstColumn="1" w:lastColumn="0" w:noHBand="0" w:noVBand="1"/>
      </w:tblPr>
      <w:tblGrid>
        <w:gridCol w:w="6040"/>
        <w:gridCol w:w="1480"/>
        <w:gridCol w:w="1600"/>
      </w:tblGrid>
      <w:tr w:rsidR="00940E69" w:rsidRPr="00056DFA" w:rsidTr="003A0A22">
        <w:trPr>
          <w:trHeight w:val="645"/>
        </w:trPr>
        <w:tc>
          <w:tcPr>
            <w:tcW w:w="6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“Опазване на недвижимото културно наследство”</w:t>
            </w:r>
          </w:p>
        </w:tc>
        <w:tc>
          <w:tcPr>
            <w:tcW w:w="1480" w:type="dxa"/>
            <w:tcBorders>
              <w:top w:val="single" w:sz="4" w:space="0" w:color="auto"/>
              <w:left w:val="nil"/>
              <w:bottom w:val="single" w:sz="4" w:space="0" w:color="auto"/>
              <w:right w:val="single" w:sz="4" w:space="0" w:color="auto"/>
            </w:tcBorders>
            <w:shd w:val="clear" w:color="000000" w:fill="FFFFFF"/>
            <w:vAlign w:val="center"/>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Консервация и реставрация на движими културни ценности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Нови и обновени постоянни експозиции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3.Мерки за опазване и представяне на движими културни ценности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25</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4. Организиране на изложби в България и чужбина</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5. Образователна програма в музеите</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6. Осъществени програми в областта на изобразителните изкуства</w:t>
            </w:r>
          </w:p>
        </w:tc>
        <w:tc>
          <w:tcPr>
            <w:tcW w:w="148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16</w:t>
            </w:r>
          </w:p>
        </w:tc>
      </w:tr>
    </w:tbl>
    <w:p w:rsidR="00940E69" w:rsidRPr="00056DFA" w:rsidRDefault="00940E69" w:rsidP="00940E69">
      <w:pPr>
        <w:spacing w:before="0" w:after="0"/>
        <w:jc w:val="both"/>
        <w:rPr>
          <w:sz w:val="24"/>
          <w:szCs w:val="24"/>
          <w:lang w:val="en-US"/>
        </w:rPr>
      </w:pPr>
    </w:p>
    <w:p w:rsidR="00940E69" w:rsidRPr="00056DFA" w:rsidRDefault="00940E69" w:rsidP="00940E69">
      <w:pPr>
        <w:spacing w:before="0" w:after="0"/>
        <w:jc w:val="both"/>
        <w:rPr>
          <w:b/>
          <w:sz w:val="24"/>
          <w:szCs w:val="24"/>
        </w:rPr>
      </w:pPr>
      <w:r w:rsidRPr="00056DFA">
        <w:rPr>
          <w:b/>
          <w:sz w:val="24"/>
          <w:szCs w:val="24"/>
        </w:rPr>
        <w:t>Политика в областта на създаване и популяризиране на съвременно изкуство в страната и чужбина и достъп до качествено художествено образование</w:t>
      </w:r>
    </w:p>
    <w:p w:rsidR="00300FE8" w:rsidRDefault="00300FE8" w:rsidP="00940E69">
      <w:pPr>
        <w:spacing w:before="0" w:after="0"/>
        <w:jc w:val="both"/>
        <w:rPr>
          <w:b/>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„Национален фонд "Култура“</w:t>
      </w:r>
    </w:p>
    <w:p w:rsidR="00940E69" w:rsidRPr="00BF123C" w:rsidRDefault="00940E69" w:rsidP="00940E69">
      <w:pPr>
        <w:spacing w:before="0" w:after="0"/>
        <w:jc w:val="both"/>
        <w:rPr>
          <w:sz w:val="24"/>
          <w:szCs w:val="24"/>
        </w:rPr>
      </w:pPr>
      <w:r w:rsidRPr="00056DFA">
        <w:rPr>
          <w:sz w:val="24"/>
          <w:szCs w:val="24"/>
        </w:rPr>
        <w:t>Бюджетната програма финансирана културни проекти на конкурсен принцип.</w:t>
      </w:r>
    </w:p>
    <w:tbl>
      <w:tblPr>
        <w:tblW w:w="9040" w:type="dxa"/>
        <w:tblInd w:w="55" w:type="dxa"/>
        <w:tblCellMar>
          <w:left w:w="70" w:type="dxa"/>
          <w:right w:w="70" w:type="dxa"/>
        </w:tblCellMar>
        <w:tblLook w:val="04A0" w:firstRow="1" w:lastRow="0" w:firstColumn="1" w:lastColumn="0" w:noHBand="0" w:noVBand="1"/>
      </w:tblPr>
      <w:tblGrid>
        <w:gridCol w:w="4583"/>
        <w:gridCol w:w="1361"/>
        <w:gridCol w:w="1359"/>
        <w:gridCol w:w="1737"/>
      </w:tblGrid>
      <w:tr w:rsidR="00940E69" w:rsidRPr="00056DFA" w:rsidTr="003A0A22">
        <w:trPr>
          <w:trHeight w:val="1035"/>
        </w:trPr>
        <w:tc>
          <w:tcPr>
            <w:tcW w:w="4600" w:type="dxa"/>
            <w:tcBorders>
              <w:top w:val="single" w:sz="4" w:space="0" w:color="auto"/>
              <w:left w:val="single" w:sz="4" w:space="0" w:color="auto"/>
              <w:bottom w:val="single" w:sz="4" w:space="0" w:color="auto"/>
              <w:right w:val="single" w:sz="4" w:space="0" w:color="auto"/>
            </w:tcBorders>
            <w:shd w:val="clear" w:color="000000" w:fill="FFFFFF"/>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“Национален фонд „Култура”</w:t>
            </w:r>
          </w:p>
        </w:tc>
        <w:tc>
          <w:tcPr>
            <w:tcW w:w="1340" w:type="dxa"/>
            <w:tcBorders>
              <w:top w:val="single" w:sz="4" w:space="0" w:color="auto"/>
              <w:left w:val="nil"/>
              <w:bottom w:val="single" w:sz="4" w:space="0" w:color="auto"/>
              <w:right w:val="single" w:sz="4" w:space="0" w:color="auto"/>
            </w:tcBorders>
            <w:shd w:val="clear" w:color="000000" w:fill="FFFFFF"/>
            <w:hideMark/>
          </w:tcPr>
          <w:p w:rsidR="00940E69" w:rsidRPr="00056DFA" w:rsidRDefault="00940E69" w:rsidP="00A55C58">
            <w:pPr>
              <w:spacing w:before="0" w:after="0"/>
              <w:ind w:firstLine="40"/>
              <w:jc w:val="center"/>
              <w:rPr>
                <w:b/>
                <w:bCs/>
                <w:color w:val="000000"/>
                <w:sz w:val="24"/>
                <w:szCs w:val="24"/>
              </w:rPr>
            </w:pPr>
            <w:r w:rsidRPr="00056DFA">
              <w:rPr>
                <w:b/>
                <w:bCs/>
                <w:color w:val="000000"/>
                <w:sz w:val="24"/>
                <w:szCs w:val="24"/>
              </w:rPr>
              <w:t>Постъпили проекти (брой)</w:t>
            </w:r>
          </w:p>
        </w:tc>
        <w:tc>
          <w:tcPr>
            <w:tcW w:w="1360" w:type="dxa"/>
            <w:tcBorders>
              <w:top w:val="single" w:sz="4" w:space="0" w:color="auto"/>
              <w:left w:val="nil"/>
              <w:bottom w:val="single" w:sz="4" w:space="0" w:color="auto"/>
              <w:right w:val="single" w:sz="4" w:space="0" w:color="auto"/>
            </w:tcBorders>
            <w:shd w:val="clear" w:color="000000" w:fill="FFFFFF"/>
            <w:hideMark/>
          </w:tcPr>
          <w:p w:rsidR="00940E69" w:rsidRPr="00056DFA" w:rsidRDefault="00940E69" w:rsidP="00A55C58">
            <w:pPr>
              <w:spacing w:before="0" w:after="0"/>
              <w:ind w:firstLine="0"/>
              <w:jc w:val="center"/>
              <w:rPr>
                <w:b/>
                <w:bCs/>
                <w:color w:val="000000"/>
                <w:sz w:val="24"/>
                <w:szCs w:val="24"/>
              </w:rPr>
            </w:pPr>
            <w:r w:rsidRPr="00056DFA">
              <w:rPr>
                <w:b/>
                <w:bCs/>
                <w:color w:val="000000"/>
                <w:sz w:val="24"/>
                <w:szCs w:val="24"/>
              </w:rPr>
              <w:t>Одобрени проекти (брой)</w:t>
            </w:r>
          </w:p>
        </w:tc>
        <w:tc>
          <w:tcPr>
            <w:tcW w:w="1740" w:type="dxa"/>
            <w:tcBorders>
              <w:top w:val="single" w:sz="4" w:space="0" w:color="auto"/>
              <w:left w:val="nil"/>
              <w:bottom w:val="single" w:sz="4" w:space="0" w:color="auto"/>
              <w:right w:val="single" w:sz="4" w:space="0" w:color="auto"/>
            </w:tcBorders>
            <w:shd w:val="clear" w:color="000000" w:fill="FFFFFF"/>
            <w:hideMark/>
          </w:tcPr>
          <w:p w:rsidR="008303B5" w:rsidRDefault="00940E69" w:rsidP="00A55C58">
            <w:pPr>
              <w:spacing w:before="0" w:after="0"/>
              <w:ind w:firstLine="155"/>
              <w:jc w:val="center"/>
              <w:rPr>
                <w:b/>
                <w:bCs/>
                <w:color w:val="000000"/>
                <w:sz w:val="24"/>
                <w:szCs w:val="24"/>
                <w:lang w:val="en-US"/>
              </w:rPr>
            </w:pPr>
            <w:r w:rsidRPr="00056DFA">
              <w:rPr>
                <w:b/>
                <w:bCs/>
                <w:color w:val="000000"/>
                <w:sz w:val="24"/>
                <w:szCs w:val="24"/>
              </w:rPr>
              <w:t xml:space="preserve">Отпусната сума </w:t>
            </w:r>
          </w:p>
          <w:p w:rsidR="00940E69" w:rsidRPr="00056DFA" w:rsidRDefault="00940E69" w:rsidP="008303B5">
            <w:pPr>
              <w:spacing w:before="0" w:after="0"/>
              <w:ind w:firstLine="155"/>
              <w:jc w:val="center"/>
              <w:rPr>
                <w:b/>
                <w:bCs/>
                <w:color w:val="000000"/>
                <w:sz w:val="24"/>
                <w:szCs w:val="24"/>
              </w:rPr>
            </w:pPr>
            <w:r w:rsidRPr="00056DFA">
              <w:rPr>
                <w:b/>
                <w:bCs/>
                <w:color w:val="000000"/>
                <w:sz w:val="24"/>
                <w:szCs w:val="24"/>
              </w:rPr>
              <w:t>(</w:t>
            </w:r>
            <w:r w:rsidR="003A0A22">
              <w:rPr>
                <w:b/>
                <w:bCs/>
                <w:color w:val="000000"/>
                <w:sz w:val="24"/>
                <w:szCs w:val="24"/>
              </w:rPr>
              <w:t>млн. лв.</w:t>
            </w:r>
            <w:r w:rsidRPr="00056DFA">
              <w:rPr>
                <w:b/>
                <w:bCs/>
                <w:color w:val="000000"/>
                <w:sz w:val="24"/>
                <w:szCs w:val="24"/>
              </w:rPr>
              <w:t>)</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Програма „Мобилност“</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149</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98</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3A0A22">
            <w:pPr>
              <w:spacing w:before="0" w:after="0"/>
              <w:jc w:val="right"/>
              <w:rPr>
                <w:color w:val="000000"/>
                <w:sz w:val="24"/>
                <w:szCs w:val="24"/>
              </w:rPr>
            </w:pPr>
            <w:r>
              <w:rPr>
                <w:color w:val="000000"/>
                <w:sz w:val="24"/>
                <w:szCs w:val="24"/>
              </w:rPr>
              <w:t>0.</w:t>
            </w:r>
            <w:r w:rsidR="00940E69" w:rsidRPr="00056DFA">
              <w:rPr>
                <w:color w:val="000000"/>
                <w:sz w:val="24"/>
                <w:szCs w:val="24"/>
              </w:rPr>
              <w:t>1</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Програма „Дебюти“</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117</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20</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3A0A22">
            <w:pPr>
              <w:spacing w:before="0" w:after="0"/>
              <w:jc w:val="right"/>
              <w:rPr>
                <w:color w:val="000000"/>
                <w:sz w:val="24"/>
                <w:szCs w:val="24"/>
              </w:rPr>
            </w:pPr>
            <w:r>
              <w:rPr>
                <w:color w:val="000000"/>
                <w:sz w:val="24"/>
                <w:szCs w:val="24"/>
              </w:rPr>
              <w:t>0,</w:t>
            </w:r>
            <w:r w:rsidR="00940E69" w:rsidRPr="00056DFA">
              <w:rPr>
                <w:color w:val="000000"/>
                <w:sz w:val="24"/>
                <w:szCs w:val="24"/>
              </w:rPr>
              <w:t>1</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Програма „Критика“</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43</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17</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3A0A22">
            <w:pPr>
              <w:spacing w:before="0" w:after="0"/>
              <w:jc w:val="right"/>
              <w:rPr>
                <w:color w:val="000000"/>
                <w:sz w:val="24"/>
                <w:szCs w:val="24"/>
              </w:rPr>
            </w:pPr>
            <w:r>
              <w:rPr>
                <w:color w:val="000000"/>
                <w:sz w:val="24"/>
                <w:szCs w:val="24"/>
              </w:rPr>
              <w:t>0,0</w:t>
            </w:r>
            <w:r w:rsidR="00940E69" w:rsidRPr="00056DFA">
              <w:rPr>
                <w:color w:val="000000"/>
                <w:sz w:val="24"/>
                <w:szCs w:val="24"/>
              </w:rPr>
              <w:t>4</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lastRenderedPageBreak/>
              <w:t>4. Програма „Преводи“</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A55C58">
            <w:pPr>
              <w:spacing w:before="0" w:after="0"/>
              <w:ind w:firstLine="297"/>
              <w:jc w:val="right"/>
              <w:rPr>
                <w:color w:val="000000"/>
                <w:sz w:val="24"/>
                <w:szCs w:val="24"/>
              </w:rPr>
            </w:pPr>
            <w:r>
              <w:rPr>
                <w:color w:val="000000"/>
                <w:sz w:val="24"/>
                <w:szCs w:val="24"/>
              </w:rPr>
              <w:t>0.02</w:t>
            </w:r>
          </w:p>
        </w:tc>
      </w:tr>
      <w:tr w:rsidR="00940E69" w:rsidRPr="00056DFA" w:rsidTr="003A0A22">
        <w:trPr>
          <w:trHeight w:val="630"/>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5. Програма „Нематериално културно наследство“</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32</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12</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3A0A22">
            <w:pPr>
              <w:spacing w:before="0" w:after="0"/>
              <w:jc w:val="right"/>
              <w:rPr>
                <w:color w:val="000000"/>
                <w:sz w:val="24"/>
                <w:szCs w:val="24"/>
              </w:rPr>
            </w:pPr>
            <w:r>
              <w:rPr>
                <w:color w:val="000000"/>
                <w:sz w:val="24"/>
                <w:szCs w:val="24"/>
              </w:rPr>
              <w:t>0.0</w:t>
            </w:r>
            <w:r w:rsidR="00940E69" w:rsidRPr="00056DFA">
              <w:rPr>
                <w:color w:val="000000"/>
                <w:sz w:val="24"/>
                <w:szCs w:val="24"/>
              </w:rPr>
              <w:t>3</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6. Програма „Целево подпомагане“</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3A0A22" w:rsidP="00A55C58">
            <w:pPr>
              <w:spacing w:before="0" w:after="0"/>
              <w:ind w:firstLine="297"/>
              <w:jc w:val="right"/>
              <w:rPr>
                <w:color w:val="000000"/>
                <w:sz w:val="24"/>
                <w:szCs w:val="24"/>
              </w:rPr>
            </w:pPr>
            <w:r>
              <w:rPr>
                <w:color w:val="000000"/>
                <w:sz w:val="24"/>
                <w:szCs w:val="24"/>
              </w:rPr>
              <w:t>0.01</w:t>
            </w:r>
          </w:p>
        </w:tc>
      </w:tr>
      <w:tr w:rsidR="00940E69" w:rsidRPr="00056DFA" w:rsidTr="003A0A22">
        <w:trPr>
          <w:trHeight w:val="94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7. Програма „Културна програма за Българското председателство на Съвета на Европейския съюз 2018 г.“</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485</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55</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940E69" w:rsidP="00A55C58">
            <w:pPr>
              <w:spacing w:before="0" w:after="0"/>
              <w:ind w:firstLine="155"/>
              <w:jc w:val="right"/>
              <w:rPr>
                <w:color w:val="000000"/>
                <w:sz w:val="24"/>
                <w:szCs w:val="24"/>
              </w:rPr>
            </w:pPr>
            <w:r w:rsidRPr="00056DFA">
              <w:rPr>
                <w:color w:val="000000"/>
                <w:sz w:val="24"/>
                <w:szCs w:val="24"/>
              </w:rPr>
              <w:t>1</w:t>
            </w:r>
            <w:r w:rsidR="003A0A22">
              <w:rPr>
                <w:color w:val="000000"/>
                <w:sz w:val="24"/>
                <w:szCs w:val="24"/>
              </w:rPr>
              <w:t>.7</w:t>
            </w:r>
          </w:p>
        </w:tc>
      </w:tr>
      <w:tr w:rsidR="00940E69" w:rsidRPr="00056DFA" w:rsidTr="003A0A22">
        <w:trPr>
          <w:trHeight w:val="315"/>
        </w:trPr>
        <w:tc>
          <w:tcPr>
            <w:tcW w:w="46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8. Общо</w:t>
            </w:r>
          </w:p>
        </w:tc>
        <w:tc>
          <w:tcPr>
            <w:tcW w:w="13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835</w:t>
            </w:r>
          </w:p>
        </w:tc>
        <w:tc>
          <w:tcPr>
            <w:tcW w:w="13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210</w:t>
            </w:r>
          </w:p>
        </w:tc>
        <w:tc>
          <w:tcPr>
            <w:tcW w:w="174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w:t>
            </w:r>
            <w:r w:rsidR="003A0A22">
              <w:rPr>
                <w:color w:val="000000"/>
                <w:sz w:val="24"/>
                <w:szCs w:val="24"/>
              </w:rPr>
              <w:t>.</w:t>
            </w:r>
            <w:r w:rsidRPr="00056DFA">
              <w:rPr>
                <w:color w:val="000000"/>
                <w:sz w:val="24"/>
                <w:szCs w:val="24"/>
              </w:rPr>
              <w:t>0</w:t>
            </w:r>
          </w:p>
        </w:tc>
      </w:tr>
    </w:tbl>
    <w:p w:rsidR="00940E69" w:rsidRPr="00056DFA" w:rsidRDefault="00940E69" w:rsidP="00940E69">
      <w:pPr>
        <w:spacing w:before="0" w:after="0"/>
        <w:jc w:val="both"/>
        <w:rPr>
          <w:sz w:val="24"/>
          <w:szCs w:val="24"/>
          <w:lang w:val="en-US"/>
        </w:rPr>
      </w:pPr>
    </w:p>
    <w:p w:rsidR="00940E69" w:rsidRPr="00056DFA" w:rsidRDefault="00940E69" w:rsidP="00940E69">
      <w:pPr>
        <w:spacing w:before="0" w:after="0"/>
        <w:jc w:val="both"/>
        <w:rPr>
          <w:b/>
          <w:sz w:val="24"/>
          <w:szCs w:val="24"/>
        </w:rPr>
      </w:pPr>
      <w:r w:rsidRPr="00056DFA">
        <w:rPr>
          <w:b/>
          <w:sz w:val="24"/>
          <w:szCs w:val="24"/>
        </w:rPr>
        <w:t>Бюджетна програма „Филмово изкуство“</w:t>
      </w:r>
    </w:p>
    <w:p w:rsidR="00940E69" w:rsidRPr="00BF123C" w:rsidRDefault="00940E69" w:rsidP="00940E69">
      <w:pPr>
        <w:spacing w:before="0" w:after="0"/>
        <w:jc w:val="both"/>
        <w:rPr>
          <w:sz w:val="24"/>
          <w:szCs w:val="24"/>
        </w:rPr>
      </w:pPr>
      <w:r w:rsidRPr="00056DFA">
        <w:rPr>
          <w:sz w:val="24"/>
          <w:szCs w:val="24"/>
        </w:rPr>
        <w:t xml:space="preserve">Бюджетната програма подпомага създаването на </w:t>
      </w:r>
      <w:r w:rsidRPr="00056DFA">
        <w:rPr>
          <w:bCs/>
          <w:sz w:val="24"/>
          <w:szCs w:val="24"/>
        </w:rPr>
        <w:t>конкурентно способни български филми с висок художествен и търговски потенциал и възможности за международно признание; насърчаване интереса на публиката към българските филми; разширяване достъпа на публиката до разнообразни форми на филмово творчество</w:t>
      </w:r>
      <w:r w:rsidRPr="00056DFA">
        <w:rPr>
          <w:sz w:val="24"/>
          <w:szCs w:val="24"/>
        </w:rPr>
        <w:t>.</w:t>
      </w:r>
    </w:p>
    <w:tbl>
      <w:tblPr>
        <w:tblW w:w="9120" w:type="dxa"/>
        <w:tblInd w:w="55" w:type="dxa"/>
        <w:tblCellMar>
          <w:left w:w="70" w:type="dxa"/>
          <w:right w:w="70" w:type="dxa"/>
        </w:tblCellMar>
        <w:tblLook w:val="04A0" w:firstRow="1" w:lastRow="0" w:firstColumn="1" w:lastColumn="0" w:noHBand="0" w:noVBand="1"/>
      </w:tblPr>
      <w:tblGrid>
        <w:gridCol w:w="6040"/>
        <w:gridCol w:w="1480"/>
        <w:gridCol w:w="1600"/>
      </w:tblGrid>
      <w:tr w:rsidR="00940E69" w:rsidRPr="00056DFA" w:rsidTr="003A0A22">
        <w:trPr>
          <w:trHeight w:val="315"/>
        </w:trPr>
        <w:tc>
          <w:tcPr>
            <w:tcW w:w="6040" w:type="dxa"/>
            <w:tcBorders>
              <w:top w:val="single" w:sz="4" w:space="0" w:color="auto"/>
              <w:left w:val="single" w:sz="4" w:space="0" w:color="auto"/>
              <w:bottom w:val="single" w:sz="4" w:space="0" w:color="auto"/>
              <w:right w:val="single" w:sz="4" w:space="0" w:color="auto"/>
            </w:tcBorders>
            <w:shd w:val="clear" w:color="000000" w:fill="FFFFFF"/>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“Филмово изкуство”</w:t>
            </w:r>
          </w:p>
        </w:tc>
        <w:tc>
          <w:tcPr>
            <w:tcW w:w="148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Създадени игрални и документални филми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32</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35</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Дебютни фирми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Международни копродукции с българско участие</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8</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4. Подкрепени филми за разпространение</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32</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5. Реализирани форми на информационна политика за пропаганда на българска култура</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53</w:t>
            </w:r>
          </w:p>
        </w:tc>
      </w:tr>
      <w:tr w:rsidR="00940E69" w:rsidRPr="00056DFA" w:rsidTr="003A0A22">
        <w:trPr>
          <w:trHeight w:val="630"/>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6. Участие на български творци в международни проекти и прояви</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106</w:t>
            </w:r>
          </w:p>
        </w:tc>
      </w:tr>
      <w:tr w:rsidR="00940E69" w:rsidRPr="00056DFA" w:rsidTr="003A0A22">
        <w:trPr>
          <w:trHeight w:val="315"/>
        </w:trPr>
        <w:tc>
          <w:tcPr>
            <w:tcW w:w="604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7. Зрители в киносалоните</w:t>
            </w:r>
          </w:p>
        </w:tc>
        <w:tc>
          <w:tcPr>
            <w:tcW w:w="1480" w:type="dxa"/>
            <w:tcBorders>
              <w:top w:val="nil"/>
              <w:left w:val="nil"/>
              <w:bottom w:val="single" w:sz="4" w:space="0" w:color="auto"/>
              <w:right w:val="single" w:sz="4" w:space="0" w:color="auto"/>
            </w:tcBorders>
            <w:shd w:val="clear" w:color="auto" w:fill="auto"/>
            <w:hideMark/>
          </w:tcPr>
          <w:p w:rsidR="00940E69" w:rsidRPr="00056DFA" w:rsidRDefault="00940E69" w:rsidP="00A55C58">
            <w:pPr>
              <w:spacing w:before="0" w:after="0"/>
              <w:ind w:firstLine="284"/>
              <w:jc w:val="right"/>
              <w:rPr>
                <w:color w:val="000000"/>
                <w:sz w:val="24"/>
                <w:szCs w:val="24"/>
              </w:rPr>
            </w:pPr>
            <w:r w:rsidRPr="00056DFA">
              <w:rPr>
                <w:color w:val="000000"/>
                <w:sz w:val="24"/>
                <w:szCs w:val="24"/>
              </w:rPr>
              <w:t>100 000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512 521</w:t>
            </w:r>
          </w:p>
        </w:tc>
      </w:tr>
    </w:tbl>
    <w:p w:rsidR="00300FE8" w:rsidRDefault="00300FE8" w:rsidP="00940E69">
      <w:pPr>
        <w:spacing w:before="0" w:after="0"/>
        <w:jc w:val="both"/>
        <w:rPr>
          <w:b/>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„Сценични изкуства“</w:t>
      </w:r>
    </w:p>
    <w:p w:rsidR="00940E69" w:rsidRPr="00BF123C" w:rsidRDefault="00940E69" w:rsidP="00940E69">
      <w:pPr>
        <w:spacing w:before="0" w:after="0"/>
        <w:jc w:val="both"/>
        <w:rPr>
          <w:sz w:val="24"/>
          <w:szCs w:val="24"/>
        </w:rPr>
      </w:pPr>
      <w:r w:rsidRPr="00056DFA">
        <w:rPr>
          <w:sz w:val="24"/>
          <w:szCs w:val="24"/>
        </w:rPr>
        <w:t>Програмата се изпълняваше в съответствие с реализирането на основната цел: увеличаване на маркетинговата активност при разпространение на високо художествен театрален продукт и разпространение на високо професионално равнище на художествено-творческата продукция на държавните музикални институти, за широк жанров диапазон и многообразие на форми - концертни програми, спектакли – опера, оперета, мюзикъл, балет, драма, фолклорни концерти и спектакли.</w:t>
      </w:r>
    </w:p>
    <w:tbl>
      <w:tblPr>
        <w:tblW w:w="9060" w:type="dxa"/>
        <w:tblInd w:w="55" w:type="dxa"/>
        <w:tblCellMar>
          <w:left w:w="70" w:type="dxa"/>
          <w:right w:w="70" w:type="dxa"/>
        </w:tblCellMar>
        <w:tblLook w:val="04A0" w:firstRow="1" w:lastRow="0" w:firstColumn="1" w:lastColumn="0" w:noHBand="0" w:noVBand="1"/>
      </w:tblPr>
      <w:tblGrid>
        <w:gridCol w:w="5800"/>
        <w:gridCol w:w="1660"/>
        <w:gridCol w:w="1600"/>
      </w:tblGrid>
      <w:tr w:rsidR="00940E69" w:rsidRPr="00056DFA" w:rsidTr="003A0A22">
        <w:trPr>
          <w:trHeight w:val="315"/>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„Сценични изкуства“</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vAlign w:val="center"/>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315"/>
        </w:trPr>
        <w:tc>
          <w:tcPr>
            <w:tcW w:w="90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„Театрално изкуство“</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Посетители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8303B5">
            <w:pPr>
              <w:spacing w:before="0" w:after="0"/>
              <w:ind w:firstLine="241"/>
              <w:jc w:val="right"/>
              <w:rPr>
                <w:color w:val="000000"/>
                <w:sz w:val="24"/>
                <w:szCs w:val="24"/>
              </w:rPr>
            </w:pPr>
            <w:r w:rsidRPr="00056DFA">
              <w:rPr>
                <w:color w:val="000000"/>
                <w:sz w:val="24"/>
                <w:szCs w:val="24"/>
              </w:rPr>
              <w:t>1</w:t>
            </w:r>
            <w:r w:rsidR="003A0A22">
              <w:rPr>
                <w:color w:val="000000"/>
                <w:sz w:val="24"/>
                <w:szCs w:val="24"/>
              </w:rPr>
              <w:t xml:space="preserve"> </w:t>
            </w:r>
            <w:r w:rsidRPr="00056DFA">
              <w:rPr>
                <w:color w:val="000000"/>
                <w:sz w:val="24"/>
                <w:szCs w:val="24"/>
              </w:rPr>
              <w:t>420</w:t>
            </w:r>
            <w:r w:rsidR="003A0A22">
              <w:rPr>
                <w:color w:val="000000"/>
                <w:sz w:val="24"/>
                <w:szCs w:val="24"/>
              </w:rPr>
              <w:t xml:space="preserve"> </w:t>
            </w:r>
            <w:r w:rsidRPr="00056DFA">
              <w:rPr>
                <w:color w:val="000000"/>
                <w:sz w:val="24"/>
                <w:szCs w:val="24"/>
              </w:rPr>
              <w:t>000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8303B5">
            <w:pPr>
              <w:spacing w:before="0" w:after="0"/>
              <w:ind w:firstLine="282"/>
              <w:jc w:val="right"/>
              <w:rPr>
                <w:color w:val="000000"/>
                <w:sz w:val="24"/>
                <w:szCs w:val="24"/>
              </w:rPr>
            </w:pPr>
            <w:r w:rsidRPr="00056DFA">
              <w:rPr>
                <w:color w:val="000000"/>
                <w:sz w:val="24"/>
                <w:szCs w:val="24"/>
              </w:rPr>
              <w:t>1</w:t>
            </w:r>
            <w:r w:rsidR="003A0A22">
              <w:rPr>
                <w:color w:val="000000"/>
                <w:sz w:val="24"/>
                <w:szCs w:val="24"/>
              </w:rPr>
              <w:t> </w:t>
            </w:r>
            <w:r w:rsidRPr="00056DFA">
              <w:rPr>
                <w:color w:val="000000"/>
                <w:sz w:val="24"/>
                <w:szCs w:val="24"/>
              </w:rPr>
              <w:t>354</w:t>
            </w:r>
            <w:r w:rsidR="003A0A22">
              <w:rPr>
                <w:color w:val="000000"/>
                <w:sz w:val="24"/>
                <w:szCs w:val="24"/>
              </w:rPr>
              <w:t xml:space="preserve"> </w:t>
            </w:r>
            <w:r w:rsidRPr="00056DFA">
              <w:rPr>
                <w:color w:val="000000"/>
                <w:sz w:val="24"/>
                <w:szCs w:val="24"/>
              </w:rPr>
              <w:t>005</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Спектакли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9 600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10 116</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Субсидии за творчески проекти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56</w:t>
            </w:r>
          </w:p>
        </w:tc>
      </w:tr>
      <w:tr w:rsidR="00940E69" w:rsidRPr="00056DFA" w:rsidTr="003A0A22">
        <w:trPr>
          <w:trHeight w:val="315"/>
        </w:trPr>
        <w:tc>
          <w:tcPr>
            <w:tcW w:w="9060" w:type="dxa"/>
            <w:gridSpan w:val="3"/>
            <w:tcBorders>
              <w:top w:val="single" w:sz="4" w:space="0" w:color="auto"/>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„Музикално и танцово изкуство“</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Посетители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465 000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624 911</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Спектакли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1 700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2 349</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Субсидии за творчески проекти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55</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74</w:t>
            </w:r>
          </w:p>
        </w:tc>
      </w:tr>
      <w:tr w:rsidR="00940E69" w:rsidRPr="00056DFA" w:rsidTr="003A0A22">
        <w:trPr>
          <w:trHeight w:val="315"/>
        </w:trPr>
        <w:tc>
          <w:tcPr>
            <w:tcW w:w="9060" w:type="dxa"/>
            <w:gridSpan w:val="3"/>
            <w:tcBorders>
              <w:top w:val="single" w:sz="4" w:space="0" w:color="auto"/>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Общо програма „Театрално изкуство“ и „Музикално и танцово изкуство“</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Посетители - общо</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8303B5">
            <w:pPr>
              <w:spacing w:before="0" w:after="0"/>
              <w:ind w:firstLine="241"/>
              <w:jc w:val="right"/>
              <w:rPr>
                <w:color w:val="000000"/>
                <w:sz w:val="24"/>
                <w:szCs w:val="24"/>
              </w:rPr>
            </w:pPr>
            <w:r w:rsidRPr="00056DFA">
              <w:rPr>
                <w:color w:val="000000"/>
                <w:sz w:val="24"/>
                <w:szCs w:val="24"/>
              </w:rPr>
              <w:t>1 885 000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8303B5">
            <w:pPr>
              <w:spacing w:before="0" w:after="0"/>
              <w:ind w:firstLine="282"/>
              <w:jc w:val="right"/>
              <w:rPr>
                <w:color w:val="000000"/>
                <w:sz w:val="24"/>
                <w:szCs w:val="24"/>
              </w:rPr>
            </w:pPr>
            <w:r w:rsidRPr="00056DFA">
              <w:rPr>
                <w:color w:val="000000"/>
                <w:sz w:val="24"/>
                <w:szCs w:val="24"/>
              </w:rPr>
              <w:t>1 978 916</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lastRenderedPageBreak/>
              <w:t>2. Спектакли - общо</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11 300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12 465</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Субсидии за творчески проекти - общо</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115</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130</w:t>
            </w:r>
          </w:p>
        </w:tc>
      </w:tr>
    </w:tbl>
    <w:p w:rsidR="00940E69" w:rsidRPr="00056DFA" w:rsidRDefault="00940E69" w:rsidP="00940E69">
      <w:pPr>
        <w:spacing w:before="0" w:after="0"/>
        <w:jc w:val="both"/>
        <w:rPr>
          <w:b/>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„Фестивали, конкурси, събития и чествания“</w:t>
      </w:r>
    </w:p>
    <w:p w:rsidR="00940E69" w:rsidRPr="00056DFA" w:rsidRDefault="00940E69" w:rsidP="00940E69">
      <w:pPr>
        <w:spacing w:before="0" w:after="0"/>
        <w:jc w:val="both"/>
        <w:rPr>
          <w:color w:val="000000"/>
          <w:sz w:val="24"/>
          <w:szCs w:val="24"/>
        </w:rPr>
      </w:pPr>
      <w:r w:rsidRPr="00056DFA">
        <w:rPr>
          <w:color w:val="000000"/>
          <w:sz w:val="24"/>
          <w:szCs w:val="24"/>
        </w:rPr>
        <w:t>През годината програмата се изпълняваше в съответствие с реализирането на следните цели:</w:t>
      </w:r>
    </w:p>
    <w:p w:rsidR="00940E69" w:rsidRPr="00056DFA" w:rsidRDefault="00940E69" w:rsidP="00940E69">
      <w:pPr>
        <w:spacing w:before="0" w:after="0"/>
        <w:jc w:val="both"/>
        <w:rPr>
          <w:color w:val="000000"/>
          <w:sz w:val="24"/>
          <w:szCs w:val="24"/>
        </w:rPr>
      </w:pPr>
      <w:r w:rsidRPr="00056DFA">
        <w:rPr>
          <w:color w:val="000000"/>
          <w:sz w:val="24"/>
          <w:szCs w:val="24"/>
        </w:rPr>
        <w:t xml:space="preserve">Стимулиране, закрила и подкрепа на фестивалите с доказана и безспорна културна и художествена стойност чрез подобряване на планирането, координирането им с други подобни дейности, утвърждаване на техния престиж като важна част от националната идентичност, осъществяване на активен международен диалог и популяризирането на националните достижения у нас и по света. </w:t>
      </w:r>
    </w:p>
    <w:p w:rsidR="00940E69" w:rsidRPr="00056DFA" w:rsidRDefault="00940E69" w:rsidP="00940E69">
      <w:pPr>
        <w:spacing w:before="0" w:after="0"/>
        <w:jc w:val="both"/>
        <w:rPr>
          <w:color w:val="000000"/>
          <w:sz w:val="24"/>
          <w:szCs w:val="24"/>
        </w:rPr>
      </w:pPr>
      <w:r w:rsidRPr="00056DFA">
        <w:rPr>
          <w:color w:val="000000"/>
          <w:sz w:val="24"/>
          <w:szCs w:val="24"/>
        </w:rPr>
        <w:t xml:space="preserve">Съхраняване на традициите и многообразието на българската култура и изкуства, както и поощряване на новаторските търсения и авангардните творчески идеи. </w:t>
      </w:r>
    </w:p>
    <w:p w:rsidR="00940E69" w:rsidRPr="00BF123C" w:rsidRDefault="00940E69" w:rsidP="00940E69">
      <w:pPr>
        <w:spacing w:before="0" w:after="0"/>
        <w:jc w:val="both"/>
        <w:rPr>
          <w:color w:val="000000"/>
          <w:sz w:val="24"/>
          <w:szCs w:val="24"/>
        </w:rPr>
      </w:pPr>
      <w:r w:rsidRPr="00056DFA">
        <w:rPr>
          <w:color w:val="000000"/>
          <w:sz w:val="24"/>
          <w:szCs w:val="24"/>
        </w:rPr>
        <w:t>Създаване на условия за подпомагане на културните инициативи по региони, отбелязване на значими годишнини, методически срещи и конференции, насочени към извършване на цялостен анализ за развитието на регионалната културна политика по места.</w:t>
      </w:r>
    </w:p>
    <w:tbl>
      <w:tblPr>
        <w:tblW w:w="9060" w:type="dxa"/>
        <w:tblInd w:w="55" w:type="dxa"/>
        <w:tblCellMar>
          <w:left w:w="70" w:type="dxa"/>
          <w:right w:w="70" w:type="dxa"/>
        </w:tblCellMar>
        <w:tblLook w:val="04A0" w:firstRow="1" w:lastRow="0" w:firstColumn="1" w:lastColumn="0" w:noHBand="0" w:noVBand="1"/>
      </w:tblPr>
      <w:tblGrid>
        <w:gridCol w:w="5800"/>
        <w:gridCol w:w="1660"/>
        <w:gridCol w:w="1600"/>
      </w:tblGrid>
      <w:tr w:rsidR="00940E69" w:rsidRPr="00056DFA" w:rsidTr="003A0A22">
        <w:trPr>
          <w:trHeight w:val="645"/>
        </w:trPr>
        <w:tc>
          <w:tcPr>
            <w:tcW w:w="5800" w:type="dxa"/>
            <w:tcBorders>
              <w:top w:val="single" w:sz="4" w:space="0" w:color="auto"/>
              <w:left w:val="single" w:sz="4" w:space="0" w:color="auto"/>
              <w:bottom w:val="single" w:sz="4" w:space="0" w:color="auto"/>
              <w:right w:val="single" w:sz="4" w:space="0" w:color="auto"/>
            </w:tcBorders>
            <w:shd w:val="clear" w:color="000000" w:fill="FFFFFF"/>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“Фестивали, конкурси, събития, чествания”</w:t>
            </w:r>
          </w:p>
        </w:tc>
        <w:tc>
          <w:tcPr>
            <w:tcW w:w="166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630"/>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1. Подкрепени фестивали и изложби с международно и национално значение </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32</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32</w:t>
            </w:r>
          </w:p>
        </w:tc>
      </w:tr>
    </w:tbl>
    <w:p w:rsidR="00940E69" w:rsidRPr="00056DFA" w:rsidRDefault="00940E69" w:rsidP="00940E69">
      <w:pPr>
        <w:spacing w:before="0" w:after="0"/>
        <w:jc w:val="both"/>
        <w:rPr>
          <w:color w:val="000000"/>
          <w:sz w:val="24"/>
          <w:szCs w:val="24"/>
          <w:lang w:val="en-US"/>
        </w:rPr>
      </w:pPr>
    </w:p>
    <w:p w:rsidR="00940E69" w:rsidRPr="00056DFA" w:rsidRDefault="00940E69" w:rsidP="00940E69">
      <w:pPr>
        <w:spacing w:before="0" w:after="0"/>
        <w:jc w:val="both"/>
        <w:rPr>
          <w:b/>
          <w:sz w:val="24"/>
          <w:szCs w:val="24"/>
        </w:rPr>
      </w:pPr>
      <w:r w:rsidRPr="00056DFA">
        <w:rPr>
          <w:b/>
          <w:sz w:val="24"/>
          <w:szCs w:val="24"/>
        </w:rPr>
        <w:t>Бюджетна програма „Гарантиране защитата на интелектуалната собственост“</w:t>
      </w:r>
    </w:p>
    <w:p w:rsidR="00940E69" w:rsidRPr="00056DFA" w:rsidRDefault="00940E69" w:rsidP="00940E69">
      <w:pPr>
        <w:tabs>
          <w:tab w:val="num" w:pos="-540"/>
        </w:tabs>
        <w:spacing w:before="0" w:after="0"/>
        <w:jc w:val="both"/>
        <w:rPr>
          <w:sz w:val="24"/>
          <w:szCs w:val="24"/>
        </w:rPr>
      </w:pPr>
      <w:r w:rsidRPr="00056DFA">
        <w:rPr>
          <w:sz w:val="24"/>
          <w:szCs w:val="24"/>
        </w:rPr>
        <w:t>През годината по програмата е извършено следното:</w:t>
      </w:r>
    </w:p>
    <w:p w:rsidR="00940E69" w:rsidRPr="00056DFA" w:rsidRDefault="00940E69" w:rsidP="00940E69">
      <w:pPr>
        <w:tabs>
          <w:tab w:val="num" w:pos="-540"/>
        </w:tabs>
        <w:spacing w:before="0" w:after="0"/>
        <w:jc w:val="both"/>
        <w:rPr>
          <w:sz w:val="24"/>
          <w:szCs w:val="24"/>
        </w:rPr>
      </w:pPr>
      <w:r w:rsidRPr="00056DFA">
        <w:rPr>
          <w:sz w:val="24"/>
          <w:szCs w:val="24"/>
        </w:rPr>
        <w:t>Административен контрол и защита на авторското право - масови проверки за спазването на Закона за авторското право и сродните му права (ЗАПСП) от различни категории ползватели, извършващи неправомерно използване на музикални произведения, на бизнес и развлекателен софтуер, на телевизионни програми и при предоставяне на достъп до обекти на закрила по електронен път и други обекти на закрила по ЗАПСП. Основната част от проверките, са извършвани с участието и съдействието на органите на Министерството на вътрешните работи и междуведомствената комисия по чл. 31 от Закона за административното регулиране на производството и търговията с оптични дискове, матрици и други носители, съдържащи обекти на авторското право и сродните му права. Значително внимание бе отделено и на сектора, свързан с препредаване на телевизионни програми, където в последно време е налице тенденция ползвателите (кабелни и сателитни оператори) да търсят и прилагат разнообразни начини за заобикаляне на законовите изисквания.</w:t>
      </w:r>
    </w:p>
    <w:p w:rsidR="00940E69" w:rsidRPr="00056DFA" w:rsidRDefault="00940E69" w:rsidP="00940E69">
      <w:pPr>
        <w:tabs>
          <w:tab w:val="num" w:pos="-540"/>
        </w:tabs>
        <w:spacing w:before="0" w:after="0"/>
        <w:jc w:val="both"/>
        <w:rPr>
          <w:sz w:val="24"/>
          <w:szCs w:val="24"/>
        </w:rPr>
      </w:pPr>
      <w:r w:rsidRPr="00056DFA">
        <w:rPr>
          <w:sz w:val="24"/>
          <w:szCs w:val="24"/>
        </w:rPr>
        <w:t>Изготвяне на експертни заключения по наказателни производства, образувани за престъпления срещу интелектуалната собственост.</w:t>
      </w:r>
    </w:p>
    <w:p w:rsidR="00940E69" w:rsidRPr="00056DFA" w:rsidRDefault="00940E69" w:rsidP="00940E69">
      <w:pPr>
        <w:tabs>
          <w:tab w:val="num" w:pos="-540"/>
        </w:tabs>
        <w:spacing w:before="0" w:after="0"/>
        <w:jc w:val="both"/>
        <w:rPr>
          <w:sz w:val="24"/>
          <w:szCs w:val="24"/>
        </w:rPr>
      </w:pPr>
      <w:r w:rsidRPr="00056DFA">
        <w:rPr>
          <w:sz w:val="24"/>
          <w:szCs w:val="24"/>
        </w:rPr>
        <w:t>Поддържане и администриране на регистри по Закона за авторското право и сродните му права и Закона за административното регулиране на производството и търговията с оптични дискове, матрици и други носители, съдържащи обекти на авторското право и сродните му права.</w:t>
      </w:r>
    </w:p>
    <w:p w:rsidR="00940E69" w:rsidRPr="00056DFA" w:rsidRDefault="00940E69" w:rsidP="00940E69">
      <w:pPr>
        <w:tabs>
          <w:tab w:val="num" w:pos="-540"/>
        </w:tabs>
        <w:spacing w:before="0" w:after="0"/>
        <w:jc w:val="both"/>
        <w:rPr>
          <w:sz w:val="24"/>
          <w:szCs w:val="24"/>
        </w:rPr>
      </w:pPr>
      <w:r w:rsidRPr="00056DFA">
        <w:rPr>
          <w:sz w:val="24"/>
          <w:szCs w:val="24"/>
        </w:rPr>
        <w:t>Сътрудничество с неправителствени организации, работещи в областта на авторското право и сродните му права.</w:t>
      </w:r>
    </w:p>
    <w:p w:rsidR="00940E69" w:rsidRPr="00056DFA" w:rsidRDefault="00940E69" w:rsidP="00940E69">
      <w:pPr>
        <w:spacing w:before="0" w:after="0"/>
        <w:jc w:val="both"/>
        <w:rPr>
          <w:b/>
          <w:sz w:val="24"/>
          <w:szCs w:val="24"/>
        </w:rPr>
      </w:pPr>
      <w:r w:rsidRPr="00056DFA">
        <w:rPr>
          <w:b/>
          <w:sz w:val="24"/>
          <w:szCs w:val="24"/>
        </w:rPr>
        <w:t>Бюджетна програма „Подпомагане развитието на българската култура и изкуства, на българския книжен сектор, библиотеки и читалища“</w:t>
      </w:r>
    </w:p>
    <w:p w:rsidR="00940E69" w:rsidRPr="00056DFA" w:rsidRDefault="00940E69" w:rsidP="00940E69">
      <w:pPr>
        <w:spacing w:before="0" w:after="0"/>
        <w:jc w:val="both"/>
        <w:rPr>
          <w:sz w:val="24"/>
          <w:szCs w:val="24"/>
        </w:rPr>
      </w:pPr>
      <w:r w:rsidRPr="00056DFA">
        <w:rPr>
          <w:sz w:val="24"/>
          <w:szCs w:val="24"/>
        </w:rPr>
        <w:t>Бюджетната програма подкрепя проекти и инициативи в сферата на:</w:t>
      </w:r>
    </w:p>
    <w:p w:rsidR="00940E69" w:rsidRPr="00056DFA" w:rsidRDefault="00940E69" w:rsidP="00940E69">
      <w:pPr>
        <w:spacing w:before="0" w:after="0"/>
        <w:jc w:val="both"/>
        <w:rPr>
          <w:sz w:val="24"/>
          <w:szCs w:val="24"/>
        </w:rPr>
      </w:pPr>
      <w:r w:rsidRPr="00056DFA">
        <w:rPr>
          <w:sz w:val="24"/>
          <w:szCs w:val="24"/>
        </w:rPr>
        <w:lastRenderedPageBreak/>
        <w:t>книгата и литературата, включени в националния културен календар, свързани с юбилейни годишнини и традиционни прояви за представяне на българската книжовна култура, и библиотечно дело;</w:t>
      </w:r>
    </w:p>
    <w:p w:rsidR="00940E69" w:rsidRPr="00056DFA" w:rsidRDefault="00940E69" w:rsidP="00940E69">
      <w:pPr>
        <w:spacing w:before="0" w:after="0"/>
        <w:jc w:val="both"/>
        <w:rPr>
          <w:sz w:val="24"/>
          <w:szCs w:val="24"/>
        </w:rPr>
      </w:pPr>
      <w:r w:rsidRPr="00056DFA">
        <w:rPr>
          <w:sz w:val="24"/>
          <w:szCs w:val="24"/>
        </w:rPr>
        <w:t>подкрепата на читалищната дейност, с оглед на това, че читалищата са естествена среда за съхраняване на традиционни знания и умения (нематериално културно наследство) и за утвърждаване на националната идентичност, за насърчаване на културното многообразие и многообразието от форми на културно изразяване, осъществява методическа подкрепа и даване на становища по различни казуси, свързани с функционирането на читалищната мрежа в страната;</w:t>
      </w:r>
    </w:p>
    <w:p w:rsidR="00940E69" w:rsidRPr="00056DFA" w:rsidRDefault="00940E69" w:rsidP="00940E69">
      <w:pPr>
        <w:spacing w:before="0" w:after="0"/>
        <w:jc w:val="both"/>
        <w:rPr>
          <w:sz w:val="24"/>
          <w:szCs w:val="24"/>
        </w:rPr>
      </w:pPr>
      <w:r w:rsidRPr="00056DFA">
        <w:rPr>
          <w:sz w:val="24"/>
          <w:szCs w:val="24"/>
        </w:rPr>
        <w:t>подкрепа на любителското творчество и регионални дейности и културни прояви по регионите и дейности по прилагане на Конвенцията на ЮНЕСКО от 2003 г. (нематериалното културно наследство).</w:t>
      </w:r>
    </w:p>
    <w:p w:rsidR="00940E69" w:rsidRPr="00056DFA" w:rsidRDefault="00940E69" w:rsidP="00940E69">
      <w:pPr>
        <w:spacing w:before="0" w:after="0"/>
        <w:jc w:val="both"/>
        <w:rPr>
          <w:sz w:val="24"/>
          <w:szCs w:val="24"/>
        </w:rPr>
      </w:pPr>
    </w:p>
    <w:p w:rsidR="00940E69" w:rsidRPr="00BF123C" w:rsidRDefault="00940E69" w:rsidP="00940E69">
      <w:pPr>
        <w:spacing w:before="0" w:after="0"/>
        <w:jc w:val="both"/>
        <w:rPr>
          <w:b/>
          <w:sz w:val="24"/>
          <w:szCs w:val="24"/>
        </w:rPr>
      </w:pPr>
      <w:r w:rsidRPr="00056DFA">
        <w:rPr>
          <w:b/>
          <w:sz w:val="24"/>
          <w:szCs w:val="24"/>
        </w:rPr>
        <w:t>Бюджетна програма „Популяризиране на българската култура в чужбина“</w:t>
      </w:r>
    </w:p>
    <w:tbl>
      <w:tblPr>
        <w:tblW w:w="9180" w:type="dxa"/>
        <w:tblInd w:w="55" w:type="dxa"/>
        <w:tblCellMar>
          <w:left w:w="70" w:type="dxa"/>
          <w:right w:w="70" w:type="dxa"/>
        </w:tblCellMar>
        <w:tblLook w:val="04A0" w:firstRow="1" w:lastRow="0" w:firstColumn="1" w:lastColumn="0" w:noHBand="0" w:noVBand="1"/>
      </w:tblPr>
      <w:tblGrid>
        <w:gridCol w:w="5920"/>
        <w:gridCol w:w="1660"/>
        <w:gridCol w:w="1600"/>
      </w:tblGrid>
      <w:tr w:rsidR="00940E69" w:rsidRPr="00056DFA" w:rsidTr="003A0A22">
        <w:trPr>
          <w:trHeight w:val="630"/>
        </w:trPr>
        <w:tc>
          <w:tcPr>
            <w:tcW w:w="59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“Популяризиране на българската култура в чужбина”</w:t>
            </w:r>
          </w:p>
        </w:tc>
        <w:tc>
          <w:tcPr>
            <w:tcW w:w="166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Членство в правителствени международни и регионални организации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27</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27</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Участие в органи на ЕС в областта на културата и аудиовизия</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23</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23</w:t>
            </w:r>
          </w:p>
        </w:tc>
      </w:tr>
      <w:tr w:rsidR="00940E69" w:rsidRPr="00056DFA" w:rsidTr="003A0A22">
        <w:trPr>
          <w:trHeight w:val="1167"/>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3. Ръководство и организиране на заседания на подготвителни органи на Съвета на ЕС в областта на културата и </w:t>
            </w:r>
            <w:proofErr w:type="spellStart"/>
            <w:r w:rsidRPr="00056DFA">
              <w:rPr>
                <w:color w:val="000000"/>
                <w:sz w:val="24"/>
                <w:szCs w:val="24"/>
              </w:rPr>
              <w:t>аудиовизията</w:t>
            </w:r>
            <w:proofErr w:type="spellEnd"/>
            <w:r w:rsidRPr="00056DFA">
              <w:rPr>
                <w:color w:val="000000"/>
                <w:sz w:val="24"/>
                <w:szCs w:val="24"/>
              </w:rPr>
              <w:t xml:space="preserve"> в рамките на Българското председателство на Съвета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17</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4. Подготвени културни прояви в рамките на Българското председателство на Съвета на Европейския съюз</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26</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9</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5. Участие в хоризонтални програми на Европейския съюз </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12</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6. Сключване на международни договори</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5</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7. Изяви на българската култура в чужбина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50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47</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8. Участие на български творци в международни проекти и прояви</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200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189</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9. Участия в прояви в областта на културните индустрии</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42</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10.Съвместни дейности с местни институции и организации </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200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197</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11. Съдействие при реализацията на представителни изяви на българската култура в чужбина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510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312</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12. Участие на български творци на международния пазар на изкуства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70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42</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13. Участия в международни конкурси, фестивали, панаири, съвместни проекти </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37</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14. Реализирани форми на информационна политика за пропаганда на българската култура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200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407</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 xml:space="preserve">15. Сътрудничество с българската диаспора в </w:t>
            </w:r>
            <w:r w:rsidRPr="00056DFA">
              <w:rPr>
                <w:color w:val="000000"/>
                <w:sz w:val="24"/>
                <w:szCs w:val="24"/>
              </w:rPr>
              <w:lastRenderedPageBreak/>
              <w:t>чужбина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lastRenderedPageBreak/>
              <w:t>15</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18</w:t>
            </w:r>
          </w:p>
        </w:tc>
      </w:tr>
      <w:tr w:rsidR="00940E69" w:rsidRPr="00056DFA" w:rsidTr="003A0A22">
        <w:trPr>
          <w:trHeight w:val="315"/>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jc w:val="both"/>
              <w:rPr>
                <w:color w:val="000000"/>
                <w:sz w:val="24"/>
                <w:szCs w:val="24"/>
              </w:rPr>
            </w:pPr>
            <w:r w:rsidRPr="00056DFA">
              <w:rPr>
                <w:color w:val="000000"/>
                <w:sz w:val="24"/>
                <w:szCs w:val="24"/>
              </w:rPr>
              <w:lastRenderedPageBreak/>
              <w:t>16. Представяне на чужди култури в България</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150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123</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17. Участие на Р България в конвенции за култура и наследство на ЮНЕСКО и Съвета на Европа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14</w:t>
            </w:r>
          </w:p>
        </w:tc>
      </w:tr>
      <w:tr w:rsidR="00940E69" w:rsidRPr="00056DFA" w:rsidTr="003A0A22">
        <w:trPr>
          <w:trHeight w:val="126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18. Организиране на международни форуми в България по повод Председателството на Комитета на министрите на Съвета на Европа и Процеса на сътрудничество в Региона на Югоизточна Европа</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w:t>
            </w:r>
          </w:p>
        </w:tc>
      </w:tr>
      <w:tr w:rsidR="00940E69" w:rsidRPr="00056DFA" w:rsidTr="003A0A22">
        <w:trPr>
          <w:trHeight w:val="630"/>
        </w:trPr>
        <w:tc>
          <w:tcPr>
            <w:tcW w:w="592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19. Участие на Р България в работата на различни регионални инициативи</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12</w:t>
            </w:r>
          </w:p>
        </w:tc>
      </w:tr>
    </w:tbl>
    <w:p w:rsidR="00940E69" w:rsidRPr="00056DFA" w:rsidRDefault="00940E69" w:rsidP="00940E69">
      <w:pPr>
        <w:spacing w:before="0" w:after="0"/>
        <w:jc w:val="both"/>
        <w:rPr>
          <w:b/>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„Обучение на кадри в областта на изкуството и културата“.</w:t>
      </w:r>
    </w:p>
    <w:p w:rsidR="00940E69" w:rsidRPr="00056DFA" w:rsidRDefault="00940E69" w:rsidP="00940E69">
      <w:pPr>
        <w:spacing w:before="0" w:after="0"/>
        <w:jc w:val="both"/>
        <w:rPr>
          <w:bCs/>
          <w:sz w:val="24"/>
          <w:szCs w:val="24"/>
        </w:rPr>
      </w:pPr>
      <w:r w:rsidRPr="00056DFA">
        <w:rPr>
          <w:sz w:val="24"/>
          <w:szCs w:val="24"/>
        </w:rPr>
        <w:t>Бюджетната програма насърчава и подпомага творческата активност на изявени и даровити деца и ученици от училищата по изкуствата чрез стипендии и еднократно подпомагане; п</w:t>
      </w:r>
      <w:r w:rsidRPr="00056DFA">
        <w:rPr>
          <w:bCs/>
          <w:sz w:val="24"/>
          <w:szCs w:val="24"/>
        </w:rPr>
        <w:t>одобряване и осъвременяване на условията за качествено обучение и творчество в училищата; повишаване на експертния капацитет, педагогическите качества и ефективността на преподавателския състав.</w:t>
      </w:r>
    </w:p>
    <w:p w:rsidR="00940E69" w:rsidRPr="00056DFA" w:rsidRDefault="00940E69" w:rsidP="00940E69">
      <w:pPr>
        <w:spacing w:before="0" w:after="0"/>
        <w:jc w:val="both"/>
        <w:rPr>
          <w:bCs/>
          <w:sz w:val="24"/>
          <w:szCs w:val="24"/>
        </w:rPr>
      </w:pPr>
      <w:r w:rsidRPr="00056DFA">
        <w:rPr>
          <w:bCs/>
          <w:sz w:val="24"/>
          <w:szCs w:val="24"/>
        </w:rPr>
        <w:t>В учебния процес са въведени нови учебни планове и учебни програми за специализирана и професионална подготовка по изкуства и по култура.</w:t>
      </w:r>
    </w:p>
    <w:p w:rsidR="00940E69" w:rsidRPr="00BF123C" w:rsidRDefault="00940E69" w:rsidP="00940E69">
      <w:pPr>
        <w:spacing w:before="0" w:after="0"/>
        <w:jc w:val="both"/>
        <w:rPr>
          <w:bCs/>
          <w:sz w:val="24"/>
          <w:szCs w:val="24"/>
        </w:rPr>
      </w:pPr>
    </w:p>
    <w:tbl>
      <w:tblPr>
        <w:tblW w:w="9060" w:type="dxa"/>
        <w:tblInd w:w="55" w:type="dxa"/>
        <w:tblCellMar>
          <w:left w:w="70" w:type="dxa"/>
          <w:right w:w="70" w:type="dxa"/>
        </w:tblCellMar>
        <w:tblLook w:val="04A0" w:firstRow="1" w:lastRow="0" w:firstColumn="1" w:lastColumn="0" w:noHBand="0" w:noVBand="1"/>
      </w:tblPr>
      <w:tblGrid>
        <w:gridCol w:w="5800"/>
        <w:gridCol w:w="1660"/>
        <w:gridCol w:w="1600"/>
      </w:tblGrid>
      <w:tr w:rsidR="00940E69" w:rsidRPr="00056DFA" w:rsidTr="003A0A22">
        <w:trPr>
          <w:trHeight w:val="630"/>
        </w:trPr>
        <w:tc>
          <w:tcPr>
            <w:tcW w:w="5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40E69" w:rsidRPr="00056DFA" w:rsidRDefault="00940E69" w:rsidP="003A0A22">
            <w:pPr>
              <w:spacing w:before="0" w:after="0"/>
              <w:jc w:val="center"/>
              <w:rPr>
                <w:b/>
                <w:bCs/>
                <w:color w:val="000000"/>
                <w:sz w:val="24"/>
                <w:szCs w:val="24"/>
              </w:rPr>
            </w:pPr>
            <w:r w:rsidRPr="00056DFA">
              <w:rPr>
                <w:b/>
                <w:bCs/>
                <w:color w:val="000000"/>
                <w:sz w:val="24"/>
                <w:szCs w:val="24"/>
              </w:rPr>
              <w:t>Програма “Обучение на кадри в областта на изкуството и културата”</w:t>
            </w:r>
          </w:p>
        </w:tc>
        <w:tc>
          <w:tcPr>
            <w:tcW w:w="166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План</w:t>
            </w:r>
          </w:p>
          <w:p w:rsidR="00940E69" w:rsidRPr="008303B5" w:rsidRDefault="00940E69" w:rsidP="008303B5">
            <w:pPr>
              <w:spacing w:before="0" w:after="0"/>
              <w:ind w:firstLine="0"/>
              <w:jc w:val="center"/>
              <w:rPr>
                <w:b/>
                <w:bCs/>
                <w:color w:val="000000"/>
                <w:sz w:val="24"/>
                <w:szCs w:val="24"/>
                <w:lang w:val="en-US"/>
              </w:rPr>
            </w:pPr>
            <w:r w:rsidRPr="00056DFA">
              <w:rPr>
                <w:b/>
                <w:bCs/>
                <w:color w:val="000000"/>
                <w:sz w:val="24"/>
                <w:szCs w:val="24"/>
              </w:rPr>
              <w:t>(брой)</w:t>
            </w:r>
          </w:p>
        </w:tc>
        <w:tc>
          <w:tcPr>
            <w:tcW w:w="1600" w:type="dxa"/>
            <w:tcBorders>
              <w:top w:val="single" w:sz="4" w:space="0" w:color="auto"/>
              <w:left w:val="nil"/>
              <w:bottom w:val="single" w:sz="4" w:space="0" w:color="auto"/>
              <w:right w:val="single" w:sz="4" w:space="0" w:color="auto"/>
            </w:tcBorders>
            <w:shd w:val="clear" w:color="000000" w:fill="FFFFFF"/>
            <w:hideMark/>
          </w:tcPr>
          <w:p w:rsidR="008303B5" w:rsidRDefault="00940E69" w:rsidP="008303B5">
            <w:pPr>
              <w:spacing w:before="0" w:after="0"/>
              <w:ind w:firstLine="0"/>
              <w:jc w:val="center"/>
              <w:rPr>
                <w:b/>
                <w:bCs/>
                <w:color w:val="000000"/>
                <w:sz w:val="24"/>
                <w:szCs w:val="24"/>
                <w:lang w:val="en-US"/>
              </w:rPr>
            </w:pPr>
            <w:r w:rsidRPr="00056DFA">
              <w:rPr>
                <w:b/>
                <w:bCs/>
                <w:color w:val="000000"/>
                <w:sz w:val="24"/>
                <w:szCs w:val="24"/>
              </w:rPr>
              <w:t>Отчет</w:t>
            </w:r>
          </w:p>
          <w:p w:rsidR="00940E69" w:rsidRPr="00056DFA" w:rsidRDefault="00940E69" w:rsidP="008303B5">
            <w:pPr>
              <w:spacing w:before="0" w:after="0"/>
              <w:ind w:firstLine="0"/>
              <w:jc w:val="center"/>
              <w:rPr>
                <w:b/>
                <w:bCs/>
                <w:color w:val="000000"/>
                <w:sz w:val="24"/>
                <w:szCs w:val="24"/>
              </w:rPr>
            </w:pPr>
            <w:r w:rsidRPr="00056DFA">
              <w:rPr>
                <w:b/>
                <w:bCs/>
                <w:color w:val="000000"/>
                <w:sz w:val="24"/>
                <w:szCs w:val="24"/>
              </w:rPr>
              <w:t>(брой)</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1. Обучавани ученици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9 000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9 182</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2. Учители с професионална квалификационна степен</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380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441</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3. Предоставени стипендии</w:t>
            </w:r>
          </w:p>
        </w:tc>
        <w:tc>
          <w:tcPr>
            <w:tcW w:w="166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240</w:t>
            </w:r>
          </w:p>
        </w:tc>
        <w:tc>
          <w:tcPr>
            <w:tcW w:w="1600" w:type="dxa"/>
            <w:tcBorders>
              <w:top w:val="nil"/>
              <w:left w:val="nil"/>
              <w:bottom w:val="single" w:sz="4" w:space="0" w:color="auto"/>
              <w:right w:val="single" w:sz="4" w:space="0" w:color="auto"/>
            </w:tcBorders>
            <w:shd w:val="clear" w:color="auto" w:fill="auto"/>
            <w:hideMark/>
          </w:tcPr>
          <w:p w:rsidR="00940E69" w:rsidRPr="00056DFA" w:rsidRDefault="00940E69" w:rsidP="003A0A22">
            <w:pPr>
              <w:spacing w:before="0" w:after="0"/>
              <w:jc w:val="right"/>
              <w:rPr>
                <w:color w:val="000000"/>
                <w:sz w:val="24"/>
                <w:szCs w:val="24"/>
              </w:rPr>
            </w:pPr>
            <w:r w:rsidRPr="00056DFA">
              <w:rPr>
                <w:color w:val="000000"/>
                <w:sz w:val="24"/>
                <w:szCs w:val="24"/>
              </w:rPr>
              <w:t>222</w:t>
            </w:r>
          </w:p>
        </w:tc>
      </w:tr>
      <w:tr w:rsidR="00940E69" w:rsidRPr="00056DFA" w:rsidTr="003A0A22">
        <w:trPr>
          <w:trHeight w:val="315"/>
        </w:trPr>
        <w:tc>
          <w:tcPr>
            <w:tcW w:w="5800" w:type="dxa"/>
            <w:tcBorders>
              <w:top w:val="nil"/>
              <w:left w:val="single" w:sz="4" w:space="0" w:color="auto"/>
              <w:bottom w:val="single" w:sz="4" w:space="0" w:color="auto"/>
              <w:right w:val="single" w:sz="4" w:space="0" w:color="auto"/>
            </w:tcBorders>
            <w:shd w:val="clear" w:color="auto" w:fill="auto"/>
            <w:hideMark/>
          </w:tcPr>
          <w:p w:rsidR="00940E69" w:rsidRPr="00056DFA" w:rsidRDefault="00940E69" w:rsidP="003A0A22">
            <w:pPr>
              <w:spacing w:before="0" w:after="0"/>
              <w:rPr>
                <w:color w:val="000000"/>
                <w:sz w:val="24"/>
                <w:szCs w:val="24"/>
              </w:rPr>
            </w:pPr>
            <w:r w:rsidRPr="00056DFA">
              <w:rPr>
                <w:color w:val="000000"/>
                <w:sz w:val="24"/>
                <w:szCs w:val="24"/>
              </w:rPr>
              <w:t>4. Еднократно финансово подпомагане</w:t>
            </w:r>
          </w:p>
        </w:tc>
        <w:tc>
          <w:tcPr>
            <w:tcW w:w="166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30</w:t>
            </w:r>
          </w:p>
        </w:tc>
        <w:tc>
          <w:tcPr>
            <w:tcW w:w="1600" w:type="dxa"/>
            <w:tcBorders>
              <w:top w:val="nil"/>
              <w:left w:val="nil"/>
              <w:bottom w:val="single" w:sz="4" w:space="0" w:color="auto"/>
              <w:right w:val="single" w:sz="4" w:space="0" w:color="auto"/>
            </w:tcBorders>
            <w:shd w:val="clear" w:color="auto" w:fill="auto"/>
            <w:noWrap/>
            <w:hideMark/>
          </w:tcPr>
          <w:p w:rsidR="00940E69" w:rsidRPr="00056DFA" w:rsidRDefault="00940E69" w:rsidP="003A0A22">
            <w:pPr>
              <w:spacing w:before="0" w:after="0"/>
              <w:jc w:val="right"/>
              <w:rPr>
                <w:color w:val="000000"/>
                <w:sz w:val="24"/>
                <w:szCs w:val="24"/>
              </w:rPr>
            </w:pPr>
            <w:r w:rsidRPr="00056DFA">
              <w:rPr>
                <w:color w:val="000000"/>
                <w:sz w:val="24"/>
                <w:szCs w:val="24"/>
              </w:rPr>
              <w:t>21</w:t>
            </w:r>
          </w:p>
        </w:tc>
      </w:tr>
    </w:tbl>
    <w:p w:rsidR="00940E69" w:rsidRPr="00056DFA" w:rsidRDefault="00940E69" w:rsidP="00940E69">
      <w:pPr>
        <w:spacing w:before="0" w:after="0"/>
        <w:jc w:val="both"/>
        <w:rPr>
          <w:bCs/>
          <w:sz w:val="24"/>
          <w:szCs w:val="24"/>
        </w:rPr>
      </w:pPr>
    </w:p>
    <w:p w:rsidR="00940E69" w:rsidRPr="00056DFA" w:rsidRDefault="00940E69" w:rsidP="00940E69">
      <w:pPr>
        <w:spacing w:before="0" w:after="0"/>
        <w:jc w:val="both"/>
        <w:rPr>
          <w:b/>
          <w:sz w:val="24"/>
          <w:szCs w:val="24"/>
        </w:rPr>
      </w:pPr>
      <w:r w:rsidRPr="00056DFA">
        <w:rPr>
          <w:b/>
          <w:sz w:val="24"/>
          <w:szCs w:val="24"/>
        </w:rPr>
        <w:t>Бюджетна програма „Администрация”</w:t>
      </w:r>
    </w:p>
    <w:p w:rsidR="00940E69" w:rsidRPr="00056DFA" w:rsidRDefault="00940E69" w:rsidP="00940E69">
      <w:pPr>
        <w:spacing w:before="0" w:after="0"/>
        <w:jc w:val="both"/>
        <w:rPr>
          <w:sz w:val="24"/>
          <w:szCs w:val="24"/>
        </w:rPr>
      </w:pPr>
      <w:r w:rsidRPr="00056DFA">
        <w:rPr>
          <w:sz w:val="24"/>
          <w:szCs w:val="24"/>
        </w:rPr>
        <w:t xml:space="preserve">В програмата са включени дейностите, които подпомагат изпълнението на политиките и програмите, по които работи министерството за постигане на стратегическите цели и изпълнение на годишните задачи на цялата администрация. </w:t>
      </w:r>
    </w:p>
    <w:p w:rsidR="00940E69" w:rsidRPr="00056DFA" w:rsidRDefault="00940E69" w:rsidP="00940E69">
      <w:pPr>
        <w:spacing w:before="0" w:after="0"/>
        <w:jc w:val="both"/>
        <w:rPr>
          <w:sz w:val="24"/>
          <w:szCs w:val="24"/>
        </w:rPr>
      </w:pPr>
      <w:r w:rsidRPr="00056DFA">
        <w:rPr>
          <w:sz w:val="24"/>
          <w:szCs w:val="24"/>
        </w:rPr>
        <w:t>Министерството на културата е структурирано в обща администрация (4 дирекции), специализирана администрация (7 дирекции), инспекторат, звено за вътрешен одит, служител по сигурността на информацията, финансов контрольор, главен секретар и шест души политически кабинет.</w:t>
      </w:r>
    </w:p>
    <w:p w:rsidR="00940E69" w:rsidRPr="00056DFA" w:rsidRDefault="00940E69" w:rsidP="00940E69">
      <w:pPr>
        <w:tabs>
          <w:tab w:val="num" w:pos="0"/>
          <w:tab w:val="num" w:pos="720"/>
        </w:tabs>
        <w:spacing w:before="0" w:after="0"/>
        <w:jc w:val="both"/>
        <w:rPr>
          <w:sz w:val="24"/>
          <w:szCs w:val="24"/>
        </w:rPr>
      </w:pPr>
      <w:bookmarkStart w:id="12" w:name="_Toc149350311"/>
      <w:r w:rsidRPr="00056DFA">
        <w:rPr>
          <w:sz w:val="24"/>
          <w:szCs w:val="24"/>
        </w:rPr>
        <w:t>Основни направления, по които се работи</w:t>
      </w:r>
      <w:bookmarkEnd w:id="12"/>
      <w:r w:rsidRPr="00056DFA">
        <w:rPr>
          <w:sz w:val="24"/>
          <w:szCs w:val="24"/>
        </w:rPr>
        <w:t xml:space="preserve"> са участие в разработването на проекти на нормативни актове; процесуално представителство пред съдилищата; Изготвяне проекти на договори и становища по законосъобразността на договори; организиране и осъществяване на дейностите по съставяне, изпълнение, отчитане и контрол на бюджета на администрацията и на второстепенните разпоредители с бюджетни кредити към министъра на културата; анализ на потребностите и планиране обучение на персонала; поддържане на учрежденския архив; приемна по постъпили жалби и писма на граждани; дейности по осигуряване на прозрачност и публичност на дейността на министерството; поддържане страница в Интернет; програмно и техническо осигуряване на компютърната техника; поддържане автоматизираната информационна инфраструктура; осъществяване на автоматизиран обмен на данни с национални и </w:t>
      </w:r>
      <w:r w:rsidRPr="00056DFA">
        <w:rPr>
          <w:sz w:val="24"/>
          <w:szCs w:val="24"/>
        </w:rPr>
        <w:lastRenderedPageBreak/>
        <w:t xml:space="preserve">ведомствени информационни системи; планиране и организиране на строително-монтажни работи; материално-техническо снабдяване; поддръжка на </w:t>
      </w:r>
      <w:proofErr w:type="spellStart"/>
      <w:r w:rsidRPr="00056DFA">
        <w:rPr>
          <w:sz w:val="24"/>
          <w:szCs w:val="24"/>
        </w:rPr>
        <w:t>сградния</w:t>
      </w:r>
      <w:proofErr w:type="spellEnd"/>
      <w:r w:rsidRPr="00056DFA">
        <w:rPr>
          <w:sz w:val="24"/>
          <w:szCs w:val="24"/>
        </w:rPr>
        <w:t xml:space="preserve"> фонд на министерството, инсталациите и съоръженията; административно обслужване на юридически и физически лица на „едно гише” и протоколна дейност на министерството.</w:t>
      </w:r>
    </w:p>
    <w:p w:rsidR="00056DFA" w:rsidRDefault="00056DFA" w:rsidP="00056DFA">
      <w:pPr>
        <w:rPr>
          <w:b/>
          <w:sz w:val="24"/>
          <w:szCs w:val="24"/>
        </w:rPr>
      </w:pPr>
    </w:p>
    <w:p w:rsidR="00D86C17" w:rsidRDefault="00D86C17" w:rsidP="00056DFA">
      <w:pPr>
        <w:rPr>
          <w:b/>
          <w:sz w:val="24"/>
          <w:szCs w:val="24"/>
        </w:rPr>
      </w:pPr>
    </w:p>
    <w:p w:rsidR="00C74C2B" w:rsidRPr="0020329E" w:rsidRDefault="00C74C2B" w:rsidP="007E4882">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13" w:name="_Toc523492632"/>
      <w:r w:rsidRPr="0020329E">
        <w:rPr>
          <w:rFonts w:ascii="Times New Roman" w:eastAsia="Batang" w:hAnsi="Times New Roman" w:cs="Times New Roman"/>
          <w:b/>
          <w:bCs/>
          <w:caps/>
          <w:lang w:val="bg-BG" w:eastAsia="ko-KR"/>
        </w:rPr>
        <w:t>Министерството на образованието и науката</w:t>
      </w:r>
      <w:bookmarkEnd w:id="13"/>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Приоритетите в областта на образованието през 2017 г. бяха насочени към постигане на заложените стратегически цели за провеждане на интегрирана политика, в която водеща роля имат образованието, възпитанието и личностното развитие на децата и младите хора в България, с отстояване на националните интереси в политиките на ЕС за хармонизиране на българското образование и обучение с политиките и практиките на ЕС.</w:t>
      </w:r>
    </w:p>
    <w:p w:rsidR="00C74C2B" w:rsidRPr="00056DFA" w:rsidRDefault="00C74C2B" w:rsidP="00056DFA">
      <w:pPr>
        <w:spacing w:before="0" w:after="0"/>
        <w:jc w:val="both"/>
        <w:rPr>
          <w:rFonts w:eastAsia="Calibri"/>
          <w:b/>
          <w:sz w:val="24"/>
          <w:szCs w:val="24"/>
          <w:lang w:eastAsia="en-US"/>
        </w:rPr>
      </w:pPr>
      <w:r w:rsidRPr="00056DFA">
        <w:rPr>
          <w:rFonts w:eastAsia="Calibri"/>
          <w:b/>
          <w:sz w:val="24"/>
          <w:szCs w:val="24"/>
          <w:lang w:eastAsia="en-US"/>
        </w:rPr>
        <w:t>Предучилищно и училищно образование</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 xml:space="preserve">За осигуряване на качествено образование, ориентирано към съвременните потребности на обществото и развитие на ключовите компетентности, определени със Закона за предучилищно и училищно образование през 2017 г. са разработени и утвърдени учебни програми за III, VII и IX клас по всички общообразователни учебни предмети. Осигурена е методическа и организационна подкрепа на училищата за прилагане на новия учебен план, новите учебни програми и държавните образователни стандарти. </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 xml:space="preserve">Одобри се списъкът на първите иновативни училища в България. От учебната 2017/2018 година 184 неспециализирани училища работят за повишаване на образователните резултати на учениците чрез иновативни образователни процеси, методи на преподаване, училищно лидерство и учебни програми. </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 xml:space="preserve">С Решение на Министерския съвет № 356 от 29.06.2017 г. се определиха и училищата с национално значение. Съгласно Закона за предучилищното и училищното образование училищата се обявяват за национални за срок от четири години. Националните училища са държавни и се финансират чрез бюджета на Министерство на образованието и науката. </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Резултатите от проведеното национално външно оценяване на учениците в IV клас показват по-високи резултати по български език и литература (БЕЛ), математика и човекът и обществото в сравнение с предходната учебна година, като повишението е най-чувствително по БЕЛ. Изравняват се разликите в резултатите от задачите с избираем и със свободен отговор – учениците постепенно придобиват съвременни ключови умения (да избират и да доказват своя избор, да аргументират чужди твърдения, да извличат информация от текст, да решават задачи с приложен характер и пр.).</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Резултатите от проведеното национално външно оценяване на учениците в VII клас по български език и литература и по математика са съизмерими, но като цяло по-високи от предходната година и по двата предмета. През 2017 г. има повече добри и много добри оценки. Учениците от почти всички региони са повишили успеха си, като най-чувствително Враца и Пазарджик (БЕЛ) и Смолян и Кърджали (математика).</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През 2017 г. се въведе за първи път децентрализирана проверка на държавните зрелостни изпити (ДЗИ) по всички учебни предмети. За първи път беше проведено Национално онлайн оценяване на дигиталните компетентности на учениците от X клас във всички училища.</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lastRenderedPageBreak/>
        <w:t xml:space="preserve">В изпълнение на приоритетите на правителството за повишаване на заплатите на </w:t>
      </w:r>
      <w:proofErr w:type="spellStart"/>
      <w:r w:rsidRPr="00056DFA">
        <w:rPr>
          <w:rFonts w:eastAsia="Calibri"/>
          <w:sz w:val="24"/>
          <w:szCs w:val="24"/>
          <w:lang w:eastAsia="en-US"/>
        </w:rPr>
        <w:t>педагозитe</w:t>
      </w:r>
      <w:proofErr w:type="spellEnd"/>
      <w:r w:rsidRPr="00056DFA">
        <w:rPr>
          <w:rFonts w:eastAsia="Calibri"/>
          <w:sz w:val="24"/>
          <w:szCs w:val="24"/>
          <w:lang w:eastAsia="en-US"/>
        </w:rPr>
        <w:t xml:space="preserve"> и удвояване на възнагражденията им до 2021 г. се увеличиха трудовите възнаграждения на учителите в училищата, детските градини и центровете за подкрепа за личностно развитие, считано от 01.09.2017 г. с 15 на сто. За финансово осигуряване на тази мярка се предоставиха допълнително 80,0 млн. лв. на държавните и общинските институции в системата на предучилищното и училищното образование. Инвестициите в педагогическите специалисти са основен фактор за качествено образование. </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Осигурени са условия за продължаваща квалификация и мотивация за професионално развитие на педагогическите специалисти в следните области:</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квалификация, насочена към новия пакет образователни документи за общообразователна подготовка на експерти, начални учители и учители по общообразователна подготовка;</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продължаваща квалификация на педагогическите специалисти по приоритетни направления;</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продължаваща квалификация на педагогическите специалисти по професионална подготовка;</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професионално усъвършенстване на педагогически специалисти с ръководни функции: директори и заместник-директори;</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обучение на педагогически специалисти за подкрепа на деца и ученици с обучителни трудности, с девиантно поведение и на бежанци;</w:t>
      </w:r>
    </w:p>
    <w:p w:rsidR="00C74C2B" w:rsidRPr="00056DFA" w:rsidRDefault="00C74C2B" w:rsidP="00056DFA">
      <w:pPr>
        <w:numPr>
          <w:ilvl w:val="0"/>
          <w:numId w:val="72"/>
        </w:numPr>
        <w:tabs>
          <w:tab w:val="left" w:pos="993"/>
        </w:tabs>
        <w:spacing w:before="0" w:after="0"/>
        <w:ind w:left="0" w:firstLine="567"/>
        <w:contextualSpacing/>
        <w:jc w:val="both"/>
        <w:rPr>
          <w:rFonts w:eastAsia="Calibri"/>
          <w:sz w:val="24"/>
          <w:szCs w:val="24"/>
          <w:lang w:eastAsia="en-US"/>
        </w:rPr>
      </w:pPr>
      <w:r w:rsidRPr="00056DFA">
        <w:rPr>
          <w:rFonts w:eastAsia="Calibri"/>
          <w:sz w:val="24"/>
          <w:szCs w:val="24"/>
          <w:lang w:eastAsia="en-US"/>
        </w:rPr>
        <w:t>популяризиране и обмен на иновативни педагогически практики.</w:t>
      </w:r>
    </w:p>
    <w:p w:rsidR="00C74C2B" w:rsidRPr="00056DFA" w:rsidRDefault="00C74C2B" w:rsidP="00056DFA">
      <w:pPr>
        <w:tabs>
          <w:tab w:val="left" w:pos="709"/>
        </w:tabs>
        <w:spacing w:before="0" w:after="0"/>
        <w:jc w:val="both"/>
        <w:rPr>
          <w:rFonts w:eastAsia="Calibri"/>
          <w:sz w:val="24"/>
          <w:szCs w:val="24"/>
          <w:lang w:eastAsia="en-US"/>
        </w:rPr>
      </w:pPr>
      <w:r w:rsidRPr="00056DFA">
        <w:rPr>
          <w:rFonts w:eastAsia="Calibri"/>
          <w:sz w:val="24"/>
          <w:szCs w:val="24"/>
          <w:lang w:eastAsia="en-US"/>
        </w:rPr>
        <w:tab/>
        <w:t xml:space="preserve">Чрез Регистърът на одобрените програми за повишаване на квалификацията на педагогическите специалисти на МОН са създадени условия за прозрачност и повишаване качеството на квалификацията на педагогическите специалисти. Вписаните през 2017 г. в регистъра програми за повишаване на квалификацията на педагогическите специалисти са 2 615. </w:t>
      </w:r>
    </w:p>
    <w:p w:rsidR="00C74C2B" w:rsidRPr="00056DFA" w:rsidRDefault="00C74C2B" w:rsidP="00056DFA">
      <w:pPr>
        <w:tabs>
          <w:tab w:val="left" w:pos="709"/>
        </w:tabs>
        <w:spacing w:before="0" w:after="0"/>
        <w:jc w:val="both"/>
        <w:rPr>
          <w:rFonts w:eastAsia="Calibri"/>
          <w:sz w:val="24"/>
          <w:szCs w:val="24"/>
          <w:lang w:eastAsia="en-US"/>
        </w:rPr>
      </w:pPr>
      <w:r w:rsidRPr="00056DFA">
        <w:rPr>
          <w:rFonts w:eastAsia="Calibri"/>
          <w:sz w:val="24"/>
          <w:szCs w:val="24"/>
          <w:lang w:eastAsia="en-US"/>
        </w:rPr>
        <w:tab/>
        <w:t>За създаване на условия за равен достъп до образование е осигурен безплатен транспорт за 76 460 деца и ученици до 1 482 детски градини и училища, в т.ч.: 1014 средищни детски градини и училища.</w:t>
      </w:r>
    </w:p>
    <w:p w:rsidR="00C74C2B" w:rsidRPr="00056DFA" w:rsidRDefault="00C74C2B" w:rsidP="00056DFA">
      <w:pPr>
        <w:tabs>
          <w:tab w:val="left" w:pos="709"/>
        </w:tabs>
        <w:spacing w:before="0" w:after="0"/>
        <w:jc w:val="both"/>
        <w:rPr>
          <w:rFonts w:eastAsia="Calibri"/>
          <w:sz w:val="24"/>
          <w:szCs w:val="24"/>
          <w:lang w:eastAsia="en-US"/>
        </w:rPr>
      </w:pPr>
      <w:r w:rsidRPr="00056DFA">
        <w:rPr>
          <w:rFonts w:eastAsia="Calibri"/>
          <w:sz w:val="24"/>
          <w:szCs w:val="24"/>
          <w:lang w:eastAsia="en-US"/>
        </w:rPr>
        <w:tab/>
        <w:t>През 2017 г. са осигурени за безвъзмездно ползване познавателни книжки, учебници и учебни комплекти за децата в задължителна предучилищна възраст и учениците от I до VII клас в държавните, общинските, частните детски градини и училища и за децата и учениците в Европейските училища. Броят на децата в задължителна предучилищна възраст получили безплатни познавателни книжки през учебната 2017/2018 г. е 100 406. Осигурени са учебници и учебни комплекти за 260 638 ученици от I до IV клас и учебници за 189 653 ученици от V до VII клас. Безвъзмездно предоставени са учебници и учебни помагала за 156 ученици с увреден слух от I до IV клас и познавателни книжки, учебници и учебни комплекти по български език за 219 деца и ученици в Европейските училища.</w:t>
      </w:r>
    </w:p>
    <w:p w:rsidR="00C74C2B" w:rsidRPr="00056DFA" w:rsidRDefault="00C74C2B" w:rsidP="00056DFA">
      <w:pPr>
        <w:tabs>
          <w:tab w:val="left" w:pos="709"/>
        </w:tabs>
        <w:spacing w:before="0" w:after="0"/>
        <w:jc w:val="both"/>
        <w:rPr>
          <w:rFonts w:eastAsia="Calibri"/>
          <w:sz w:val="24"/>
          <w:szCs w:val="24"/>
          <w:lang w:eastAsia="en-US"/>
        </w:rPr>
      </w:pPr>
      <w:r w:rsidRPr="00056DFA">
        <w:rPr>
          <w:rFonts w:eastAsia="Calibri"/>
          <w:sz w:val="24"/>
          <w:szCs w:val="24"/>
          <w:lang w:eastAsia="en-US"/>
        </w:rPr>
        <w:tab/>
        <w:t>За подобряване</w:t>
      </w:r>
      <w:r w:rsidRPr="00BF123C">
        <w:rPr>
          <w:rFonts w:eastAsia="Calibri"/>
          <w:sz w:val="24"/>
          <w:szCs w:val="24"/>
          <w:lang w:eastAsia="en-US"/>
        </w:rPr>
        <w:t xml:space="preserve"> </w:t>
      </w:r>
      <w:r w:rsidRPr="00056DFA">
        <w:rPr>
          <w:rFonts w:eastAsia="Calibri"/>
          <w:sz w:val="24"/>
          <w:szCs w:val="24"/>
          <w:lang w:eastAsia="en-US"/>
        </w:rPr>
        <w:t xml:space="preserve">на достъпа и качеството на предучилищното и училищното образование и преодоляването на проблема с обхващането и с преждевременното напускане на образователната система през м. юли 2017 г. се създаде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 В резултат на работата на екипите по </w:t>
      </w:r>
      <w:proofErr w:type="spellStart"/>
      <w:r w:rsidRPr="00056DFA">
        <w:rPr>
          <w:rFonts w:eastAsia="Calibri"/>
          <w:sz w:val="24"/>
          <w:szCs w:val="24"/>
          <w:lang w:eastAsia="en-US"/>
        </w:rPr>
        <w:t>междуинституционалния</w:t>
      </w:r>
      <w:proofErr w:type="spellEnd"/>
      <w:r w:rsidRPr="00056DFA">
        <w:rPr>
          <w:rFonts w:eastAsia="Calibri"/>
          <w:sz w:val="24"/>
          <w:szCs w:val="24"/>
          <w:lang w:eastAsia="en-US"/>
        </w:rPr>
        <w:t xml:space="preserve"> механизъм до края на годината 17 297 деца са записани отново в образователната система и посещават детска градина или училище. </w:t>
      </w:r>
    </w:p>
    <w:p w:rsidR="00C74C2B" w:rsidRPr="00056DFA" w:rsidRDefault="00C74C2B" w:rsidP="00056DFA">
      <w:pPr>
        <w:tabs>
          <w:tab w:val="left" w:pos="709"/>
        </w:tabs>
        <w:spacing w:before="0" w:after="0"/>
        <w:jc w:val="both"/>
        <w:rPr>
          <w:rFonts w:eastAsia="Calibri"/>
          <w:sz w:val="24"/>
          <w:szCs w:val="24"/>
          <w:lang w:eastAsia="en-US"/>
        </w:rPr>
      </w:pPr>
      <w:r w:rsidRPr="00056DFA">
        <w:rPr>
          <w:rFonts w:eastAsia="Calibri"/>
          <w:sz w:val="24"/>
          <w:szCs w:val="24"/>
          <w:lang w:eastAsia="en-US"/>
        </w:rPr>
        <w:tab/>
        <w:t>Осигурени са условия за развитие на интересите и способностите на учениците чрез:</w:t>
      </w:r>
    </w:p>
    <w:p w:rsidR="00C74C2B" w:rsidRPr="00056DFA" w:rsidRDefault="00C74C2B" w:rsidP="00056DFA">
      <w:pPr>
        <w:numPr>
          <w:ilvl w:val="0"/>
          <w:numId w:val="73"/>
        </w:numPr>
        <w:tabs>
          <w:tab w:val="left" w:pos="709"/>
        </w:tabs>
        <w:spacing w:before="0" w:after="0"/>
        <w:ind w:left="0" w:firstLine="567"/>
        <w:contextualSpacing/>
        <w:jc w:val="both"/>
        <w:rPr>
          <w:rFonts w:eastAsia="Calibri"/>
          <w:sz w:val="24"/>
          <w:szCs w:val="24"/>
          <w:lang w:eastAsia="en-US"/>
        </w:rPr>
      </w:pPr>
      <w:r w:rsidRPr="00056DFA">
        <w:rPr>
          <w:rFonts w:eastAsia="Calibri"/>
          <w:sz w:val="24"/>
          <w:szCs w:val="24"/>
          <w:lang w:eastAsia="en-US"/>
        </w:rPr>
        <w:lastRenderedPageBreak/>
        <w:t>участие в национални и международни олимпиади, състезания и конкурси в областта на науката, изкуствата, технологиите и спорта;</w:t>
      </w:r>
    </w:p>
    <w:p w:rsidR="00C74C2B" w:rsidRPr="00056DFA" w:rsidRDefault="00C74C2B" w:rsidP="00056DFA">
      <w:pPr>
        <w:numPr>
          <w:ilvl w:val="0"/>
          <w:numId w:val="73"/>
        </w:numPr>
        <w:tabs>
          <w:tab w:val="left" w:pos="709"/>
        </w:tabs>
        <w:spacing w:before="0" w:after="0"/>
        <w:ind w:left="0" w:firstLine="567"/>
        <w:contextualSpacing/>
        <w:jc w:val="both"/>
        <w:rPr>
          <w:rFonts w:eastAsia="Calibri"/>
          <w:sz w:val="24"/>
          <w:szCs w:val="24"/>
          <w:lang w:eastAsia="en-US"/>
        </w:rPr>
      </w:pPr>
      <w:r w:rsidRPr="00056DFA">
        <w:rPr>
          <w:rFonts w:eastAsia="Calibri"/>
          <w:sz w:val="24"/>
          <w:szCs w:val="24"/>
          <w:lang w:eastAsia="en-US"/>
        </w:rPr>
        <w:t>осъществяване на подкрепа по Програмата с мерки за закрила на деца с изявени дарби;</w:t>
      </w:r>
    </w:p>
    <w:p w:rsidR="00C74C2B" w:rsidRPr="00056DFA" w:rsidRDefault="00C74C2B" w:rsidP="00056DFA">
      <w:pPr>
        <w:numPr>
          <w:ilvl w:val="0"/>
          <w:numId w:val="73"/>
        </w:numPr>
        <w:tabs>
          <w:tab w:val="left" w:pos="709"/>
        </w:tabs>
        <w:spacing w:before="0" w:after="0"/>
        <w:ind w:left="0" w:firstLine="567"/>
        <w:contextualSpacing/>
        <w:jc w:val="both"/>
        <w:rPr>
          <w:rFonts w:eastAsia="Calibri"/>
          <w:sz w:val="24"/>
          <w:szCs w:val="24"/>
          <w:lang w:eastAsia="en-US"/>
        </w:rPr>
      </w:pPr>
      <w:r w:rsidRPr="00056DFA">
        <w:rPr>
          <w:rFonts w:eastAsia="Calibri"/>
          <w:sz w:val="24"/>
          <w:szCs w:val="24"/>
          <w:lang w:eastAsia="en-US"/>
        </w:rPr>
        <w:t>финансово подпомагане на физическото възпитание и спорта в училищата и в детските градини по ПМС № 129/2000 г.</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 xml:space="preserve">Създадени са условия изграждане на достъпна и адаптивна спрямо пазара на труда система на професионално образование и обучение, отворена към развитието на икономиката и пазара на труда с нарастващо участие в процеса на учене през целия живот. Реализират се проекти с участието на работодатели от местния и регионален бизнес съвместно с професионални гимназии за провеждане на обучение в реална работна среда - </w:t>
      </w:r>
      <w:proofErr w:type="spellStart"/>
      <w:r w:rsidRPr="00056DFA">
        <w:rPr>
          <w:rFonts w:eastAsia="Calibri"/>
          <w:sz w:val="24"/>
          <w:szCs w:val="24"/>
          <w:lang w:eastAsia="en-US"/>
        </w:rPr>
        <w:t>дуална</w:t>
      </w:r>
      <w:proofErr w:type="spellEnd"/>
      <w:r w:rsidRPr="00056DFA">
        <w:rPr>
          <w:rFonts w:eastAsia="Calibri"/>
          <w:sz w:val="24"/>
          <w:szCs w:val="24"/>
          <w:lang w:eastAsia="en-US"/>
        </w:rPr>
        <w:t xml:space="preserve"> система на образование. За учебната 2017/2018 година са реализирани 98 паралелки за обучение на ученици в </w:t>
      </w:r>
      <w:proofErr w:type="spellStart"/>
      <w:r w:rsidRPr="00056DFA">
        <w:rPr>
          <w:rFonts w:eastAsia="Calibri"/>
          <w:sz w:val="24"/>
          <w:szCs w:val="24"/>
          <w:lang w:eastAsia="en-US"/>
        </w:rPr>
        <w:t>дуална</w:t>
      </w:r>
      <w:proofErr w:type="spellEnd"/>
      <w:r w:rsidRPr="00056DFA">
        <w:rPr>
          <w:rFonts w:eastAsia="Calibri"/>
          <w:sz w:val="24"/>
          <w:szCs w:val="24"/>
          <w:lang w:eastAsia="en-US"/>
        </w:rPr>
        <w:t xml:space="preserve"> форма.</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За съхраняване на родния език, култура и национална идентичност сред българските общности в чужбина са подпомогнати 328 неделни училища, в които се обучават 27 696 ученици.</w:t>
      </w:r>
    </w:p>
    <w:p w:rsidR="00C74C2B" w:rsidRPr="00056DFA" w:rsidRDefault="00C74C2B" w:rsidP="00056DFA">
      <w:pPr>
        <w:spacing w:before="0" w:after="0"/>
        <w:jc w:val="both"/>
        <w:rPr>
          <w:rFonts w:eastAsia="Calibri"/>
          <w:b/>
          <w:sz w:val="24"/>
          <w:szCs w:val="24"/>
          <w:lang w:eastAsia="en-US"/>
        </w:rPr>
      </w:pPr>
      <w:r w:rsidRPr="00056DFA">
        <w:rPr>
          <w:rFonts w:eastAsia="Calibri"/>
          <w:b/>
          <w:sz w:val="24"/>
          <w:szCs w:val="24"/>
          <w:lang w:eastAsia="en-US"/>
        </w:rPr>
        <w:t>Висше образование</w:t>
      </w:r>
    </w:p>
    <w:p w:rsidR="00C74C2B" w:rsidRPr="00056DFA" w:rsidRDefault="00C74C2B" w:rsidP="00056DFA">
      <w:pPr>
        <w:autoSpaceDE w:val="0"/>
        <w:autoSpaceDN w:val="0"/>
        <w:adjustRightInd w:val="0"/>
        <w:spacing w:before="0" w:after="0"/>
        <w:jc w:val="both"/>
        <w:rPr>
          <w:rFonts w:eastAsia="Calibri"/>
          <w:sz w:val="24"/>
          <w:szCs w:val="24"/>
          <w:lang w:eastAsia="en-US"/>
        </w:rPr>
      </w:pPr>
      <w:r w:rsidRPr="00056DFA">
        <w:rPr>
          <w:rFonts w:eastAsia="Calibri"/>
          <w:sz w:val="24"/>
          <w:szCs w:val="24"/>
          <w:lang w:eastAsia="en-US"/>
        </w:rPr>
        <w:t>Политиката насърчава усилията на висшите училища за развитие на качеството на предлаганото висше образование и ориентирането му към практическите нужди на пазара на труда, въвеждането, развитието и усъвършенстването на вътрешните системи за оценяване и поддържане на качеството на обучение и на академичния състав и подобряване на условията за достъп до качествено висше образование, целящо бърза и успешна реализация през целия живот. В изпълнение на целите на Стратегията за развитие на висшето образование в Република България за периода 2014 – 2020 г. през 2017 г. се:</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Усъвършенства системата за прием на студенти и докторанти в държавните висши училища;</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 xml:space="preserve">Усъвършенства модела на акредитация и оценяване на качеството във висшето образование; </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Актуализира рейтинговата система на висшите училища, даваща възможност същите да бъдат сравнявани на базата на 52 индикатора, които измерват различни аспекти на учебния процес и научна дейност, удовлетвореността на студентите, престижа, връзките с пазара на труда и реализацията на завършилите;</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Подпомага взаимодействието между висшите училища и бизнеса за разширяване на практическото обучение на студентите в реална работна среда;</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Стимулира обучението в приоритетни за страната области от висшето образование;</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Създават условия за подпомагане на студенти, докторанти и специализанти, чрез: предоставяне на стипендии, помощи и награди със средства от държавния бюджет и от Европейските структурни фондове; субсидирано ползване на студентски столове и общежития; предоставяне на парични помощи за свободно наета квартира; подпомагане на физическото възпитание и спорта на студентите и утвърждаването на системата за студентско кредитиране</w:t>
      </w:r>
    </w:p>
    <w:p w:rsidR="00C74C2B" w:rsidRPr="00BF123C" w:rsidRDefault="00C74C2B" w:rsidP="00056DFA">
      <w:pPr>
        <w:spacing w:before="0" w:after="0"/>
        <w:jc w:val="both"/>
        <w:rPr>
          <w:rFonts w:eastAsia="Calibri"/>
          <w:b/>
          <w:sz w:val="24"/>
          <w:szCs w:val="24"/>
          <w:lang w:eastAsia="en-US"/>
        </w:rPr>
      </w:pPr>
      <w:r w:rsidRPr="00056DFA">
        <w:rPr>
          <w:rFonts w:eastAsia="Calibri"/>
          <w:b/>
          <w:sz w:val="24"/>
          <w:szCs w:val="24"/>
          <w:lang w:eastAsia="en-US"/>
        </w:rPr>
        <w:t>Наука</w:t>
      </w:r>
    </w:p>
    <w:p w:rsidR="00C74C2B" w:rsidRPr="00056DFA" w:rsidRDefault="00C74C2B" w:rsidP="00056DFA">
      <w:pPr>
        <w:spacing w:before="0" w:after="0"/>
        <w:jc w:val="both"/>
        <w:rPr>
          <w:rFonts w:eastAsia="Calibri"/>
          <w:sz w:val="24"/>
          <w:szCs w:val="24"/>
          <w:lang w:eastAsia="en-US"/>
        </w:rPr>
      </w:pPr>
      <w:r w:rsidRPr="00056DFA">
        <w:rPr>
          <w:rFonts w:eastAsia="Calibri"/>
          <w:sz w:val="24"/>
          <w:szCs w:val="24"/>
          <w:lang w:eastAsia="en-US"/>
        </w:rPr>
        <w:t xml:space="preserve">За изпълнение на политиките в областта на науката през 2017 г. се приеха Национална стратегия за развитие на научните изследвания в Република България 2017-2030 г. и Национална пътна карта за научна инфраструктура (2017-2023 г.). В изпълнение на целите за преструктуриране и модернизиране на научната инфраструктура, за постигане на дълготраен положителен ефект в областта на научната и изследователската дейност и превръщане на научния сектор в основен фактор за </w:t>
      </w:r>
      <w:r w:rsidRPr="00056DFA">
        <w:rPr>
          <w:rFonts w:eastAsia="Calibri"/>
          <w:sz w:val="24"/>
          <w:szCs w:val="24"/>
          <w:lang w:eastAsia="en-US"/>
        </w:rPr>
        <w:lastRenderedPageBreak/>
        <w:t>изграждане на икономика, базирана на знанието и иновационните дейности, насочени към подобряване на икономическото развитие на страната в дългосрочен план с извършените разходи за 2017 г. са осигурени:</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 xml:space="preserve">Координация на регионалните, европейските и </w:t>
      </w:r>
      <w:proofErr w:type="spellStart"/>
      <w:r w:rsidRPr="00056DFA">
        <w:rPr>
          <w:rFonts w:eastAsia="Calibri"/>
          <w:sz w:val="24"/>
          <w:szCs w:val="24"/>
          <w:lang w:eastAsia="en-US"/>
        </w:rPr>
        <w:t>трансевропейските</w:t>
      </w:r>
      <w:proofErr w:type="spellEnd"/>
      <w:r w:rsidRPr="00056DFA">
        <w:rPr>
          <w:rFonts w:eastAsia="Calibri"/>
          <w:sz w:val="24"/>
          <w:szCs w:val="24"/>
          <w:lang w:eastAsia="en-US"/>
        </w:rPr>
        <w:t xml:space="preserve"> научни </w:t>
      </w:r>
      <w:proofErr w:type="spellStart"/>
      <w:r w:rsidRPr="00056DFA">
        <w:rPr>
          <w:rFonts w:eastAsia="Calibri"/>
          <w:sz w:val="24"/>
          <w:szCs w:val="24"/>
          <w:lang w:eastAsia="en-US"/>
        </w:rPr>
        <w:t>ииновационни</w:t>
      </w:r>
      <w:proofErr w:type="spellEnd"/>
      <w:r w:rsidRPr="00056DFA">
        <w:rPr>
          <w:rFonts w:eastAsia="Calibri"/>
          <w:sz w:val="24"/>
          <w:szCs w:val="24"/>
          <w:lang w:eastAsia="en-US"/>
        </w:rPr>
        <w:t xml:space="preserve"> програми;</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Изпълнение на Националната пътна карта за научна инфраструктура, обвързана и с приоритетите на научната стратегия;</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Подкрепа за участие на българските учени в двустранни, европейски и международни програми;</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Включване в международни научни мрежи и осигуряване на достъп до световни бази данни и обмен на информация на научни знания;</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Привличане, насърчаване и развитие на младите учени, както и привличане на изявени български учени, работили в престижни чуждестранни научни институции.</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Изграждане на благоприятна среда за научна дейност;</w:t>
      </w:r>
    </w:p>
    <w:p w:rsidR="00C74C2B" w:rsidRPr="00056DFA" w:rsidRDefault="00C74C2B" w:rsidP="00056DFA">
      <w:pPr>
        <w:numPr>
          <w:ilvl w:val="0"/>
          <w:numId w:val="74"/>
        </w:numPr>
        <w:spacing w:before="0" w:after="0"/>
        <w:ind w:left="0" w:firstLine="567"/>
        <w:contextualSpacing/>
        <w:jc w:val="both"/>
        <w:rPr>
          <w:rFonts w:eastAsia="Calibri"/>
          <w:sz w:val="24"/>
          <w:szCs w:val="24"/>
          <w:lang w:eastAsia="en-US"/>
        </w:rPr>
      </w:pPr>
      <w:r w:rsidRPr="00056DFA">
        <w:rPr>
          <w:rFonts w:eastAsia="Calibri"/>
          <w:sz w:val="24"/>
          <w:szCs w:val="24"/>
          <w:lang w:eastAsia="en-US"/>
        </w:rPr>
        <w:t>Условия за подобряване статута на учените и тяхното място в обществото.</w:t>
      </w:r>
    </w:p>
    <w:p w:rsidR="00C74C2B" w:rsidRPr="00056DFA" w:rsidRDefault="00C74C2B" w:rsidP="00056DFA">
      <w:pPr>
        <w:numPr>
          <w:ilvl w:val="0"/>
          <w:numId w:val="74"/>
        </w:numPr>
        <w:tabs>
          <w:tab w:val="left" w:pos="851"/>
        </w:tabs>
        <w:spacing w:before="0" w:after="0"/>
        <w:ind w:left="0" w:firstLine="567"/>
        <w:contextualSpacing/>
        <w:jc w:val="both"/>
        <w:rPr>
          <w:rFonts w:eastAsia="Calibri"/>
          <w:sz w:val="24"/>
          <w:szCs w:val="24"/>
          <w:lang w:eastAsia="en-US"/>
        </w:rPr>
      </w:pPr>
      <w:r w:rsidRPr="00056DFA">
        <w:rPr>
          <w:rFonts w:eastAsia="Calibri"/>
          <w:sz w:val="24"/>
          <w:szCs w:val="24"/>
          <w:lang w:eastAsia="en-US"/>
        </w:rPr>
        <w:t>Дейности по въвеждане на система за оценка на научноизследователската дейност на основата на съпоставимост и съизмерване на качеството й със световните и европейските стандарти.</w:t>
      </w:r>
    </w:p>
    <w:p w:rsidR="006818F0" w:rsidRDefault="006818F0" w:rsidP="00056DFA">
      <w:pPr>
        <w:rPr>
          <w:sz w:val="24"/>
          <w:szCs w:val="24"/>
        </w:rPr>
      </w:pPr>
    </w:p>
    <w:p w:rsidR="006818F0" w:rsidRDefault="006818F0" w:rsidP="00056DFA">
      <w:pPr>
        <w:rPr>
          <w:sz w:val="24"/>
          <w:szCs w:val="24"/>
        </w:rPr>
      </w:pPr>
    </w:p>
    <w:p w:rsidR="00855A7E" w:rsidRPr="008213AD" w:rsidRDefault="00855A7E" w:rsidP="00855A7E">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14" w:name="_Toc523492633"/>
      <w:r w:rsidRPr="008213AD">
        <w:rPr>
          <w:rFonts w:ascii="Times New Roman" w:eastAsia="Batang" w:hAnsi="Times New Roman" w:cs="Times New Roman"/>
          <w:b/>
          <w:bCs/>
          <w:caps/>
          <w:lang w:val="bg-BG" w:eastAsia="ko-KR"/>
        </w:rPr>
        <w:t>Министерство на околната среда и водите</w:t>
      </w:r>
      <w:bookmarkEnd w:id="14"/>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Отчетът на Министерство на околната среда и водите за изпълнението на провежданите политики към 31.12.2017 г. представя информация за изпълнението на целите и програмите на министерството въз основа на проведените дейности в рамките на отчетния период. Отчетът съдържа информация за степента на изпълнение на провежданите политики и програми в областта на околната среда и извършените разходи за тяхното изпълнение.</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Министерството на околната среда и водите (МОСВ) ефективно осъществява държавната политика по опазване на околната среда в обществен интерес, като:</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Създава подходяща правна и стратегическа рамка, която отговаря на съвременните предизвикателства;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Подпомага изграждането на екологичната инфраструктура;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Прилага механизмите за превенция и контрол за намаляване на общия натиск от различните източници и дейности върху околната среда;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Създава условия за съхранена природа, икономически растеж и повишен жизнен стандарт на обществото;</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Предоставя качествени и навременни административни услуги;</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Осигурява достъп до актуална информация за състоянието на околната среда и провежданата екологична политика.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Програмният бюджет МОСВ включва девет програми, като осем от тях са насочени към изпълнението на две политики, а деветата е бюджетна програма „Администрация“.</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Политика в областта на опазването и ползването на компонентите на околната среда се изпълнява чрез следните седем бюджетни програми:</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„Оценка и управление на водите на Република България“;</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„Интегрирана система за управление на отпадъците и опазване на почвите“;</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„Намаляване на вредните емисии в атмосферата и подобряване на качеството на атмосферния въздух“;</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lastRenderedPageBreak/>
        <w:t>Бюджетна Програма „Съхраняване, укрепване и възстановяване на екосистеми, местообитания, видове и генетичните им ресурси“;</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„Информиране, участие на обществеността в процеса на вземане на решения и прилагане на механизмите за контрол“;</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„Оценка и управление на въздействието върху околната среда“;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„Управление на дейностите по изменението на климата“;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Политика в областта на Националната система за мониторинг на околната среда и информационна обезпеченост, се изпълнява чрез бюджетна програма:</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Бюджетна Програма „Националната система за мониторинг на околната среда и информационна обезпеченост“;</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Към 31.12.2017 г. за изпълнение на политиките и програмите на МОСВ са извършени общо разходи в размер на 51</w:t>
      </w:r>
      <w:r>
        <w:rPr>
          <w:sz w:val="24"/>
          <w:szCs w:val="24"/>
          <w:lang w:eastAsia="pl-PL"/>
        </w:rPr>
        <w:t xml:space="preserve"> млн.</w:t>
      </w:r>
      <w:r w:rsidRPr="008213AD">
        <w:rPr>
          <w:sz w:val="24"/>
          <w:szCs w:val="24"/>
          <w:lang w:eastAsia="pl-PL"/>
        </w:rPr>
        <w:t>лв.</w:t>
      </w:r>
    </w:p>
    <w:p w:rsidR="008213AD" w:rsidRPr="008213AD" w:rsidRDefault="008213AD" w:rsidP="008213AD">
      <w:pPr>
        <w:tabs>
          <w:tab w:val="left" w:pos="709"/>
        </w:tabs>
        <w:spacing w:before="0" w:after="0"/>
        <w:jc w:val="both"/>
        <w:rPr>
          <w:b/>
          <w:sz w:val="24"/>
          <w:szCs w:val="24"/>
          <w:lang w:eastAsia="pl-PL"/>
        </w:rPr>
      </w:pPr>
      <w:r w:rsidRPr="008213AD">
        <w:rPr>
          <w:b/>
          <w:sz w:val="24"/>
          <w:szCs w:val="24"/>
          <w:lang w:eastAsia="pl-PL"/>
        </w:rPr>
        <w:t>По Политика в областта на опазването и ползването на компонентите на околната среда са изразходвани</w:t>
      </w:r>
      <w:r>
        <w:rPr>
          <w:b/>
          <w:sz w:val="24"/>
          <w:szCs w:val="24"/>
          <w:lang w:eastAsia="pl-PL"/>
        </w:rPr>
        <w:t xml:space="preserve"> средства в размер на 26,8 млн.</w:t>
      </w:r>
      <w:r w:rsidRPr="008213AD">
        <w:rPr>
          <w:b/>
          <w:sz w:val="24"/>
          <w:szCs w:val="24"/>
          <w:lang w:eastAsia="pl-PL"/>
        </w:rPr>
        <w:t>лв.</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 xml:space="preserve">Управлението на водите се основава на факта, че водите са общонационален неделим природен ресурс и общо наследство, което трябва да се опазва и защитава, като за реализирането на тази програма по бюджета на МОСВ са реализирани разходи в размер на 6,5 млн. лв. Постигнатите резултати през 2017 година са свързани с прилагане на политиката по управление на водите на територията на страната чрез изпълнение на изискванията на европейското и национално законодателство.   </w:t>
      </w:r>
    </w:p>
    <w:p w:rsidR="008213AD" w:rsidRPr="008213AD" w:rsidRDefault="008213AD" w:rsidP="008213AD">
      <w:pPr>
        <w:tabs>
          <w:tab w:val="num" w:pos="52"/>
        </w:tabs>
        <w:spacing w:before="0" w:after="0"/>
        <w:jc w:val="both"/>
        <w:rPr>
          <w:sz w:val="24"/>
          <w:szCs w:val="24"/>
        </w:rPr>
      </w:pPr>
      <w:r w:rsidRPr="008213AD">
        <w:rPr>
          <w:sz w:val="24"/>
          <w:szCs w:val="24"/>
          <w:lang w:eastAsia="en-US"/>
        </w:rPr>
        <w:tab/>
        <w:t xml:space="preserve">Във връзка с разработените в изпълнение на изискванията на Рамковата Директива за водите 2000/60/ЕС (РДВ) Планове за управление на речните басейни (ПУРБ) 2016 -2021 г. и Национални програми за прилагането им и във връзка с изпълнение на </w:t>
      </w:r>
      <w:r w:rsidRPr="008213AD">
        <w:rPr>
          <w:sz w:val="24"/>
          <w:szCs w:val="24"/>
        </w:rPr>
        <w:t xml:space="preserve">Директива 2007/60/ЕО относно оценката и управлението на риска от наводнения (ДН) Планове за управление на риска от наводнения (ПУРН) 2016-2021 и </w:t>
      </w:r>
      <w:r w:rsidRPr="008213AD">
        <w:rPr>
          <w:sz w:val="24"/>
          <w:szCs w:val="24"/>
          <w:lang w:eastAsia="en-US"/>
        </w:rPr>
        <w:t xml:space="preserve">във връзка с изпълнение на </w:t>
      </w:r>
      <w:r w:rsidRPr="008213AD">
        <w:rPr>
          <w:sz w:val="24"/>
          <w:szCs w:val="24"/>
        </w:rPr>
        <w:t>Рамкова директива за морска стратегия (РДМС), Морска стратегия на Република България (МС)</w:t>
      </w:r>
      <w:r w:rsidRPr="008213AD">
        <w:rPr>
          <w:sz w:val="24"/>
          <w:szCs w:val="24"/>
          <w:lang w:eastAsia="en-US"/>
        </w:rPr>
        <w:t xml:space="preserve">, приети с Решения на Министерски съвет на Република България </w:t>
      </w:r>
      <w:r w:rsidRPr="008213AD">
        <w:rPr>
          <w:sz w:val="24"/>
          <w:szCs w:val="24"/>
        </w:rPr>
        <w:t>и в съответствие със заложените мерки в изготвените Програми от мерки (</w:t>
      </w:r>
      <w:proofErr w:type="spellStart"/>
      <w:r w:rsidRPr="008213AD">
        <w:rPr>
          <w:sz w:val="24"/>
          <w:szCs w:val="24"/>
        </w:rPr>
        <w:t>ПоМ</w:t>
      </w:r>
      <w:proofErr w:type="spellEnd"/>
      <w:r w:rsidRPr="008213AD">
        <w:rPr>
          <w:sz w:val="24"/>
          <w:szCs w:val="24"/>
        </w:rPr>
        <w:t xml:space="preserve">) към ПУРБ,  ПУРН и МС. </w:t>
      </w:r>
    </w:p>
    <w:p w:rsidR="008213AD" w:rsidRPr="008213AD" w:rsidRDefault="008213AD" w:rsidP="008213AD">
      <w:pPr>
        <w:tabs>
          <w:tab w:val="left" w:pos="709"/>
        </w:tabs>
        <w:jc w:val="both"/>
        <w:rPr>
          <w:sz w:val="24"/>
          <w:szCs w:val="24"/>
          <w:lang w:eastAsia="pl-PL"/>
        </w:rPr>
      </w:pPr>
      <w:r w:rsidRPr="008213AD">
        <w:rPr>
          <w:sz w:val="24"/>
          <w:szCs w:val="24"/>
          <w:lang w:eastAsia="pl-PL"/>
        </w:rPr>
        <w:t xml:space="preserve">По бюджетна програма „Интегрирана система за управление на отпадъците и опазване на почвите“, са извършени разходи в размер на 7,2 млн.лв. </w:t>
      </w:r>
      <w:r w:rsidRPr="008213AD">
        <w:rPr>
          <w:sz w:val="24"/>
          <w:szCs w:val="24"/>
          <w:lang w:eastAsia="en-US"/>
        </w:rPr>
        <w:t xml:space="preserve">С цел предотвратяване, намаляване или ограничаване на вредното  въздействие на отпадъците върху човешкото здраве и околната среда и използването им като ресурс за икономиката, политиката на МОСВ за подобряване на управлението на отпадъците за отчетния период е насочена към: </w:t>
      </w:r>
    </w:p>
    <w:p w:rsidR="008213AD" w:rsidRPr="008213AD" w:rsidRDefault="008213AD" w:rsidP="008213AD">
      <w:pPr>
        <w:spacing w:before="0" w:after="0"/>
        <w:jc w:val="both"/>
        <w:rPr>
          <w:sz w:val="24"/>
          <w:szCs w:val="24"/>
          <w:lang w:eastAsia="en-US"/>
        </w:rPr>
      </w:pPr>
      <w:r w:rsidRPr="008213AD">
        <w:rPr>
          <w:sz w:val="24"/>
          <w:szCs w:val="24"/>
          <w:lang w:eastAsia="en-US"/>
        </w:rPr>
        <w:t>Увеличаване на количествените цели за рециклиране, повторно използване и/или извличане на вторични суровини и енергия от масово разпространени отпадъци, чието образуване не може да се предотврати. В съответствие с европейското законодателство, националните цели се увеличават по години, като това е заложено в подзаконови нормативни актове, свързани с управлението на масово разпространените отпадъци.</w:t>
      </w:r>
    </w:p>
    <w:p w:rsidR="008213AD" w:rsidRPr="008213AD" w:rsidRDefault="008213AD" w:rsidP="008213AD">
      <w:pPr>
        <w:spacing w:before="0" w:after="0"/>
        <w:jc w:val="both"/>
        <w:rPr>
          <w:sz w:val="24"/>
          <w:szCs w:val="24"/>
          <w:lang w:eastAsia="en-US"/>
        </w:rPr>
      </w:pPr>
      <w:r w:rsidRPr="008213AD">
        <w:rPr>
          <w:sz w:val="24"/>
          <w:szCs w:val="24"/>
          <w:lang w:eastAsia="en-US"/>
        </w:rPr>
        <w:t xml:space="preserve">Хармонизиране на националното законодателство по управление на отпадъците с европейските изисквания. </w:t>
      </w:r>
    </w:p>
    <w:p w:rsidR="008213AD" w:rsidRPr="008213AD" w:rsidRDefault="008213AD" w:rsidP="008213AD">
      <w:pPr>
        <w:spacing w:before="0" w:after="0"/>
        <w:jc w:val="both"/>
        <w:rPr>
          <w:sz w:val="24"/>
          <w:szCs w:val="24"/>
          <w:lang w:eastAsia="en-US"/>
        </w:rPr>
      </w:pPr>
      <w:r w:rsidRPr="008213AD">
        <w:rPr>
          <w:sz w:val="24"/>
          <w:szCs w:val="24"/>
          <w:lang w:eastAsia="en-US"/>
        </w:rPr>
        <w:t xml:space="preserve">Упражняване на контрол върху спазването на условията в издадените разрешения за дейности с отпадъци. </w:t>
      </w:r>
    </w:p>
    <w:p w:rsidR="008213AD" w:rsidRPr="008213AD" w:rsidRDefault="008213AD" w:rsidP="008213AD">
      <w:pPr>
        <w:tabs>
          <w:tab w:val="left" w:pos="709"/>
        </w:tabs>
        <w:ind w:firstLine="0"/>
        <w:jc w:val="both"/>
        <w:rPr>
          <w:rFonts w:eastAsia="Calibri"/>
          <w:sz w:val="24"/>
          <w:szCs w:val="24"/>
          <w:lang w:eastAsia="en-US"/>
        </w:rPr>
      </w:pPr>
      <w:r w:rsidRPr="008213AD">
        <w:rPr>
          <w:sz w:val="24"/>
          <w:szCs w:val="24"/>
          <w:lang w:eastAsia="pl-PL"/>
        </w:rPr>
        <w:tab/>
        <w:t xml:space="preserve">По бюджетна програма „Намаляване на вредните емисии в атмосферата и подобряване на качеството на атмосферния въздух“ са изразходвани 1,6 млн. лв. </w:t>
      </w:r>
      <w:r w:rsidRPr="008213AD">
        <w:rPr>
          <w:rFonts w:eastAsia="Calibri"/>
          <w:sz w:val="24"/>
          <w:szCs w:val="24"/>
          <w:lang w:eastAsia="en-US"/>
        </w:rPr>
        <w:t xml:space="preserve">Основен проблем за страната от гледна точка постигането и поддържането на добро качество на атмосферния въздух в населените места, са наднормените нива на фини </w:t>
      </w:r>
      <w:proofErr w:type="spellStart"/>
      <w:r w:rsidRPr="008213AD">
        <w:rPr>
          <w:rFonts w:eastAsia="Calibri"/>
          <w:sz w:val="24"/>
          <w:szCs w:val="24"/>
          <w:lang w:eastAsia="en-US"/>
        </w:rPr>
        <w:lastRenderedPageBreak/>
        <w:t>прахови</w:t>
      </w:r>
      <w:proofErr w:type="spellEnd"/>
      <w:r w:rsidRPr="008213AD">
        <w:rPr>
          <w:rFonts w:eastAsia="Calibri"/>
          <w:sz w:val="24"/>
          <w:szCs w:val="24"/>
          <w:lang w:eastAsia="en-US"/>
        </w:rPr>
        <w:t xml:space="preserve"> частици (ФПЧ</w:t>
      </w:r>
      <w:r w:rsidRPr="008213AD">
        <w:rPr>
          <w:rFonts w:eastAsia="Calibri"/>
          <w:sz w:val="24"/>
          <w:szCs w:val="24"/>
          <w:vertAlign w:val="subscript"/>
          <w:lang w:eastAsia="en-US"/>
        </w:rPr>
        <w:t>10</w:t>
      </w:r>
      <w:r w:rsidRPr="008213AD">
        <w:rPr>
          <w:rFonts w:eastAsia="Calibri"/>
          <w:sz w:val="24"/>
          <w:szCs w:val="24"/>
          <w:lang w:eastAsia="en-US"/>
        </w:rPr>
        <w:t xml:space="preserve">). На 5 април 2017 г. Съдът на Европейския съюз постанови решение по Дело С-488/15 на Европейската комисия срещу Република България, според което България не е изпълнявала задълженията по нормите за фини </w:t>
      </w:r>
      <w:proofErr w:type="spellStart"/>
      <w:r w:rsidRPr="008213AD">
        <w:rPr>
          <w:rFonts w:eastAsia="Calibri"/>
          <w:sz w:val="24"/>
          <w:szCs w:val="24"/>
          <w:lang w:eastAsia="en-US"/>
        </w:rPr>
        <w:t>прахови</w:t>
      </w:r>
      <w:proofErr w:type="spellEnd"/>
      <w:r w:rsidRPr="008213AD">
        <w:rPr>
          <w:rFonts w:eastAsia="Calibri"/>
          <w:sz w:val="24"/>
          <w:szCs w:val="24"/>
          <w:lang w:eastAsia="en-US"/>
        </w:rPr>
        <w:t xml:space="preserve"> частици във всички агломерации и зони на страната, както и за изготвяне и изпълнение на планове за качество на въздуха, за да бъде периодът на превишаване на пределно допустимите стойности възможно най-кратък. На този етап на България не са наложени финансови санкции. </w:t>
      </w:r>
    </w:p>
    <w:p w:rsidR="008213AD" w:rsidRPr="008213AD" w:rsidRDefault="008213AD" w:rsidP="008213AD">
      <w:pPr>
        <w:spacing w:before="0" w:after="0"/>
        <w:jc w:val="both"/>
        <w:rPr>
          <w:rFonts w:eastAsia="Calibri"/>
          <w:sz w:val="24"/>
          <w:szCs w:val="24"/>
          <w:lang w:eastAsia="en-US"/>
        </w:rPr>
      </w:pPr>
      <w:r w:rsidRPr="008213AD">
        <w:rPr>
          <w:rFonts w:eastAsia="Calibri"/>
          <w:sz w:val="24"/>
          <w:szCs w:val="24"/>
          <w:lang w:eastAsia="en-US"/>
        </w:rPr>
        <w:t>Резултатите от мониторинга на атмосферния въздух показват, че въпреки наличието на отчетлива тенденция за намаляване на наднормените нива на ФПЧ</w:t>
      </w:r>
      <w:r w:rsidRPr="008213AD">
        <w:rPr>
          <w:rFonts w:eastAsia="Calibri"/>
          <w:sz w:val="24"/>
          <w:szCs w:val="24"/>
          <w:vertAlign w:val="subscript"/>
          <w:lang w:eastAsia="en-US"/>
        </w:rPr>
        <w:t>10</w:t>
      </w:r>
      <w:r w:rsidRPr="008213AD">
        <w:rPr>
          <w:rFonts w:eastAsia="Calibri"/>
          <w:sz w:val="24"/>
          <w:szCs w:val="24"/>
          <w:lang w:eastAsia="en-US"/>
        </w:rPr>
        <w:t>, предприетите до момента мерки на местно ниво са недостатъчни. Във връзка с последното, през отчетния период са изпълнени следните мерки, предприети на национално ниво:</w:t>
      </w:r>
    </w:p>
    <w:p w:rsidR="008213AD" w:rsidRPr="008213AD" w:rsidRDefault="008213AD" w:rsidP="008213AD">
      <w:pPr>
        <w:spacing w:before="0" w:after="0"/>
        <w:contextualSpacing/>
        <w:jc w:val="both"/>
        <w:rPr>
          <w:rFonts w:eastAsia="Calibri"/>
          <w:sz w:val="24"/>
          <w:szCs w:val="24"/>
          <w:lang w:eastAsia="en-US"/>
        </w:rPr>
      </w:pPr>
      <w:r w:rsidRPr="008213AD">
        <w:rPr>
          <w:rFonts w:eastAsia="Calibri"/>
          <w:sz w:val="24"/>
          <w:szCs w:val="24"/>
          <w:lang w:eastAsia="en-US"/>
        </w:rPr>
        <w:t xml:space="preserve">Министерството представи пред широк кръг от заинтересовани страни мерки за справяне с наднорменото замърсяване на въздуха с фини </w:t>
      </w:r>
      <w:proofErr w:type="spellStart"/>
      <w:r w:rsidRPr="008213AD">
        <w:rPr>
          <w:rFonts w:eastAsia="Calibri"/>
          <w:sz w:val="24"/>
          <w:szCs w:val="24"/>
          <w:lang w:eastAsia="en-US"/>
        </w:rPr>
        <w:t>прахови</w:t>
      </w:r>
      <w:proofErr w:type="spellEnd"/>
      <w:r w:rsidRPr="008213AD">
        <w:rPr>
          <w:rFonts w:eastAsia="Calibri"/>
          <w:sz w:val="24"/>
          <w:szCs w:val="24"/>
          <w:lang w:eastAsia="en-US"/>
        </w:rPr>
        <w:t xml:space="preserve"> частици, на конференция на високо ниво. Представените мерки, </w:t>
      </w:r>
      <w:proofErr w:type="spellStart"/>
      <w:r w:rsidRPr="008213AD">
        <w:rPr>
          <w:rFonts w:eastAsia="Calibri"/>
          <w:sz w:val="24"/>
          <w:szCs w:val="24"/>
          <w:lang w:eastAsia="en-US"/>
        </w:rPr>
        <w:t>нaсочени</w:t>
      </w:r>
      <w:proofErr w:type="spellEnd"/>
      <w:r w:rsidRPr="008213AD">
        <w:rPr>
          <w:rFonts w:eastAsia="Calibri"/>
          <w:sz w:val="24"/>
          <w:szCs w:val="24"/>
          <w:lang w:eastAsia="en-US"/>
        </w:rPr>
        <w:t xml:space="preserve"> към секторите с основен принос - битово отопление и транспорт, са предварително обсъдени и предложени от междуведомствени работни групи създадени със заповед на министъра на околната среда и водите. </w:t>
      </w:r>
    </w:p>
    <w:p w:rsidR="008213AD" w:rsidRPr="008213AD" w:rsidRDefault="008213AD" w:rsidP="008213AD">
      <w:pPr>
        <w:tabs>
          <w:tab w:val="left" w:pos="0"/>
        </w:tabs>
        <w:spacing w:before="0" w:after="0"/>
        <w:ind w:firstLine="0"/>
        <w:contextualSpacing/>
        <w:jc w:val="both"/>
        <w:rPr>
          <w:rFonts w:eastAsia="Calibri"/>
          <w:sz w:val="24"/>
          <w:szCs w:val="24"/>
          <w:lang w:eastAsia="en-US"/>
        </w:rPr>
      </w:pPr>
      <w:r w:rsidRPr="008213AD">
        <w:rPr>
          <w:rFonts w:eastAsia="Calibri"/>
          <w:sz w:val="24"/>
          <w:szCs w:val="24"/>
          <w:lang w:eastAsia="en-US"/>
        </w:rPr>
        <w:tab/>
        <w:t>Изпълнява се, съгласно времевия график, разработването на Национална програма за качество на атмосферния въздух в рамките на Споразумението за консултантска помощ между МОСВ и Международната банка за възстановяване и развитие.</w:t>
      </w:r>
      <w:r w:rsidRPr="008213AD">
        <w:rPr>
          <w:rFonts w:eastAsia="Calibri"/>
          <w:bCs/>
          <w:sz w:val="24"/>
          <w:szCs w:val="24"/>
          <w:lang w:eastAsia="en-US"/>
        </w:rPr>
        <w:t xml:space="preserve"> Програмата трябва да идентифицира подходящите мерки и сроковете за прилагането им, отговорните институции, източниците на финансиране и т.н., за постигане на необходимото качество на атмосферния въздух;</w:t>
      </w:r>
    </w:p>
    <w:p w:rsidR="008213AD" w:rsidRPr="008213AD" w:rsidRDefault="008213AD" w:rsidP="008213AD">
      <w:pPr>
        <w:tabs>
          <w:tab w:val="left" w:pos="993"/>
        </w:tabs>
        <w:spacing w:before="0" w:after="0"/>
        <w:contextualSpacing/>
        <w:jc w:val="both"/>
        <w:rPr>
          <w:rFonts w:eastAsia="Calibri"/>
          <w:sz w:val="24"/>
          <w:szCs w:val="24"/>
          <w:lang w:eastAsia="en-US"/>
        </w:rPr>
      </w:pPr>
      <w:r w:rsidRPr="008213AD">
        <w:rPr>
          <w:rFonts w:eastAsia="Calibri"/>
          <w:sz w:val="24"/>
          <w:szCs w:val="24"/>
          <w:lang w:eastAsia="en-US"/>
        </w:rPr>
        <w:t>Във връзка с продължаващото регистриране на наднормени нива на серен диоксид в гр. Гълъбово – резултат от работата на няколко големи ТЕЦ в района, от страна на НИМХ към БАН е изпълнена обществена поръчка по проект „Усъвършенстване на съществуващата Система за ранно предупреждение за замърсяване на приземния атмосферен слой със серен диоксид“ за намаляване на наднорменото замърсяване.</w:t>
      </w:r>
    </w:p>
    <w:p w:rsidR="008213AD" w:rsidRPr="008213AD" w:rsidRDefault="008213AD" w:rsidP="008213AD">
      <w:pPr>
        <w:tabs>
          <w:tab w:val="left" w:pos="709"/>
        </w:tabs>
        <w:jc w:val="both"/>
        <w:rPr>
          <w:sz w:val="24"/>
          <w:szCs w:val="24"/>
        </w:rPr>
      </w:pPr>
      <w:r w:rsidRPr="008213AD">
        <w:rPr>
          <w:sz w:val="24"/>
          <w:szCs w:val="24"/>
          <w:lang w:eastAsia="pl-PL"/>
        </w:rPr>
        <w:t>Бюджетна Програма „Съхраняване, укрепване и възстановяване на екосистеми, местообитания, видове и генетичните им ресурси“ са изразходвани средства в размер на 6,5 млн. лв., като с</w:t>
      </w:r>
      <w:r w:rsidRPr="008213AD">
        <w:rPr>
          <w:sz w:val="24"/>
          <w:szCs w:val="24"/>
        </w:rPr>
        <w:t>ред основните приоритети и постигнати цели са управлението и контрола на защитените територии чрез разработване на планове за управление и опазване на представителни за България и Европа типове природни местообитания и местообитания на застрашени, редки и ендемични видове в рамките на Националната екологична мрежа Натура 2000, както и  прилагане на европейската политика в областта на управление на отпадъците чрез повишаване на степента на използването им като ценен ресурс, като през периода са изменени и допълнени три подзаконови нормативни акта и е изготвен проект на един.</w:t>
      </w:r>
    </w:p>
    <w:p w:rsidR="008213AD" w:rsidRPr="008213AD" w:rsidRDefault="008213AD" w:rsidP="008213AD">
      <w:pPr>
        <w:tabs>
          <w:tab w:val="left" w:pos="709"/>
        </w:tabs>
        <w:spacing w:before="0" w:after="0"/>
        <w:jc w:val="both"/>
        <w:rPr>
          <w:sz w:val="24"/>
          <w:szCs w:val="24"/>
        </w:rPr>
      </w:pPr>
      <w:r w:rsidRPr="008213AD">
        <w:rPr>
          <w:sz w:val="24"/>
          <w:szCs w:val="24"/>
          <w:lang w:eastAsia="pl-PL"/>
        </w:rPr>
        <w:t xml:space="preserve">В изпълнение на целите, заложени в програмата „Информиране, участие на обществеността в процеса на вземане на решения и прилагане на механизмите за контрол“ са изразходвани средства в размер на 1 млн. лв., като през отчетния период МОСВ продължи последователно да насърчава участието на обществеността в процеса на вземане на решения за околната среда. Всички проекти на документи и нормативни актове се публикуват на интернет страницата на министерството и Портала за обществени консултации на МС за коментари и предложения, от МОСВ и поделенията са проведени общо 67 обсъждания на нормативни актове с участието на обществеността. </w:t>
      </w:r>
      <w:r w:rsidRPr="008213AD">
        <w:rPr>
          <w:sz w:val="24"/>
          <w:szCs w:val="24"/>
        </w:rPr>
        <w:t xml:space="preserve">Увеличен е обемът и качеството на активно предоставяната </w:t>
      </w:r>
      <w:r w:rsidRPr="008213AD">
        <w:rPr>
          <w:sz w:val="24"/>
          <w:szCs w:val="24"/>
        </w:rPr>
        <w:lastRenderedPageBreak/>
        <w:t>информация за околна среда.  Броят на поддържаните в системата на МОСВ интернет страници е увеличен на 29, базите данни и публичните регистри, поддържани от МОСВ и поделенията му, са над 390. В сравнение с предходни периоди, през 2017 г. е занижен броят на подадените заявления за предоставяне на достъп до обществена информация в областта на околната среда, което е показател, че обществеността като цяло получава достатъчна по обем, изчерпателна и достъпна информация.</w:t>
      </w:r>
    </w:p>
    <w:p w:rsidR="008213AD" w:rsidRPr="008213AD" w:rsidRDefault="008213AD" w:rsidP="008213AD">
      <w:pPr>
        <w:tabs>
          <w:tab w:val="left" w:pos="709"/>
        </w:tabs>
        <w:spacing w:before="0" w:after="0"/>
        <w:jc w:val="both"/>
        <w:rPr>
          <w:sz w:val="24"/>
          <w:szCs w:val="24"/>
        </w:rPr>
      </w:pPr>
      <w:r w:rsidRPr="008213AD">
        <w:rPr>
          <w:sz w:val="24"/>
          <w:szCs w:val="24"/>
        </w:rPr>
        <w:tab/>
        <w:t>С цел намаляване на административната тежест върху гражданите и бизнеса, е направен детайлен преглед на регулаторните режими и предоставяните административни услуги в обхвата на законодателството по опазване на околната среда, като приложимите мерки са консултирани с редица работодателски и браншови организации и за кратък срок са изготвени и публикувани за обсъждане с обществеността изменения в общо 5 закона и 16 наредби.</w:t>
      </w:r>
    </w:p>
    <w:p w:rsidR="008213AD" w:rsidRPr="008213AD" w:rsidRDefault="008213AD" w:rsidP="008213AD">
      <w:pPr>
        <w:tabs>
          <w:tab w:val="left" w:pos="709"/>
        </w:tabs>
        <w:spacing w:before="0" w:after="0"/>
        <w:jc w:val="both"/>
        <w:rPr>
          <w:sz w:val="24"/>
          <w:szCs w:val="24"/>
          <w:lang w:eastAsia="pl-PL"/>
        </w:rPr>
      </w:pPr>
      <w:r w:rsidRPr="008213AD">
        <w:rPr>
          <w:sz w:val="24"/>
          <w:szCs w:val="24"/>
          <w:lang w:eastAsia="pl-PL"/>
        </w:rPr>
        <w:tab/>
        <w:t xml:space="preserve">Регионалните подразделения на МОСВ поддържат и развиват 33 </w:t>
      </w:r>
      <w:proofErr w:type="spellStart"/>
      <w:r w:rsidRPr="008213AD">
        <w:rPr>
          <w:sz w:val="24"/>
          <w:szCs w:val="24"/>
          <w:lang w:eastAsia="pl-PL"/>
        </w:rPr>
        <w:t>информационно-посетителски</w:t>
      </w:r>
      <w:proofErr w:type="spellEnd"/>
      <w:r w:rsidRPr="008213AD">
        <w:rPr>
          <w:sz w:val="24"/>
          <w:szCs w:val="24"/>
          <w:lang w:eastAsia="pl-PL"/>
        </w:rPr>
        <w:t xml:space="preserve"> центъра на територията на страната. Чрез дейността им МОСВ участва активно в процеса на стимулиране на неформалното обучение за опазване на околната среда - с издаване на образователни продукти, изпълнение на образователни програми и провеждане на национални кампании за опазване на околната среда. </w:t>
      </w:r>
      <w:r w:rsidRPr="008213AD">
        <w:rPr>
          <w:sz w:val="24"/>
          <w:szCs w:val="24"/>
        </w:rPr>
        <w:t xml:space="preserve">С цел постигане на показателите за изпълнение, </w:t>
      </w:r>
      <w:r w:rsidRPr="008213AD">
        <w:rPr>
          <w:sz w:val="24"/>
          <w:szCs w:val="24"/>
          <w:lang w:eastAsia="pl-PL"/>
        </w:rPr>
        <w:t xml:space="preserve">през 2017 г. са подготвени и проведени 11 национални и 2 регионални кампании по повод датите от международния екологичен календар. В рамките на тези кампании, от МОСВ и неговите поделения са проведени 942 информационно-образователни мероприятия – открити уроци, конкурси, изложби, акции по почистване и залесяване, обучителни семинари и различни форуми, в които  са обхванати повече от 36 400 деца и ученици от 800 училища и детски градини в страната. През отчетния период се проведе и традиционната Национална кампания на МОСВ „За чиста околна среда”, в която са финансирани 122 проекта на училища, 121 проекта на детски градини и 232 проекта на общини и кметства. </w:t>
      </w:r>
    </w:p>
    <w:p w:rsidR="008213AD" w:rsidRPr="008213AD" w:rsidRDefault="008213AD" w:rsidP="008213AD">
      <w:pPr>
        <w:spacing w:before="0" w:after="0"/>
        <w:jc w:val="both"/>
        <w:rPr>
          <w:sz w:val="24"/>
          <w:szCs w:val="24"/>
        </w:rPr>
      </w:pPr>
      <w:r w:rsidRPr="008213AD">
        <w:rPr>
          <w:sz w:val="24"/>
          <w:szCs w:val="24"/>
        </w:rPr>
        <w:t xml:space="preserve">Акцент в изпълнението на програмата по отношение на осъществяваната контролна дейност от РИОСВ е прилагането на системния подход - превенция и контрол. Приоритетно дейността на контролните органи е насочена към трайното решаване на съществуващи екологични проблеми и привеждане на обектите в съответствие с екологичното законодателство. Трайно наложен в контролната дейност е комплексният подход при извършване на проверките. През 2017 г. от 16-те РИОСВ са извършени 21 007 проверки на 18 549 обекта. В рамките на осъществения контрол са дадени 7 009 бр. предписания за отстраняване на констатирани нарушения. </w:t>
      </w:r>
    </w:p>
    <w:p w:rsidR="008213AD" w:rsidRPr="008213AD" w:rsidRDefault="008213AD" w:rsidP="008213AD">
      <w:pPr>
        <w:spacing w:before="0" w:after="0"/>
        <w:jc w:val="both"/>
        <w:rPr>
          <w:sz w:val="24"/>
          <w:szCs w:val="24"/>
        </w:rPr>
      </w:pPr>
      <w:r w:rsidRPr="008213AD">
        <w:rPr>
          <w:sz w:val="24"/>
          <w:szCs w:val="24"/>
        </w:rPr>
        <w:t xml:space="preserve">На обявения “Зелен телефон” за приемане на сигнали за замърсяване на околната среда и по електронна поща са приети, анализирани и обработени 2 958 бр. сигнали. Информация за извършените проверки и предприетите мерки е публикувана на интернет страниците на РИОСВ и МОСВ. </w:t>
      </w:r>
    </w:p>
    <w:p w:rsidR="008213AD" w:rsidRPr="008213AD" w:rsidRDefault="008213AD" w:rsidP="008213AD">
      <w:pPr>
        <w:spacing w:before="0" w:after="0"/>
        <w:jc w:val="both"/>
        <w:rPr>
          <w:sz w:val="24"/>
          <w:szCs w:val="24"/>
        </w:rPr>
      </w:pPr>
      <w:r w:rsidRPr="008213AD">
        <w:rPr>
          <w:sz w:val="24"/>
          <w:szCs w:val="24"/>
        </w:rPr>
        <w:t xml:space="preserve">През отчетния период от РИОСВ са наложени 789 бр. глоби и санкции за констатирани административни нарушения на Закона за опазване на околната среда (ЗООС) и специалните закони в областта на опазването на околната среда. Наложени са и 200 бр. санкции (по чл. 69 от ЗООС) за наднормено замърсяване на компонентите на околната среда (води, атмосферен въздух).  </w:t>
      </w:r>
    </w:p>
    <w:p w:rsidR="008213AD" w:rsidRPr="008213AD" w:rsidRDefault="008213AD" w:rsidP="008213AD">
      <w:pPr>
        <w:tabs>
          <w:tab w:val="left" w:pos="709"/>
        </w:tabs>
        <w:ind w:firstLine="0"/>
        <w:jc w:val="both"/>
        <w:rPr>
          <w:rFonts w:eastAsia="TimesNewRomanPSMT"/>
          <w:sz w:val="24"/>
          <w:szCs w:val="24"/>
        </w:rPr>
      </w:pPr>
      <w:r w:rsidRPr="008213AD">
        <w:rPr>
          <w:sz w:val="24"/>
          <w:szCs w:val="24"/>
          <w:lang w:eastAsia="pl-PL"/>
        </w:rPr>
        <w:tab/>
        <w:t>По бюджетна програма „Оценка и управление на въздействието върху околната среда“ са извършени разходи в размер на 3,4 млн. лв. като е и</w:t>
      </w:r>
      <w:r w:rsidRPr="008213AD">
        <w:rPr>
          <w:rFonts w:eastAsia="TimesNewRomanPSMT"/>
          <w:sz w:val="24"/>
          <w:szCs w:val="24"/>
        </w:rPr>
        <w:t xml:space="preserve">звършен преглед на регулаторните режими и предоставяните административни услуги в обхвата на екологичното законодателство, като въз основа на идентифицираните възможности за намаляване на административната и регулаторната тежест са предложени изменения в ЗООС, Закона за биологичното разнообразие (ЗБР), Закона за управление на </w:t>
      </w:r>
      <w:r w:rsidRPr="008213AD">
        <w:rPr>
          <w:rFonts w:eastAsia="TimesNewRomanPSMT"/>
          <w:sz w:val="24"/>
          <w:szCs w:val="24"/>
        </w:rPr>
        <w:lastRenderedPageBreak/>
        <w:t>отпадъците (ЗУО), Закона за чистотата на атмосферния въздух (ЗЧАВ), Закона за водите (ЗВ) и в други нормативни актове. Измененията целят облекчаване на тази тежест за гражданите и бизнеса чрез намаляване броя на изискваните от заявителите документи, опростяване на процеса за взаимодействие с други администрации и изискване на документи по служебен път, намаляване на срокове по процедури.</w:t>
      </w:r>
    </w:p>
    <w:p w:rsidR="008213AD" w:rsidRPr="008213AD" w:rsidRDefault="008213AD" w:rsidP="008213AD">
      <w:pPr>
        <w:pStyle w:val="ListParagraph"/>
        <w:tabs>
          <w:tab w:val="left" w:pos="0"/>
        </w:tabs>
        <w:ind w:left="0"/>
        <w:jc w:val="both"/>
        <w:rPr>
          <w:rFonts w:ascii="Times New Roman" w:hAnsi="Times New Roman" w:cs="Times New Roman"/>
          <w:bCs/>
          <w:lang w:val="bg-BG"/>
        </w:rPr>
      </w:pPr>
      <w:r w:rsidRPr="008213AD">
        <w:rPr>
          <w:rFonts w:ascii="Times New Roman" w:hAnsi="Times New Roman" w:cs="Times New Roman"/>
          <w:lang w:val="bg-BG" w:eastAsia="pl-PL"/>
        </w:rPr>
        <w:tab/>
        <w:t xml:space="preserve">По бюджетна програма „Управление на дейностите по изменението на климата“ са изразходвани средства в размер на 0,6 млн. лв.  с </w:t>
      </w:r>
      <w:r w:rsidRPr="008213AD">
        <w:rPr>
          <w:rFonts w:ascii="Times New Roman" w:hAnsi="Times New Roman" w:cs="Times New Roman"/>
          <w:bCs/>
          <w:lang w:val="bg-BG"/>
        </w:rPr>
        <w:t xml:space="preserve">Решение № 27 от 13.01.2017 г. на Министерския съвет е определен реда и начина за разходване през 2017 г. на част от преходния остатък по валутната сметка на приходите от продажби на квоти на емисии на парникови газове от инсталации чрез търг, постъпил в бюджета на Министерство на околната среда и водите до 31.12.2012 г. Въз основа на приетото Решение, за 2017 г. в рамките на Инвестиционна програма за климата, изпълнявана от Националния доверителен </w:t>
      </w:r>
      <w:proofErr w:type="spellStart"/>
      <w:r w:rsidRPr="008213AD">
        <w:rPr>
          <w:rFonts w:ascii="Times New Roman" w:hAnsi="Times New Roman" w:cs="Times New Roman"/>
          <w:bCs/>
          <w:lang w:val="bg-BG"/>
        </w:rPr>
        <w:t>Екофонд</w:t>
      </w:r>
      <w:proofErr w:type="spellEnd"/>
      <w:r w:rsidRPr="008213AD">
        <w:rPr>
          <w:rFonts w:ascii="Times New Roman" w:hAnsi="Times New Roman" w:cs="Times New Roman"/>
          <w:bCs/>
          <w:lang w:val="bg-BG"/>
        </w:rPr>
        <w:t>, са осигурени допълнително средства в размер на около 14 млн. лв. за финансиране на проекти за подобряване на енергийната ефективност на общински и/или държавни обекти, както и 1 млн. лв. по схемата за насърчаване използването от публичните институции на електрически и хибридни електрически (</w:t>
      </w:r>
      <w:proofErr w:type="spellStart"/>
      <w:r w:rsidRPr="008213AD">
        <w:rPr>
          <w:rFonts w:ascii="Times New Roman" w:hAnsi="Times New Roman" w:cs="Times New Roman"/>
          <w:bCs/>
          <w:lang w:val="bg-BG"/>
        </w:rPr>
        <w:t>plug-in</w:t>
      </w:r>
      <w:proofErr w:type="spellEnd"/>
      <w:r w:rsidRPr="008213AD">
        <w:rPr>
          <w:rFonts w:ascii="Times New Roman" w:hAnsi="Times New Roman" w:cs="Times New Roman"/>
          <w:bCs/>
          <w:lang w:val="bg-BG"/>
        </w:rPr>
        <w:t>) превозни средства. Решение № 27 е изменено и допълнено с Решение № 493 от 28.08.2017 г. на Министерския съвет като така се даде възможност чрез фонда да се финансират проекти за енергийна ефективност и на сгради, собственост на лечебни заведения, чийто едноличен собственик е община или държавата и за тях няма предвидено друго частично безвъзмездно публично финансиране.</w:t>
      </w:r>
    </w:p>
    <w:p w:rsidR="008213AD" w:rsidRPr="008213AD" w:rsidRDefault="008213AD" w:rsidP="008213AD">
      <w:pPr>
        <w:tabs>
          <w:tab w:val="left" w:pos="720"/>
        </w:tabs>
        <w:spacing w:before="0" w:after="0"/>
        <w:jc w:val="both"/>
        <w:rPr>
          <w:b/>
          <w:sz w:val="24"/>
          <w:szCs w:val="24"/>
        </w:rPr>
      </w:pPr>
      <w:r w:rsidRPr="008213AD">
        <w:rPr>
          <w:b/>
          <w:sz w:val="24"/>
          <w:szCs w:val="24"/>
        </w:rPr>
        <w:t>По Политика в областта на националната система за мониторинг на околната среда и информационна обезпеченост са извършени разходи в размер на 8,2 млн.лв.</w:t>
      </w:r>
    </w:p>
    <w:p w:rsidR="008213AD" w:rsidRPr="008213AD" w:rsidRDefault="008213AD" w:rsidP="008213AD">
      <w:pPr>
        <w:tabs>
          <w:tab w:val="left" w:pos="1657"/>
        </w:tabs>
        <w:spacing w:after="0"/>
        <w:jc w:val="both"/>
        <w:rPr>
          <w:sz w:val="24"/>
          <w:szCs w:val="24"/>
        </w:rPr>
      </w:pPr>
      <w:r w:rsidRPr="008213AD">
        <w:rPr>
          <w:bCs/>
          <w:color w:val="000000"/>
          <w:sz w:val="24"/>
          <w:szCs w:val="24"/>
        </w:rPr>
        <w:t>Като е Разширен обхвата на Националната система за мониторинг на околната среда и привеждането й в  съответствие с европейските изискванията</w:t>
      </w:r>
      <w:r w:rsidRPr="008213AD">
        <w:rPr>
          <w:sz w:val="24"/>
          <w:szCs w:val="24"/>
        </w:rPr>
        <w:t xml:space="preserve"> – с цел  подпомагане на дейността на ИАОС  при набавяне на необходимите данни  в Националната система за мониторинг на околната среда за състоянието на водите, съгласно изискванията на националното и европейското законодателство и в отговор на препоръки на ЕК при прегледа на Първите планове за речните басейни (ПУРБ) се изпълнява Проект BG16M1OP002-1.004 „Разработване и въвеждане на методи за анализ на води, седименти и </w:t>
      </w:r>
      <w:proofErr w:type="spellStart"/>
      <w:r w:rsidRPr="008213AD">
        <w:rPr>
          <w:sz w:val="24"/>
          <w:szCs w:val="24"/>
        </w:rPr>
        <w:t>биота</w:t>
      </w:r>
      <w:proofErr w:type="spellEnd"/>
      <w:r w:rsidRPr="008213AD">
        <w:rPr>
          <w:sz w:val="24"/>
          <w:szCs w:val="24"/>
        </w:rPr>
        <w:t xml:space="preserve"> и </w:t>
      </w:r>
      <w:proofErr w:type="spellStart"/>
      <w:r w:rsidRPr="008213AD">
        <w:rPr>
          <w:sz w:val="24"/>
          <w:szCs w:val="24"/>
        </w:rPr>
        <w:t>дооборудване</w:t>
      </w:r>
      <w:proofErr w:type="spellEnd"/>
      <w:r w:rsidRPr="008213AD">
        <w:rPr>
          <w:sz w:val="24"/>
          <w:szCs w:val="24"/>
        </w:rPr>
        <w:t xml:space="preserve"> на лаборатории на Изпълнителната агенция по околна среда“ по приоритетна ос 1 „Води“ на оперативна програма „Околна среда 2014-2020 г.“ със заповед на Министъра на околната среда и водите.</w:t>
      </w:r>
    </w:p>
    <w:p w:rsidR="008213AD" w:rsidRPr="008213AD" w:rsidRDefault="008213AD" w:rsidP="008213AD">
      <w:pPr>
        <w:tabs>
          <w:tab w:val="left" w:pos="1657"/>
        </w:tabs>
        <w:spacing w:before="0" w:after="0"/>
        <w:jc w:val="both"/>
        <w:rPr>
          <w:color w:val="000000"/>
          <w:sz w:val="24"/>
          <w:szCs w:val="24"/>
        </w:rPr>
      </w:pPr>
      <w:r w:rsidRPr="008213AD">
        <w:rPr>
          <w:bCs/>
          <w:color w:val="000000"/>
          <w:sz w:val="24"/>
          <w:szCs w:val="24"/>
        </w:rPr>
        <w:t>Разширяване обхвата на информацията за състоянието на околната среда</w:t>
      </w:r>
      <w:r w:rsidRPr="008213AD">
        <w:rPr>
          <w:sz w:val="24"/>
          <w:szCs w:val="24"/>
        </w:rPr>
        <w:t>:</w:t>
      </w:r>
    </w:p>
    <w:p w:rsidR="008213AD" w:rsidRPr="008213AD" w:rsidRDefault="008213AD" w:rsidP="008213AD">
      <w:pPr>
        <w:spacing w:before="0" w:after="0"/>
        <w:jc w:val="both"/>
        <w:rPr>
          <w:rFonts w:eastAsia="Calibri"/>
          <w:sz w:val="24"/>
          <w:szCs w:val="24"/>
          <w:lang w:eastAsia="en-US"/>
        </w:rPr>
      </w:pPr>
      <w:r w:rsidRPr="008213AD">
        <w:rPr>
          <w:rFonts w:eastAsia="Calibri"/>
          <w:sz w:val="24"/>
          <w:szCs w:val="24"/>
          <w:lang w:eastAsia="en-US"/>
        </w:rPr>
        <w:t>Въведени са данните за 2017 г. в единна информационна система за обмен на данните от мониторинга на водите, извършван в системата на МОСВ.</w:t>
      </w:r>
    </w:p>
    <w:p w:rsidR="008213AD" w:rsidRPr="008213AD" w:rsidRDefault="008213AD" w:rsidP="008213AD">
      <w:pPr>
        <w:spacing w:before="0" w:after="0"/>
        <w:jc w:val="both"/>
        <w:rPr>
          <w:rFonts w:eastAsia="Calibri"/>
          <w:sz w:val="24"/>
          <w:szCs w:val="24"/>
          <w:lang w:eastAsia="en-US"/>
        </w:rPr>
      </w:pPr>
      <w:r w:rsidRPr="008213AD">
        <w:rPr>
          <w:rFonts w:eastAsia="Calibri"/>
          <w:sz w:val="24"/>
          <w:szCs w:val="24"/>
          <w:lang w:eastAsia="en-US"/>
        </w:rPr>
        <w:t>Въведени са данните от проведения химичен мониторинг на подземни води за 2016 и 2017г. в „Информационна система за подземни води”.</w:t>
      </w:r>
    </w:p>
    <w:p w:rsidR="008213AD" w:rsidRPr="008213AD" w:rsidRDefault="008213AD" w:rsidP="008213AD">
      <w:pPr>
        <w:spacing w:before="0" w:after="0"/>
        <w:jc w:val="both"/>
        <w:rPr>
          <w:rFonts w:eastAsia="Calibri"/>
          <w:sz w:val="24"/>
          <w:szCs w:val="24"/>
          <w:lang w:eastAsia="en-US"/>
        </w:rPr>
      </w:pPr>
      <w:r w:rsidRPr="008213AD">
        <w:rPr>
          <w:rFonts w:eastAsia="Calibri"/>
          <w:sz w:val="24"/>
          <w:szCs w:val="24"/>
          <w:lang w:eastAsia="en-US"/>
        </w:rPr>
        <w:t>Поддържа се националната система за контрол качество на атмосферния въздух в реално време.</w:t>
      </w:r>
    </w:p>
    <w:p w:rsidR="008213AD" w:rsidRPr="008213AD" w:rsidRDefault="008213AD" w:rsidP="008213AD">
      <w:pPr>
        <w:spacing w:before="0" w:after="0"/>
        <w:jc w:val="both"/>
        <w:rPr>
          <w:sz w:val="24"/>
          <w:szCs w:val="24"/>
          <w:lang w:eastAsia="pl-PL"/>
        </w:rPr>
      </w:pPr>
      <w:r w:rsidRPr="008213AD">
        <w:rPr>
          <w:sz w:val="24"/>
          <w:szCs w:val="24"/>
          <w:lang w:eastAsia="pl-PL"/>
        </w:rPr>
        <w:t xml:space="preserve">Обработена е информацията за 2016 г., отнасяща се за почвите по </w:t>
      </w:r>
      <w:proofErr w:type="spellStart"/>
      <w:r w:rsidRPr="008213AD">
        <w:rPr>
          <w:sz w:val="24"/>
          <w:szCs w:val="24"/>
          <w:lang w:eastAsia="pl-PL"/>
        </w:rPr>
        <w:t>I-во</w:t>
      </w:r>
      <w:proofErr w:type="spellEnd"/>
      <w:r w:rsidRPr="008213AD">
        <w:rPr>
          <w:sz w:val="24"/>
          <w:szCs w:val="24"/>
          <w:lang w:eastAsia="pl-PL"/>
        </w:rPr>
        <w:t xml:space="preserve"> и </w:t>
      </w:r>
      <w:proofErr w:type="spellStart"/>
      <w:r w:rsidRPr="008213AD">
        <w:rPr>
          <w:sz w:val="24"/>
          <w:szCs w:val="24"/>
          <w:lang w:eastAsia="pl-PL"/>
        </w:rPr>
        <w:t>II-ро</w:t>
      </w:r>
      <w:proofErr w:type="spellEnd"/>
      <w:r w:rsidRPr="008213AD">
        <w:rPr>
          <w:sz w:val="24"/>
          <w:szCs w:val="24"/>
          <w:lang w:eastAsia="pl-PL"/>
        </w:rPr>
        <w:t xml:space="preserve"> ниво, съгласно Националната система за мониторинг; актуализирана и е обработена е информацията за складовете, ББ кубовете, съхраняващи излезли от употреба продукти за растителна защита. </w:t>
      </w:r>
    </w:p>
    <w:p w:rsidR="008213AD" w:rsidRPr="008213AD" w:rsidRDefault="008213AD" w:rsidP="008213AD">
      <w:pPr>
        <w:spacing w:before="0" w:after="0"/>
        <w:jc w:val="both"/>
        <w:rPr>
          <w:sz w:val="24"/>
          <w:szCs w:val="24"/>
        </w:rPr>
      </w:pPr>
      <w:r w:rsidRPr="008213AD">
        <w:rPr>
          <w:sz w:val="24"/>
          <w:szCs w:val="24"/>
        </w:rPr>
        <w:t>Актуализирана е информацията в регистъра на защитените територии и защитените зони</w:t>
      </w:r>
    </w:p>
    <w:p w:rsidR="008213AD" w:rsidRPr="008213AD" w:rsidRDefault="008213AD" w:rsidP="008213AD">
      <w:pPr>
        <w:spacing w:before="0" w:after="0"/>
        <w:rPr>
          <w:sz w:val="24"/>
          <w:szCs w:val="24"/>
        </w:rPr>
      </w:pPr>
      <w:r w:rsidRPr="008213AD">
        <w:rPr>
          <w:sz w:val="24"/>
          <w:szCs w:val="24"/>
        </w:rPr>
        <w:t xml:space="preserve">Актуализирана е информацията в регистъра на вековните дървета. </w:t>
      </w:r>
    </w:p>
    <w:p w:rsidR="008213AD" w:rsidRPr="008213AD" w:rsidRDefault="008213AD" w:rsidP="008213AD">
      <w:pPr>
        <w:spacing w:before="0" w:after="0"/>
        <w:jc w:val="both"/>
        <w:rPr>
          <w:sz w:val="24"/>
          <w:szCs w:val="24"/>
        </w:rPr>
      </w:pPr>
      <w:r w:rsidRPr="008213AD">
        <w:rPr>
          <w:sz w:val="24"/>
          <w:szCs w:val="24"/>
        </w:rPr>
        <w:lastRenderedPageBreak/>
        <w:t xml:space="preserve">Обработени са и са публикувани чрез ГИС приложение данните за 2016 г. в публичния регистър за състоянието на складовете и съхраняваните в тях продукти за растителна защита. </w:t>
      </w:r>
    </w:p>
    <w:p w:rsidR="008213AD" w:rsidRPr="008213AD" w:rsidRDefault="008213AD" w:rsidP="008213AD">
      <w:pPr>
        <w:spacing w:before="0" w:after="0"/>
        <w:jc w:val="both"/>
        <w:rPr>
          <w:rFonts w:eastAsia="Calibri"/>
          <w:sz w:val="24"/>
          <w:szCs w:val="24"/>
          <w:lang w:eastAsia="en-US"/>
        </w:rPr>
      </w:pPr>
      <w:r w:rsidRPr="008213AD">
        <w:rPr>
          <w:rFonts w:eastAsia="Calibri"/>
          <w:sz w:val="24"/>
          <w:szCs w:val="24"/>
          <w:lang w:eastAsia="en-US"/>
        </w:rPr>
        <w:t>Актуализирани са координати на пунктове в базата данни за подсистема „</w:t>
      </w:r>
      <w:proofErr w:type="spellStart"/>
      <w:r w:rsidRPr="008213AD">
        <w:rPr>
          <w:rFonts w:eastAsia="Calibri"/>
          <w:sz w:val="24"/>
          <w:szCs w:val="24"/>
          <w:lang w:eastAsia="en-US"/>
        </w:rPr>
        <w:t>Радиологичен</w:t>
      </w:r>
      <w:proofErr w:type="spellEnd"/>
      <w:r w:rsidRPr="008213AD">
        <w:rPr>
          <w:rFonts w:eastAsia="Calibri"/>
          <w:sz w:val="24"/>
          <w:szCs w:val="24"/>
          <w:lang w:eastAsia="en-US"/>
        </w:rPr>
        <w:t xml:space="preserve"> мониторинг”, въведени са нови мерни единици и нови стандарти.</w:t>
      </w:r>
    </w:p>
    <w:p w:rsidR="008213AD" w:rsidRPr="008213AD" w:rsidRDefault="008213AD" w:rsidP="008213AD">
      <w:pPr>
        <w:spacing w:before="0" w:after="0"/>
        <w:jc w:val="both"/>
        <w:rPr>
          <w:sz w:val="24"/>
          <w:szCs w:val="24"/>
          <w:lang w:eastAsia="pl-PL"/>
        </w:rPr>
      </w:pPr>
      <w:r w:rsidRPr="008213AD">
        <w:rPr>
          <w:rFonts w:eastAsia="Calibri"/>
          <w:sz w:val="24"/>
          <w:szCs w:val="24"/>
          <w:lang w:eastAsia="en-US"/>
        </w:rPr>
        <w:t>Въвеждат се данните в Информационната система за инсталациите, източници на емисии на летливи органични съединения и е осигурен публичен достъп до тях на сайта на ИАОС. Поддържа се Публичния електронен регистър на инсталациите, източници на емисии на летливи органични съединения. Внедрени са в реална експлоатационна среда разработените софтуерни модули за въвеждане на данни и изготвяне на справки от информационната система "Горски екосистеми". Поддържа се специализирания софтуер и уеб-приложението за публичен достъп до базата данни с резултатите от контрола на промишлените източници на шум в околната среда. Поддържа се специализирания софтуер за подсистема „</w:t>
      </w:r>
      <w:proofErr w:type="spellStart"/>
      <w:r w:rsidRPr="008213AD">
        <w:rPr>
          <w:rFonts w:eastAsia="Calibri"/>
          <w:sz w:val="24"/>
          <w:szCs w:val="24"/>
          <w:lang w:eastAsia="en-US"/>
        </w:rPr>
        <w:t>Радиологичен</w:t>
      </w:r>
      <w:proofErr w:type="spellEnd"/>
      <w:r w:rsidRPr="008213AD">
        <w:rPr>
          <w:rFonts w:eastAsia="Calibri"/>
          <w:sz w:val="24"/>
          <w:szCs w:val="24"/>
          <w:lang w:eastAsia="en-US"/>
        </w:rPr>
        <w:t xml:space="preserve">  мониторинг”. </w:t>
      </w:r>
      <w:r w:rsidRPr="008213AD">
        <w:rPr>
          <w:snapToGrid w:val="0"/>
          <w:sz w:val="24"/>
          <w:szCs w:val="24"/>
        </w:rPr>
        <w:t xml:space="preserve">Въведени са данните от издадените документи за дейности с отпадъци за 2017 г. в софтуера за визуализация на документите на интернет страницата на ИАОС - „Публичен регистър на лицата притежаващи документи за извършване на дейности с отпадъци. </w:t>
      </w:r>
      <w:r w:rsidRPr="008213AD">
        <w:rPr>
          <w:sz w:val="24"/>
          <w:szCs w:val="24"/>
        </w:rPr>
        <w:t>Публикувани са годишните доклади за изпълнение на дейностите, за които е предоставено комплексно разрешително; верифицираните годишни доклади за емисиите на парникови газове за стационарни инсталации; верифицирани годишни доклади за емисии.</w:t>
      </w:r>
    </w:p>
    <w:p w:rsidR="008213AD" w:rsidRPr="008213AD" w:rsidRDefault="008213AD" w:rsidP="008213AD">
      <w:pPr>
        <w:spacing w:before="0" w:after="0"/>
        <w:jc w:val="both"/>
        <w:rPr>
          <w:sz w:val="24"/>
          <w:szCs w:val="24"/>
        </w:rPr>
      </w:pPr>
      <w:r w:rsidRPr="008213AD">
        <w:rPr>
          <w:sz w:val="24"/>
          <w:szCs w:val="24"/>
          <w:lang w:eastAsia="pl-PL"/>
        </w:rPr>
        <w:t xml:space="preserve">Ежедневно се изготвят и публикуват на интернет страницата на ИАОС бюлетини за състоянието на атмосферния въздух и радиационната обстановка в страната, които са реализирани като уеб-приложение, с което автоматично се предоставя информация от базата данни. </w:t>
      </w:r>
    </w:p>
    <w:p w:rsidR="008213AD" w:rsidRPr="008213AD" w:rsidRDefault="008213AD" w:rsidP="008213AD">
      <w:pPr>
        <w:spacing w:before="0" w:after="0"/>
        <w:jc w:val="both"/>
        <w:rPr>
          <w:sz w:val="24"/>
          <w:szCs w:val="24"/>
        </w:rPr>
      </w:pPr>
      <w:r w:rsidRPr="008213AD">
        <w:rPr>
          <w:b/>
          <w:sz w:val="24"/>
          <w:szCs w:val="24"/>
        </w:rPr>
        <w:t xml:space="preserve">Програма „Администрация” </w:t>
      </w:r>
      <w:r w:rsidRPr="008213AD">
        <w:rPr>
          <w:sz w:val="24"/>
          <w:szCs w:val="24"/>
        </w:rPr>
        <w:t>осъществява дейности по управление на човешките ресурси, осигурява правното, финансовото, административното и материално - техническото обслужване на другите програми. Дейностите по програмата са насочени към създаване на условия за изпълнението на всички включени програми в структурата на програмния бюджет на МОСВ. През 2017  г. са извършени  разходи в размер на 16,0 млн.лв.</w:t>
      </w:r>
    </w:p>
    <w:p w:rsidR="00855A7E" w:rsidRPr="00056DFA" w:rsidRDefault="00855A7E" w:rsidP="00855A7E">
      <w:pPr>
        <w:spacing w:before="0" w:after="0"/>
        <w:jc w:val="both"/>
        <w:rPr>
          <w:sz w:val="24"/>
          <w:szCs w:val="24"/>
        </w:rPr>
      </w:pPr>
    </w:p>
    <w:p w:rsidR="00855A7E" w:rsidRDefault="00855A7E" w:rsidP="00855A7E">
      <w:pPr>
        <w:spacing w:before="0" w:after="0"/>
        <w:jc w:val="both"/>
        <w:rPr>
          <w:sz w:val="24"/>
          <w:szCs w:val="24"/>
        </w:rPr>
      </w:pPr>
    </w:p>
    <w:p w:rsidR="00855A7E" w:rsidRPr="005341C3" w:rsidRDefault="00855A7E" w:rsidP="00855A7E">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15" w:name="_Toc211675637"/>
      <w:bookmarkStart w:id="16" w:name="_Toc84723289"/>
      <w:bookmarkStart w:id="17" w:name="_Toc75228505"/>
      <w:bookmarkStart w:id="18" w:name="_Toc61175765"/>
      <w:bookmarkStart w:id="19" w:name="_Toc523492634"/>
      <w:r w:rsidRPr="005341C3">
        <w:rPr>
          <w:rFonts w:ascii="Times New Roman" w:eastAsia="Batang" w:hAnsi="Times New Roman" w:cs="Times New Roman"/>
          <w:b/>
          <w:bCs/>
          <w:caps/>
          <w:lang w:val="bg-BG" w:eastAsia="ko-KR"/>
        </w:rPr>
        <w:t>Министерство на енергетиката</w:t>
      </w:r>
      <w:bookmarkEnd w:id="19"/>
    </w:p>
    <w:p w:rsidR="00855A7E" w:rsidRPr="00056DFA" w:rsidRDefault="00855A7E" w:rsidP="00855A7E">
      <w:pPr>
        <w:spacing w:before="0" w:after="0"/>
        <w:jc w:val="both"/>
        <w:rPr>
          <w:sz w:val="24"/>
          <w:szCs w:val="24"/>
          <w:lang w:eastAsia="en-US"/>
        </w:rPr>
      </w:pPr>
      <w:r w:rsidRPr="00056DFA">
        <w:rPr>
          <w:sz w:val="24"/>
          <w:szCs w:val="24"/>
          <w:lang w:eastAsia="en-US"/>
        </w:rPr>
        <w:t xml:space="preserve">През  отчетния период Министерство на енергетиката извършва дейността си по 5 бюджетни </w:t>
      </w:r>
      <w:r w:rsidRPr="00056DFA">
        <w:rPr>
          <w:sz w:val="24"/>
          <w:szCs w:val="24"/>
          <w:lang w:val="ru-RU" w:eastAsia="en-US"/>
        </w:rPr>
        <w:t xml:space="preserve"> </w:t>
      </w:r>
      <w:r w:rsidRPr="00056DFA">
        <w:rPr>
          <w:sz w:val="24"/>
          <w:szCs w:val="24"/>
          <w:lang w:eastAsia="en-US"/>
        </w:rPr>
        <w:t>програми, които са инструмента за постигане на поставените оперативни цели. Разходите по програми са разделени на ведомствени и администрирани и отразяват извършваните по програмата дейности по разработване, планиране и изпълнение на дадена програма. Те са квалифицирани в следните икономически категории: персонал, издръжка, капиталови разходи.</w:t>
      </w:r>
    </w:p>
    <w:bookmarkEnd w:id="15"/>
    <w:p w:rsidR="00855A7E" w:rsidRPr="00056DFA" w:rsidRDefault="00855A7E" w:rsidP="00855A7E">
      <w:pPr>
        <w:tabs>
          <w:tab w:val="left" w:pos="-26"/>
        </w:tabs>
        <w:spacing w:before="0" w:after="0"/>
        <w:jc w:val="both"/>
        <w:rPr>
          <w:sz w:val="24"/>
          <w:szCs w:val="24"/>
          <w:lang w:eastAsia="en-US"/>
        </w:rPr>
      </w:pPr>
      <w:r w:rsidRPr="00056DFA">
        <w:rPr>
          <w:sz w:val="24"/>
          <w:szCs w:val="24"/>
          <w:lang w:eastAsia="en-US"/>
        </w:rPr>
        <w:t>Министерството на енергетиката идентифицира следната политика и бюджетни програми в областта на енергетиката:</w:t>
      </w:r>
    </w:p>
    <w:p w:rsidR="00855A7E" w:rsidRPr="00056DFA" w:rsidRDefault="00855A7E" w:rsidP="00855A7E">
      <w:pPr>
        <w:tabs>
          <w:tab w:val="left" w:pos="-26"/>
        </w:tabs>
        <w:spacing w:before="0" w:after="0"/>
        <w:jc w:val="both"/>
        <w:rPr>
          <w:color w:val="000000"/>
          <w:sz w:val="24"/>
          <w:szCs w:val="24"/>
          <w:lang w:eastAsia="en-US"/>
        </w:rPr>
      </w:pPr>
      <w:r w:rsidRPr="00056DFA">
        <w:rPr>
          <w:b/>
          <w:bCs/>
          <w:color w:val="000000"/>
          <w:sz w:val="24"/>
          <w:szCs w:val="24"/>
          <w:lang w:eastAsia="en-US"/>
        </w:rPr>
        <w:t>Политика в областта на устойчивото и конкурентоспособно енергийно развитие, в т.ч.:</w:t>
      </w:r>
    </w:p>
    <w:p w:rsidR="00855A7E" w:rsidRPr="00056DFA" w:rsidRDefault="00855A7E" w:rsidP="00855A7E">
      <w:pPr>
        <w:tabs>
          <w:tab w:val="left" w:pos="-26"/>
        </w:tabs>
        <w:spacing w:before="0" w:after="0"/>
        <w:jc w:val="both"/>
        <w:rPr>
          <w:color w:val="000000"/>
          <w:sz w:val="24"/>
          <w:szCs w:val="24"/>
          <w:lang w:eastAsia="en-US"/>
        </w:rPr>
      </w:pPr>
      <w:r w:rsidRPr="00056DFA">
        <w:rPr>
          <w:color w:val="000000"/>
          <w:sz w:val="24"/>
          <w:szCs w:val="24"/>
          <w:lang w:eastAsia="en-US"/>
        </w:rPr>
        <w:t>Бюджетна програма /БП/ „Ефективно функциониране на енергийните предприятия, инфраструктура и пазари“;</w:t>
      </w:r>
    </w:p>
    <w:p w:rsidR="00855A7E" w:rsidRPr="00056DFA" w:rsidRDefault="00855A7E" w:rsidP="00855A7E">
      <w:pPr>
        <w:tabs>
          <w:tab w:val="left" w:pos="-26"/>
        </w:tabs>
        <w:spacing w:before="0" w:after="0"/>
        <w:jc w:val="both"/>
        <w:rPr>
          <w:color w:val="000000"/>
          <w:sz w:val="24"/>
          <w:szCs w:val="24"/>
          <w:lang w:eastAsia="en-US"/>
        </w:rPr>
      </w:pPr>
      <w:r w:rsidRPr="00056DFA">
        <w:rPr>
          <w:color w:val="000000"/>
          <w:sz w:val="24"/>
          <w:szCs w:val="24"/>
          <w:lang w:eastAsia="en-US"/>
        </w:rPr>
        <w:t>БП „Сигурност при енергоснабдяването и при управления на РАО и ИЕЯС“;</w:t>
      </w:r>
    </w:p>
    <w:p w:rsidR="00855A7E" w:rsidRPr="00056DFA" w:rsidRDefault="00855A7E" w:rsidP="00855A7E">
      <w:pPr>
        <w:tabs>
          <w:tab w:val="left" w:pos="-26"/>
        </w:tabs>
        <w:spacing w:before="0" w:after="0"/>
        <w:jc w:val="both"/>
        <w:rPr>
          <w:color w:val="000000"/>
          <w:sz w:val="24"/>
          <w:szCs w:val="24"/>
          <w:lang w:eastAsia="en-US"/>
        </w:rPr>
      </w:pPr>
      <w:r w:rsidRPr="00056DFA">
        <w:rPr>
          <w:color w:val="000000"/>
          <w:sz w:val="24"/>
          <w:szCs w:val="24"/>
          <w:lang w:eastAsia="en-US"/>
        </w:rPr>
        <w:t>БП „Устойчиво енергийно развитие“;</w:t>
      </w:r>
    </w:p>
    <w:p w:rsidR="00855A7E" w:rsidRPr="00056DFA" w:rsidRDefault="00855A7E" w:rsidP="00855A7E">
      <w:pPr>
        <w:tabs>
          <w:tab w:val="left" w:pos="-26"/>
        </w:tabs>
        <w:spacing w:before="0" w:after="0"/>
        <w:jc w:val="both"/>
        <w:rPr>
          <w:color w:val="000000"/>
          <w:sz w:val="24"/>
          <w:szCs w:val="24"/>
          <w:lang w:eastAsia="en-US"/>
        </w:rPr>
      </w:pPr>
      <w:r w:rsidRPr="00056DFA">
        <w:rPr>
          <w:color w:val="000000"/>
          <w:sz w:val="24"/>
          <w:szCs w:val="24"/>
          <w:lang w:eastAsia="en-US"/>
        </w:rPr>
        <w:t xml:space="preserve">БП „Подобряване на процесите на </w:t>
      </w:r>
      <w:proofErr w:type="spellStart"/>
      <w:r w:rsidRPr="00056DFA">
        <w:rPr>
          <w:color w:val="000000"/>
          <w:sz w:val="24"/>
          <w:szCs w:val="24"/>
          <w:lang w:eastAsia="en-US"/>
        </w:rPr>
        <w:t>концесиониране</w:t>
      </w:r>
      <w:proofErr w:type="spellEnd"/>
      <w:r w:rsidRPr="00056DFA">
        <w:rPr>
          <w:color w:val="000000"/>
          <w:sz w:val="24"/>
          <w:szCs w:val="24"/>
          <w:lang w:eastAsia="en-US"/>
        </w:rPr>
        <w:t xml:space="preserve"> и управление на подземните богатства и геоложките изследвания“.</w:t>
      </w:r>
    </w:p>
    <w:p w:rsidR="00855A7E" w:rsidRPr="005F4843" w:rsidRDefault="00855A7E" w:rsidP="00855A7E">
      <w:pPr>
        <w:widowControl w:val="0"/>
        <w:spacing w:before="0" w:after="0"/>
        <w:jc w:val="both"/>
        <w:rPr>
          <w:rFonts w:eastAsia="Batang"/>
          <w:b/>
          <w:bCs/>
          <w:sz w:val="24"/>
          <w:szCs w:val="24"/>
        </w:rPr>
      </w:pPr>
      <w:r w:rsidRPr="005F4843">
        <w:rPr>
          <w:rFonts w:eastAsia="Batang"/>
          <w:b/>
          <w:bCs/>
          <w:sz w:val="24"/>
          <w:szCs w:val="24"/>
        </w:rPr>
        <w:lastRenderedPageBreak/>
        <w:t>БП „Администрация“</w:t>
      </w:r>
    </w:p>
    <w:p w:rsidR="00855A7E" w:rsidRPr="00056DFA" w:rsidRDefault="00855A7E" w:rsidP="00855A7E">
      <w:pPr>
        <w:spacing w:before="0" w:after="0"/>
        <w:jc w:val="both"/>
        <w:rPr>
          <w:sz w:val="24"/>
          <w:szCs w:val="24"/>
          <w:lang w:eastAsia="en-US"/>
        </w:rPr>
      </w:pPr>
      <w:r w:rsidRPr="00056DFA">
        <w:rPr>
          <w:sz w:val="24"/>
          <w:szCs w:val="24"/>
          <w:lang w:eastAsia="en-US"/>
        </w:rPr>
        <w:t>Ползите за обществото Министерство на енергетиката постига съвместно с второстепенния си разпоредител с бюджет Агенцията за устойчиво енергийно развитие.</w:t>
      </w:r>
    </w:p>
    <w:p w:rsidR="00855A7E" w:rsidRPr="00056DFA" w:rsidRDefault="00855A7E" w:rsidP="00855A7E">
      <w:pPr>
        <w:spacing w:before="0" w:after="0"/>
        <w:jc w:val="both"/>
        <w:rPr>
          <w:i/>
          <w:noProof/>
          <w:color w:val="000000"/>
          <w:sz w:val="24"/>
          <w:szCs w:val="24"/>
          <w:lang w:eastAsia="en-US"/>
        </w:rPr>
      </w:pPr>
      <w:r w:rsidRPr="00056DFA">
        <w:rPr>
          <w:sz w:val="24"/>
          <w:szCs w:val="24"/>
          <w:lang w:eastAsia="en-US"/>
        </w:rPr>
        <w:t>Стратегическата цел на Политиката в областта на устойчивото и конкурентоспособно енергийно развитие</w:t>
      </w:r>
      <w:r w:rsidRPr="00056DFA">
        <w:rPr>
          <w:noProof/>
          <w:color w:val="000000"/>
          <w:sz w:val="24"/>
          <w:szCs w:val="24"/>
          <w:lang w:eastAsia="en-US"/>
        </w:rPr>
        <w:t xml:space="preserve"> е „Създаване на условия за сигурна, ефективна и екологосъобразна енергетика.”, а оперативните цели са „Гарантирана сигурност на доставките в конкурентни енергийни пазари”, „Ефективно и екологосъобразно енергийно развитие” и „Ефективно управление на енергийните ресурси”.</w:t>
      </w:r>
    </w:p>
    <w:p w:rsidR="00855A7E" w:rsidRPr="00056DFA" w:rsidRDefault="00855A7E" w:rsidP="00855A7E">
      <w:pPr>
        <w:widowControl w:val="0"/>
        <w:spacing w:before="0" w:after="0"/>
        <w:jc w:val="both"/>
        <w:rPr>
          <w:noProof/>
          <w:sz w:val="24"/>
          <w:szCs w:val="24"/>
          <w:lang w:eastAsia="en-US"/>
        </w:rPr>
      </w:pPr>
      <w:r w:rsidRPr="00056DFA">
        <w:rPr>
          <w:noProof/>
          <w:sz w:val="24"/>
          <w:szCs w:val="24"/>
          <w:lang w:eastAsia="en-US"/>
        </w:rPr>
        <w:t xml:space="preserve">Националните цели, механизми, график и срокове за тяхното изпълнение в горепосочените направления са определени в Енергийната стратегия на Р България до 2020 г., като са предприети мерки за актуализирането ѝ с удължаване срока на нейното действие до 2030 г. и с хоризонт до 2050 г. Работи се за оптимизирано оползотворяване на възможностите за финансиране на проекти със средства от европейски фондове и програми. Подобен е подходът и по отношение на съществуващите национални инструменти като Фонд „Енергийна ефективност и възобновяеми енергийни източници”, Националния доверителен екофонд и др. Усилията ще бъдат насочени и към изграждане на най-новите системи за управление – т.нар. „умни” енергийни мрежи. </w:t>
      </w:r>
    </w:p>
    <w:p w:rsidR="00855A7E" w:rsidRPr="00056DFA" w:rsidRDefault="00855A7E" w:rsidP="00855A7E">
      <w:pPr>
        <w:widowControl w:val="0"/>
        <w:spacing w:before="0" w:after="0"/>
        <w:jc w:val="both"/>
        <w:rPr>
          <w:noProof/>
          <w:sz w:val="24"/>
          <w:szCs w:val="24"/>
          <w:lang w:eastAsia="en-US"/>
        </w:rPr>
      </w:pPr>
      <w:r w:rsidRPr="00056DFA">
        <w:rPr>
          <w:noProof/>
          <w:sz w:val="24"/>
          <w:szCs w:val="24"/>
          <w:lang w:eastAsia="en-US"/>
        </w:rPr>
        <w:t>Целта на енергийната политика е да се гарантира сигурно, безопасно и устойчиво снабдяване с енергия на достъпни цени. Политиката се изгражда около целите на ЕС 2020, които трябва да бъдат постигнати до 2020 г. и за България са:</w:t>
      </w:r>
    </w:p>
    <w:p w:rsidR="00855A7E" w:rsidRPr="00056DFA" w:rsidRDefault="00D41636" w:rsidP="00D41636">
      <w:pPr>
        <w:tabs>
          <w:tab w:val="left" w:pos="709"/>
          <w:tab w:val="left" w:pos="993"/>
        </w:tabs>
        <w:spacing w:before="0" w:after="0"/>
        <w:ind w:left="567" w:firstLine="0"/>
        <w:contextualSpacing/>
        <w:jc w:val="both"/>
        <w:rPr>
          <w:sz w:val="24"/>
          <w:szCs w:val="24"/>
          <w:lang w:eastAsia="en-US"/>
        </w:rPr>
      </w:pPr>
      <w:r>
        <w:rPr>
          <w:noProof/>
          <w:sz w:val="24"/>
          <w:szCs w:val="24"/>
          <w:lang w:eastAsia="en-US"/>
        </w:rPr>
        <w:t xml:space="preserve">- </w:t>
      </w:r>
      <w:r w:rsidR="00855A7E" w:rsidRPr="00056DFA">
        <w:rPr>
          <w:noProof/>
          <w:sz w:val="24"/>
          <w:szCs w:val="24"/>
          <w:lang w:eastAsia="en-US"/>
        </w:rPr>
        <w:t>Диверсификация на трасета и доставки на природен газ;</w:t>
      </w:r>
    </w:p>
    <w:p w:rsidR="00855A7E" w:rsidRPr="00056DFA" w:rsidRDefault="00D41636" w:rsidP="00D41636">
      <w:pPr>
        <w:widowControl w:val="0"/>
        <w:tabs>
          <w:tab w:val="left" w:pos="709"/>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Осигуряване на енергийната сигурност на страната, чрез увеличаване на местния добив на енергоресурси, разработване на дадените на концесия участъци и разработване на нови чрез концесия за проучване и за добив на нефт и газ</w:t>
      </w:r>
      <w:r w:rsidR="00855A7E" w:rsidRPr="00056DFA">
        <w:rPr>
          <w:sz w:val="24"/>
          <w:szCs w:val="24"/>
          <w:lang w:eastAsia="en-US"/>
        </w:rPr>
        <w:t>;</w:t>
      </w:r>
    </w:p>
    <w:p w:rsidR="00855A7E" w:rsidRPr="00056DFA" w:rsidRDefault="00D41636" w:rsidP="00D41636">
      <w:pPr>
        <w:widowControl w:val="0"/>
        <w:tabs>
          <w:tab w:val="left" w:pos="709"/>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Намаляване с 20 % на емисиите на парникови газове в сравнение с равнищата от 1990 г.;</w:t>
      </w:r>
    </w:p>
    <w:p w:rsidR="00855A7E" w:rsidRPr="00056DFA" w:rsidRDefault="00D41636" w:rsidP="00D41636">
      <w:pPr>
        <w:widowControl w:val="0"/>
        <w:tabs>
          <w:tab w:val="left" w:pos="709"/>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Постигане на 16 % дял на енергията от възстановяеми източници /ВИ/ в брутното крайно енергийно потребление в страната;</w:t>
      </w:r>
    </w:p>
    <w:p w:rsidR="00855A7E" w:rsidRPr="00056DFA" w:rsidRDefault="00D41636" w:rsidP="00D41636">
      <w:pPr>
        <w:widowControl w:val="0"/>
        <w:tabs>
          <w:tab w:val="left" w:pos="709"/>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Повишаване с 25% на енергийната ефективност на страната;</w:t>
      </w:r>
    </w:p>
    <w:p w:rsidR="00855A7E" w:rsidRPr="00056DFA" w:rsidRDefault="00D41636" w:rsidP="00D41636">
      <w:pPr>
        <w:widowControl w:val="0"/>
        <w:tabs>
          <w:tab w:val="left" w:pos="709"/>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 xml:space="preserve">Енергийно спестяване в крайното енергийно потребление (КЕП) - 716 </w:t>
      </w:r>
      <w:r w:rsidR="00855A7E" w:rsidRPr="00D41636">
        <w:rPr>
          <w:noProof/>
          <w:sz w:val="24"/>
          <w:szCs w:val="24"/>
          <w:lang w:eastAsia="en-US"/>
        </w:rPr>
        <w:t>Ktoe</w:t>
      </w:r>
      <w:r w:rsidR="00855A7E" w:rsidRPr="00056DFA">
        <w:rPr>
          <w:noProof/>
          <w:sz w:val="24"/>
          <w:szCs w:val="24"/>
          <w:lang w:eastAsia="en-US"/>
        </w:rPr>
        <w:t xml:space="preserve"> и енергийно спестяване в първичното енергийно потребление (ПЕП) – 1590 </w:t>
      </w:r>
      <w:r w:rsidR="00855A7E" w:rsidRPr="00D41636">
        <w:rPr>
          <w:noProof/>
          <w:sz w:val="24"/>
          <w:szCs w:val="24"/>
          <w:lang w:eastAsia="en-US"/>
        </w:rPr>
        <w:t>Ktoe</w:t>
      </w:r>
      <w:r w:rsidR="00855A7E" w:rsidRPr="00056DFA">
        <w:rPr>
          <w:noProof/>
          <w:sz w:val="24"/>
          <w:szCs w:val="24"/>
          <w:lang w:eastAsia="en-US"/>
        </w:rPr>
        <w:t>.</w:t>
      </w:r>
    </w:p>
    <w:p w:rsidR="00855A7E" w:rsidRPr="00056DFA" w:rsidRDefault="00855A7E" w:rsidP="00855A7E">
      <w:pPr>
        <w:widowControl w:val="0"/>
        <w:tabs>
          <w:tab w:val="left" w:pos="993"/>
          <w:tab w:val="left" w:pos="1276"/>
        </w:tabs>
        <w:spacing w:before="0" w:after="0"/>
        <w:jc w:val="both"/>
        <w:rPr>
          <w:noProof/>
          <w:sz w:val="24"/>
          <w:szCs w:val="24"/>
          <w:lang w:eastAsia="en-US"/>
        </w:rPr>
      </w:pPr>
      <w:r w:rsidRPr="00056DFA">
        <w:rPr>
          <w:noProof/>
          <w:sz w:val="24"/>
          <w:szCs w:val="24"/>
          <w:lang w:eastAsia="en-US"/>
        </w:rPr>
        <w:t>През периода глобалната енергетика, в това число и националната, продължава да е изправена пред зависимостта от внос на ресурси и енергия, нарастващите цени на вносните енергийни ресурси и промените в климата. Това определя и приоритетните области, по които следва да се работи, а именно:</w:t>
      </w:r>
    </w:p>
    <w:p w:rsidR="00855A7E" w:rsidRPr="00056DFA" w:rsidRDefault="00D41636" w:rsidP="00D41636">
      <w:pPr>
        <w:widowControl w:val="0"/>
        <w:tabs>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Ограничаване на външната зависимост от енергиен внос чрез диверсификация на енергийните доставки, енергоспестяване и насърчаване на използването на местни ресурси и енергия от ВИ;</w:t>
      </w:r>
    </w:p>
    <w:p w:rsidR="00855A7E" w:rsidRPr="00056DFA" w:rsidRDefault="00D41636" w:rsidP="00D41636">
      <w:pPr>
        <w:widowControl w:val="0"/>
        <w:tabs>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Либерализиране на енергийния пазар с оглед обезпечаване на достъпна и сигурна енергия на потребителите.;</w:t>
      </w:r>
    </w:p>
    <w:p w:rsidR="00855A7E" w:rsidRPr="00056DFA" w:rsidRDefault="00D41636" w:rsidP="00D41636">
      <w:pPr>
        <w:widowControl w:val="0"/>
        <w:tabs>
          <w:tab w:val="left" w:pos="993"/>
          <w:tab w:val="left" w:pos="1276"/>
        </w:tabs>
        <w:spacing w:before="0" w:after="0"/>
        <w:contextualSpacing/>
        <w:jc w:val="both"/>
        <w:rPr>
          <w:noProof/>
          <w:sz w:val="24"/>
          <w:szCs w:val="24"/>
          <w:lang w:eastAsia="en-US"/>
        </w:rPr>
      </w:pPr>
      <w:r>
        <w:rPr>
          <w:noProof/>
          <w:sz w:val="24"/>
          <w:szCs w:val="24"/>
          <w:lang w:eastAsia="en-US"/>
        </w:rPr>
        <w:t xml:space="preserve">- </w:t>
      </w:r>
      <w:r w:rsidR="00855A7E" w:rsidRPr="00056DFA">
        <w:rPr>
          <w:noProof/>
          <w:sz w:val="24"/>
          <w:szCs w:val="24"/>
          <w:lang w:eastAsia="en-US"/>
        </w:rPr>
        <w:t>Овладяване на негативните промени в климата чрез включване на българските енергийни инсталации в европейската Схема за търговия с квоти на емисии на парникови газове и оползотворяване на енергията от ВИ, което позволява радикално да се намалят емисиите от въглероден диоксид и по този начин да се отдалечи перспективата за глобално затопляне.</w:t>
      </w:r>
    </w:p>
    <w:p w:rsidR="00855A7E" w:rsidRPr="00056DFA" w:rsidRDefault="00855A7E" w:rsidP="00855A7E">
      <w:pPr>
        <w:widowControl w:val="0"/>
        <w:spacing w:before="0" w:after="0"/>
        <w:jc w:val="both"/>
        <w:rPr>
          <w:noProof/>
          <w:sz w:val="24"/>
          <w:szCs w:val="24"/>
          <w:lang w:eastAsia="en-US"/>
        </w:rPr>
      </w:pPr>
      <w:r w:rsidRPr="00056DFA">
        <w:rPr>
          <w:noProof/>
          <w:sz w:val="24"/>
          <w:szCs w:val="24"/>
          <w:lang w:eastAsia="en-US"/>
        </w:rPr>
        <w:t xml:space="preserve">Изпълнението на политиката по енергийната ефективност /ЕЕ/ е ключов елемент за устойчивото развитие. ЕЕ е основна цел и е особено важна за постигане на дългосрочната ни енергийна стратегия и цели за климата. Тя е най-рентабилният начин за намаляване на емисиите, за подобряване на енергийната сигурност и </w:t>
      </w:r>
      <w:r w:rsidRPr="00056DFA">
        <w:rPr>
          <w:noProof/>
          <w:sz w:val="24"/>
          <w:szCs w:val="24"/>
          <w:lang w:eastAsia="en-US"/>
        </w:rPr>
        <w:lastRenderedPageBreak/>
        <w:t>конкурентоспособност и за поддържане на ниски енергийни разходи.</w:t>
      </w:r>
    </w:p>
    <w:p w:rsidR="00855A7E" w:rsidRPr="00056DFA" w:rsidRDefault="00855A7E" w:rsidP="00855A7E">
      <w:pPr>
        <w:spacing w:before="0" w:after="0"/>
        <w:jc w:val="both"/>
        <w:rPr>
          <w:noProof/>
          <w:sz w:val="24"/>
          <w:szCs w:val="24"/>
          <w:lang w:eastAsia="en-US"/>
        </w:rPr>
      </w:pPr>
      <w:r w:rsidRPr="00056DFA">
        <w:rPr>
          <w:noProof/>
          <w:sz w:val="24"/>
          <w:szCs w:val="24"/>
          <w:lang w:eastAsia="en-US"/>
        </w:rPr>
        <w:t>Предстои развитие на пазара на електрически екоавтомобили и на системите за съхранение на енергия. Използването на екоавтомобили е още една стъпка към изграждане на българските "зелени" градове на бъдещето и на необходимата за това инфраструктура. Усилията ще бъдат насочени и към изграждане на най-новите системи</w:t>
      </w:r>
      <w:r w:rsidR="00A57590">
        <w:rPr>
          <w:noProof/>
          <w:sz w:val="24"/>
          <w:szCs w:val="24"/>
          <w:lang w:eastAsia="en-US"/>
        </w:rPr>
        <w:t xml:space="preserve"> </w:t>
      </w:r>
      <w:r w:rsidRPr="00056DFA">
        <w:rPr>
          <w:noProof/>
          <w:sz w:val="24"/>
          <w:szCs w:val="24"/>
          <w:lang w:eastAsia="en-US"/>
        </w:rPr>
        <w:t xml:space="preserve">за управление – т.нар. "умни" енергийни мрежи. </w:t>
      </w:r>
    </w:p>
    <w:p w:rsidR="00855A7E" w:rsidRPr="00056DFA" w:rsidRDefault="00855A7E" w:rsidP="00855A7E">
      <w:pPr>
        <w:spacing w:before="0" w:after="0"/>
        <w:jc w:val="both"/>
        <w:rPr>
          <w:noProof/>
          <w:sz w:val="24"/>
          <w:szCs w:val="24"/>
          <w:lang w:eastAsia="en-US"/>
        </w:rPr>
      </w:pPr>
      <w:r w:rsidRPr="00056DFA">
        <w:rPr>
          <w:noProof/>
          <w:sz w:val="24"/>
          <w:szCs w:val="24"/>
          <w:lang w:eastAsia="en-US"/>
        </w:rPr>
        <w:t>Диверсификацията на газовите доставки и трасета и избягването на последствията от нови газови кризи обуславят ускоряване изграждането на междусистемните газови връзки със съседните държави. Тези проекти се изпълняват или ще бъдат изпълнени със собствени средства на енергийните компании, със средства от европейския план за икономическо възстановяване, от Оперативна програма "Иновации и конкурентоспособност 2014 – 2020", както и с използване на възможностите за привличане на средства от ЕБВР, ЕИБ и стандартни търговски кредити.</w:t>
      </w:r>
    </w:p>
    <w:p w:rsidR="00855A7E" w:rsidRPr="00BF123C" w:rsidRDefault="00A57590" w:rsidP="00855A7E">
      <w:pPr>
        <w:spacing w:before="0" w:after="0"/>
        <w:jc w:val="both"/>
        <w:rPr>
          <w:noProof/>
          <w:sz w:val="24"/>
          <w:szCs w:val="24"/>
          <w:lang w:eastAsia="en-US"/>
        </w:rPr>
      </w:pPr>
      <w:r w:rsidRPr="00056DFA">
        <w:rPr>
          <w:noProof/>
          <w:sz w:val="24"/>
          <w:szCs w:val="24"/>
          <w:lang w:eastAsia="en-US"/>
        </w:rPr>
        <w:t>Финансовата подкрепа за въвеждането на чисти енергийни технологии, подобряването на ЕЕ и развитието на енергията от ВИ, следва да се разглеждат като част от мерките, заложени в Националната програма за реформи на Р</w:t>
      </w:r>
      <w:r>
        <w:rPr>
          <w:noProof/>
          <w:sz w:val="24"/>
          <w:szCs w:val="24"/>
          <w:lang w:eastAsia="en-US"/>
        </w:rPr>
        <w:t>епублика</w:t>
      </w:r>
      <w:r w:rsidRPr="00056DFA">
        <w:rPr>
          <w:noProof/>
          <w:sz w:val="24"/>
          <w:szCs w:val="24"/>
          <w:lang w:eastAsia="en-US"/>
        </w:rPr>
        <w:t xml:space="preserve"> България за изпълнение на приетата през 2010 г. „ЕВРОПА 2020 – Стратегия за интелигентен, устойчив и приобщаващ растеж“, Националната програма за развитие „България 2020“, както и  Програмата на правителството за стабилно развитие на Република България за периода 2014-2018 г</w:t>
      </w:r>
      <w:r w:rsidR="00855A7E" w:rsidRPr="00056DFA">
        <w:rPr>
          <w:noProof/>
          <w:sz w:val="24"/>
          <w:szCs w:val="24"/>
          <w:lang w:eastAsia="en-US"/>
        </w:rPr>
        <w:t>.</w:t>
      </w:r>
    </w:p>
    <w:p w:rsidR="00855A7E" w:rsidRPr="00056DFA" w:rsidRDefault="00855A7E" w:rsidP="00855A7E">
      <w:pPr>
        <w:tabs>
          <w:tab w:val="left" w:pos="567"/>
        </w:tabs>
        <w:spacing w:before="0" w:after="0"/>
        <w:jc w:val="both"/>
        <w:rPr>
          <w:rFonts w:eastAsia="Verdana"/>
          <w:noProof/>
          <w:color w:val="000000"/>
          <w:sz w:val="24"/>
          <w:szCs w:val="24"/>
        </w:rPr>
      </w:pPr>
      <w:r w:rsidRPr="00056DFA">
        <w:rPr>
          <w:rFonts w:eastAsia="Verdana"/>
          <w:b/>
          <w:noProof/>
          <w:color w:val="000000"/>
          <w:sz w:val="24"/>
          <w:szCs w:val="24"/>
        </w:rPr>
        <w:t xml:space="preserve">За изпълнението на БП </w:t>
      </w:r>
      <w:r w:rsidRPr="00056DFA">
        <w:rPr>
          <w:rFonts w:eastAsia="Verdana"/>
          <w:b/>
          <w:color w:val="000000"/>
          <w:sz w:val="24"/>
          <w:szCs w:val="24"/>
        </w:rPr>
        <w:t>„Ефективно функциониране на енергийните предприятия, инфраструктура и пазари“</w:t>
      </w:r>
      <w:r w:rsidRPr="00056DFA">
        <w:rPr>
          <w:rFonts w:eastAsia="Verdana"/>
          <w:color w:val="000000"/>
          <w:sz w:val="24"/>
          <w:szCs w:val="24"/>
        </w:rPr>
        <w:t xml:space="preserve"> са изразходвани 3</w:t>
      </w:r>
      <w:r w:rsidR="00A57590">
        <w:rPr>
          <w:rFonts w:eastAsia="Verdana"/>
          <w:color w:val="000000"/>
          <w:sz w:val="24"/>
          <w:szCs w:val="24"/>
        </w:rPr>
        <w:t>,</w:t>
      </w:r>
      <w:proofErr w:type="spellStart"/>
      <w:r w:rsidR="00A57590">
        <w:rPr>
          <w:rFonts w:eastAsia="Verdana"/>
          <w:color w:val="000000"/>
          <w:sz w:val="24"/>
          <w:szCs w:val="24"/>
        </w:rPr>
        <w:t>3</w:t>
      </w:r>
      <w:proofErr w:type="spellEnd"/>
      <w:r w:rsidRPr="00056DFA">
        <w:rPr>
          <w:rFonts w:eastAsia="Verdana"/>
          <w:color w:val="000000"/>
          <w:sz w:val="24"/>
          <w:szCs w:val="24"/>
        </w:rPr>
        <w:t xml:space="preserve"> </w:t>
      </w:r>
      <w:r w:rsidR="00A57590">
        <w:rPr>
          <w:rFonts w:eastAsia="Verdana"/>
          <w:color w:val="000000"/>
          <w:sz w:val="24"/>
          <w:szCs w:val="24"/>
        </w:rPr>
        <w:t>млн</w:t>
      </w:r>
      <w:r w:rsidRPr="00056DFA">
        <w:rPr>
          <w:rFonts w:eastAsia="Verdana"/>
          <w:color w:val="000000"/>
          <w:sz w:val="24"/>
          <w:szCs w:val="24"/>
        </w:rPr>
        <w:t>.лв., с които е финансирано изпълнението на следните дейности:</w:t>
      </w:r>
    </w:p>
    <w:p w:rsidR="00855A7E" w:rsidRPr="00056DFA" w:rsidRDefault="00855A7E" w:rsidP="00855A7E">
      <w:pPr>
        <w:widowControl w:val="0"/>
        <w:numPr>
          <w:ilvl w:val="0"/>
          <w:numId w:val="23"/>
        </w:numPr>
        <w:tabs>
          <w:tab w:val="left" w:pos="993"/>
        </w:tabs>
        <w:autoSpaceDE w:val="0"/>
        <w:autoSpaceDN w:val="0"/>
        <w:adjustRightInd w:val="0"/>
        <w:spacing w:before="0" w:after="0"/>
        <w:ind w:left="0" w:firstLine="567"/>
        <w:contextualSpacing/>
        <w:jc w:val="both"/>
        <w:rPr>
          <w:color w:val="000000"/>
          <w:sz w:val="24"/>
          <w:szCs w:val="24"/>
        </w:rPr>
      </w:pPr>
      <w:r w:rsidRPr="00056DFA">
        <w:rPr>
          <w:noProof/>
          <w:color w:val="000000"/>
          <w:sz w:val="24"/>
          <w:szCs w:val="24"/>
          <w:lang w:eastAsia="en-US"/>
        </w:rPr>
        <w:t>ускорена реализация на приоритетните енергийни инфраструктурни проекти, свързани с развитието на подходяща национална, регионална и транс-континентална енергийна инфраструктура</w:t>
      </w:r>
      <w:r w:rsidRPr="00056DFA">
        <w:rPr>
          <w:sz w:val="24"/>
          <w:szCs w:val="24"/>
        </w:rPr>
        <w:t>;</w:t>
      </w:r>
    </w:p>
    <w:p w:rsidR="00855A7E" w:rsidRPr="00056DFA" w:rsidRDefault="00855A7E" w:rsidP="00855A7E">
      <w:pPr>
        <w:widowControl w:val="0"/>
        <w:numPr>
          <w:ilvl w:val="0"/>
          <w:numId w:val="23"/>
        </w:numPr>
        <w:tabs>
          <w:tab w:val="left" w:pos="993"/>
        </w:tabs>
        <w:autoSpaceDE w:val="0"/>
        <w:autoSpaceDN w:val="0"/>
        <w:adjustRightInd w:val="0"/>
        <w:spacing w:before="0" w:after="0"/>
        <w:ind w:left="0" w:firstLine="567"/>
        <w:contextualSpacing/>
        <w:jc w:val="both"/>
        <w:rPr>
          <w:color w:val="000000"/>
          <w:sz w:val="24"/>
          <w:szCs w:val="24"/>
        </w:rPr>
      </w:pPr>
      <w:r w:rsidRPr="00056DFA">
        <w:rPr>
          <w:color w:val="000000"/>
          <w:sz w:val="24"/>
          <w:szCs w:val="24"/>
        </w:rPr>
        <w:t>създаване на ефективно функциониращ енергиен сектор чрез преструктуриране и създаване на адекватни корпоративни структури, в съответствие с изискванията на ЕС и добрите практики</w:t>
      </w:r>
      <w:r w:rsidRPr="00056DFA">
        <w:rPr>
          <w:sz w:val="24"/>
          <w:szCs w:val="24"/>
        </w:rPr>
        <w:t>.</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С извършените през годината действия са постигнати голяма част от планираните резултати в областта на преструктурирането на търговските дружества, в които Министъра на енергетиката упражнява правата на собственост в капитала.</w:t>
      </w:r>
    </w:p>
    <w:p w:rsidR="00855A7E" w:rsidRPr="00056DFA" w:rsidRDefault="00855A7E" w:rsidP="00855A7E">
      <w:pPr>
        <w:widowControl w:val="0"/>
        <w:numPr>
          <w:ilvl w:val="0"/>
          <w:numId w:val="23"/>
        </w:numPr>
        <w:tabs>
          <w:tab w:val="left" w:pos="993"/>
        </w:tabs>
        <w:autoSpaceDE w:val="0"/>
        <w:autoSpaceDN w:val="0"/>
        <w:adjustRightInd w:val="0"/>
        <w:spacing w:before="0" w:after="0"/>
        <w:ind w:left="0" w:firstLine="567"/>
        <w:contextualSpacing/>
        <w:jc w:val="both"/>
        <w:rPr>
          <w:color w:val="000000"/>
          <w:sz w:val="24"/>
          <w:szCs w:val="24"/>
        </w:rPr>
      </w:pPr>
      <w:r w:rsidRPr="00056DFA">
        <w:rPr>
          <w:color w:val="000000"/>
          <w:sz w:val="24"/>
          <w:szCs w:val="24"/>
        </w:rPr>
        <w:t>През 2017 г. е извършено преобразуване на търговски дружества: „БАЛКАН” ЕООД (л), „РЕМОНТНА БАЗА” ЕООД (л) и „ТОПЛОФИКАЦИЯ ИСКРЕЦ” ЕАД (л), чрез вливането им в „РЕДКИ МЕТАЛИ” ЕООД (л), в резултат на което е намален броя на дружествата в ликвидация, в капитала на които министърът на енергетиката упражнява правата на собственост на държавата.</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След извършен анализ на финансово-икономическото състояние на „Българска нефтена компания“ ЕООД, постоянно действащата комисия по ликвидация и несъстоятелност се е произнесла по необходимостта от прекратяване дейността на дружеството, като с Протокол на министъра на енергетиката са взети решения за прекратяване на дейността на компанията и за откриване на производство по ликвидация.</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През отчетния период е изготвена документацията по преобразуване на търговското дружество „</w:t>
      </w:r>
      <w:proofErr w:type="spellStart"/>
      <w:r w:rsidRPr="00056DFA">
        <w:rPr>
          <w:color w:val="000000"/>
          <w:sz w:val="24"/>
          <w:szCs w:val="24"/>
        </w:rPr>
        <w:t>Набуко</w:t>
      </w:r>
      <w:proofErr w:type="spellEnd"/>
      <w:r w:rsidRPr="00056DFA">
        <w:rPr>
          <w:color w:val="000000"/>
          <w:sz w:val="24"/>
          <w:szCs w:val="24"/>
        </w:rPr>
        <w:t xml:space="preserve"> Газ </w:t>
      </w:r>
      <w:proofErr w:type="spellStart"/>
      <w:r w:rsidRPr="00056DFA">
        <w:rPr>
          <w:color w:val="000000"/>
          <w:sz w:val="24"/>
          <w:szCs w:val="24"/>
        </w:rPr>
        <w:t>Пайплайн</w:t>
      </w:r>
      <w:proofErr w:type="spellEnd"/>
      <w:r w:rsidRPr="00056DFA">
        <w:rPr>
          <w:color w:val="000000"/>
          <w:sz w:val="24"/>
          <w:szCs w:val="24"/>
        </w:rPr>
        <w:t xml:space="preserve"> България“ ЕООД чрез вливане в БЕХ ЕАД, с цел придобиването на активите на проект </w:t>
      </w:r>
      <w:proofErr w:type="spellStart"/>
      <w:r w:rsidRPr="00056DFA">
        <w:rPr>
          <w:color w:val="000000"/>
          <w:sz w:val="24"/>
          <w:szCs w:val="24"/>
        </w:rPr>
        <w:t>Набуко</w:t>
      </w:r>
      <w:proofErr w:type="spellEnd"/>
      <w:r w:rsidRPr="00056DFA">
        <w:rPr>
          <w:color w:val="000000"/>
          <w:sz w:val="24"/>
          <w:szCs w:val="24"/>
        </w:rPr>
        <w:t xml:space="preserve"> на българска територия и запазване на </w:t>
      </w:r>
      <w:proofErr w:type="spellStart"/>
      <w:r w:rsidRPr="00056DFA">
        <w:rPr>
          <w:color w:val="000000"/>
          <w:sz w:val="24"/>
          <w:szCs w:val="24"/>
        </w:rPr>
        <w:t>титулярството</w:t>
      </w:r>
      <w:proofErr w:type="spellEnd"/>
      <w:r w:rsidRPr="00056DFA">
        <w:rPr>
          <w:color w:val="000000"/>
          <w:sz w:val="24"/>
          <w:szCs w:val="24"/>
        </w:rPr>
        <w:t xml:space="preserve"> върху разрешението по ОВОС, както и запазване на проектантските разработки, за да може да се използват частично или цялостно за други проекти, които биха се реализирали.</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Във връзка с дело на Европейската комисия COMP/B1/АТ.39767 БЕХ-</w:t>
      </w:r>
      <w:r w:rsidRPr="00056DFA">
        <w:rPr>
          <w:color w:val="000000"/>
          <w:sz w:val="24"/>
          <w:szCs w:val="24"/>
        </w:rPr>
        <w:lastRenderedPageBreak/>
        <w:t>Електричество и поетите ангажименти за отделянето на „Българска независима енергийна борса” ЕАД от структурата на „БЕХ” ЕАД, е водена активна кореспонденция с ангажираните в този процес страни и институции. Подготвени са проекти на документацията по прехвърлянето на собствеността върху притежаваните акции от капитала на това дружество, съобразно поетите ангажименти по делото.</w:t>
      </w:r>
    </w:p>
    <w:p w:rsidR="00855A7E" w:rsidRPr="00056DFA" w:rsidRDefault="00855A7E" w:rsidP="00855A7E">
      <w:pPr>
        <w:widowControl w:val="0"/>
        <w:tabs>
          <w:tab w:val="left" w:pos="567"/>
        </w:tabs>
        <w:autoSpaceDE w:val="0"/>
        <w:autoSpaceDN w:val="0"/>
        <w:adjustRightInd w:val="0"/>
        <w:spacing w:before="0" w:after="0"/>
        <w:jc w:val="both"/>
        <w:rPr>
          <w:i/>
          <w:color w:val="000000"/>
          <w:sz w:val="24"/>
          <w:szCs w:val="24"/>
        </w:rPr>
      </w:pPr>
      <w:r w:rsidRPr="00056DFA">
        <w:rPr>
          <w:color w:val="000000"/>
          <w:sz w:val="24"/>
          <w:szCs w:val="24"/>
        </w:rPr>
        <w:t>Ефективно са защитавани националните интереси в процеса на развитие на енергийната политика и законодателството на ЕС, навременно са изпълнявани ангажиментите в областта на енергетиката, произтичащи от членството в ЕС, извършена е подготовка за ротационно българско Председателство на Съвета на Европейския съюз по въпросите на енергетиката през 2018 г., а</w:t>
      </w:r>
      <w:r w:rsidRPr="00056DFA">
        <w:rPr>
          <w:sz w:val="24"/>
          <w:szCs w:val="24"/>
        </w:rPr>
        <w:t>ктивно участие в международното енергийно сътрудничество, както в рамките на ЕС, така и на двустранна и многостранна основа, за гарантиране на енергийната сигурност, е</w:t>
      </w:r>
      <w:r w:rsidRPr="00056DFA">
        <w:rPr>
          <w:color w:val="000000"/>
          <w:sz w:val="24"/>
          <w:szCs w:val="24"/>
        </w:rPr>
        <w:t>фективно е управлявана държавната собственост в енергетиката и т.н.</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Утвърдени са нови бизнес-програми на БЕХ ЕАД за периода 2017 – 2021 г. и на „</w:t>
      </w:r>
      <w:proofErr w:type="spellStart"/>
      <w:r w:rsidRPr="00056DFA">
        <w:rPr>
          <w:color w:val="000000"/>
          <w:sz w:val="24"/>
          <w:szCs w:val="24"/>
        </w:rPr>
        <w:t>Минпроект</w:t>
      </w:r>
      <w:proofErr w:type="spellEnd"/>
      <w:r w:rsidRPr="00056DFA">
        <w:rPr>
          <w:color w:val="000000"/>
          <w:sz w:val="24"/>
          <w:szCs w:val="24"/>
        </w:rPr>
        <w:t>” ЕАД за периода 2017 – 2019 г.</w:t>
      </w:r>
    </w:p>
    <w:p w:rsidR="00855A7E" w:rsidRPr="00056DFA" w:rsidRDefault="00855A7E" w:rsidP="00855A7E">
      <w:pPr>
        <w:widowControl w:val="0"/>
        <w:tabs>
          <w:tab w:val="left" w:pos="567"/>
        </w:tabs>
        <w:autoSpaceDE w:val="0"/>
        <w:autoSpaceDN w:val="0"/>
        <w:adjustRightInd w:val="0"/>
        <w:spacing w:before="0" w:after="0"/>
        <w:jc w:val="both"/>
        <w:rPr>
          <w:color w:val="000000"/>
          <w:sz w:val="24"/>
          <w:szCs w:val="24"/>
        </w:rPr>
      </w:pPr>
      <w:r w:rsidRPr="00056DFA">
        <w:rPr>
          <w:color w:val="000000"/>
          <w:sz w:val="24"/>
          <w:szCs w:val="24"/>
        </w:rPr>
        <w:t>Изготвени са протоколни решения (40), отнасящи се до дейността (приемане на годишните финансови отчети на едноличните търговски дружества, промени в съветите на директорите, одобряване на бизнес-програми, одобряване избора на застраховател, продължаване срока на ликвидация, даване на разрешения за сключване на договори за заеми, разрешения на БЕХ ЕАД за увеличаване капитала на дъщерните дружества, издаване на корпоративна и финансова гаранция, за продажба на активи и др.) на: „Български Енергиен Холдинг” ЕАД (БЕХ ЕАД); „</w:t>
      </w:r>
      <w:proofErr w:type="spellStart"/>
      <w:r w:rsidRPr="00056DFA">
        <w:rPr>
          <w:color w:val="000000"/>
          <w:sz w:val="24"/>
          <w:szCs w:val="24"/>
        </w:rPr>
        <w:t>Минпроект</w:t>
      </w:r>
      <w:proofErr w:type="spellEnd"/>
      <w:r w:rsidRPr="00056DFA">
        <w:rPr>
          <w:color w:val="000000"/>
          <w:sz w:val="24"/>
          <w:szCs w:val="24"/>
        </w:rPr>
        <w:t xml:space="preserve">” ЕАД, „Българска нефтена компания” ЕООД (БНК ЕООД), „Проектна компания нефтопровод Бургас – </w:t>
      </w:r>
      <w:proofErr w:type="spellStart"/>
      <w:r w:rsidRPr="00056DFA">
        <w:rPr>
          <w:color w:val="000000"/>
          <w:sz w:val="24"/>
          <w:szCs w:val="24"/>
        </w:rPr>
        <w:t>Александруполис</w:t>
      </w:r>
      <w:proofErr w:type="spellEnd"/>
      <w:r w:rsidRPr="00056DFA">
        <w:rPr>
          <w:color w:val="000000"/>
          <w:sz w:val="24"/>
          <w:szCs w:val="24"/>
        </w:rPr>
        <w:t xml:space="preserve"> БГ“ ЕАД и дружествата в ликвидация: „Балкан” ЕООД (л), „Ремонтна база” ЕООД (л), „Топлофикация Искрец” ЕАД (л), „Мина Маришки басейн" ЕООД (л) и "Редки метали" ЕООД (л).</w:t>
      </w:r>
    </w:p>
    <w:p w:rsidR="00855A7E" w:rsidRPr="00056DFA" w:rsidRDefault="00855A7E" w:rsidP="00855A7E">
      <w:pPr>
        <w:tabs>
          <w:tab w:val="left" w:pos="567"/>
        </w:tabs>
        <w:spacing w:before="0" w:after="0"/>
        <w:jc w:val="both"/>
        <w:rPr>
          <w:rFonts w:eastAsia="Verdana"/>
          <w:color w:val="000000"/>
          <w:sz w:val="24"/>
          <w:szCs w:val="24"/>
        </w:rPr>
      </w:pPr>
      <w:r w:rsidRPr="00056DFA">
        <w:rPr>
          <w:rFonts w:eastAsia="Verdana"/>
          <w:b/>
          <w:noProof/>
          <w:color w:val="000000"/>
          <w:sz w:val="24"/>
          <w:szCs w:val="24"/>
        </w:rPr>
        <w:t xml:space="preserve">За изпълнението на БП </w:t>
      </w:r>
      <w:r w:rsidRPr="00056DFA">
        <w:rPr>
          <w:rFonts w:eastAsia="Verdana"/>
          <w:b/>
          <w:color w:val="000000"/>
          <w:sz w:val="24"/>
          <w:szCs w:val="24"/>
        </w:rPr>
        <w:t>„Сигурност при енергоснабдяването и при управление на РАО и ИЕЯС”</w:t>
      </w:r>
      <w:r w:rsidRPr="00056DFA">
        <w:rPr>
          <w:rFonts w:eastAsia="Verdana"/>
          <w:color w:val="000000"/>
          <w:sz w:val="24"/>
          <w:szCs w:val="24"/>
        </w:rPr>
        <w:t xml:space="preserve"> са изразходвани 85 965,1 хил. лв., с които е осигурено финансиране изпълнението на Националния план за инвестиции, както и финансиране на дейностите свързани с изпълнението на Закона за безопасно използване на ядрената енергия /ЗБИЯЕ/, а именно:</w:t>
      </w:r>
    </w:p>
    <w:p w:rsidR="00855A7E" w:rsidRPr="00A57590" w:rsidRDefault="00A57590" w:rsidP="00A57590">
      <w:pPr>
        <w:widowControl w:val="0"/>
        <w:tabs>
          <w:tab w:val="left" w:pos="567"/>
        </w:tabs>
        <w:autoSpaceDE w:val="0"/>
        <w:autoSpaceDN w:val="0"/>
        <w:adjustRightInd w:val="0"/>
        <w:spacing w:before="0" w:after="0"/>
        <w:jc w:val="both"/>
        <w:rPr>
          <w:color w:val="000000"/>
          <w:sz w:val="24"/>
          <w:szCs w:val="24"/>
        </w:rPr>
      </w:pPr>
      <w:r>
        <w:rPr>
          <w:color w:val="000000"/>
          <w:sz w:val="24"/>
          <w:szCs w:val="24"/>
        </w:rPr>
        <w:t xml:space="preserve">1. </w:t>
      </w:r>
      <w:r w:rsidR="00855A7E" w:rsidRPr="00A57590">
        <w:rPr>
          <w:color w:val="000000"/>
          <w:sz w:val="24"/>
          <w:szCs w:val="24"/>
        </w:rPr>
        <w:t>Контрол на енергийната система по отношение осигуряването на непрекъснатост на енергийните доставки за задоволяване потребностите на обществото от енергия и енергийни ресурси, съобразено с изискванията за баланс надеждност, безопасност и опазване на околната среда;</w:t>
      </w:r>
    </w:p>
    <w:p w:rsidR="00855A7E" w:rsidRPr="00A57590" w:rsidRDefault="00A57590" w:rsidP="00A57590">
      <w:pPr>
        <w:widowControl w:val="0"/>
        <w:tabs>
          <w:tab w:val="left" w:pos="567"/>
        </w:tabs>
        <w:autoSpaceDE w:val="0"/>
        <w:autoSpaceDN w:val="0"/>
        <w:adjustRightInd w:val="0"/>
        <w:spacing w:before="0" w:after="0"/>
        <w:jc w:val="both"/>
        <w:rPr>
          <w:color w:val="000000"/>
          <w:sz w:val="24"/>
          <w:szCs w:val="24"/>
        </w:rPr>
      </w:pPr>
      <w:r>
        <w:rPr>
          <w:color w:val="000000"/>
          <w:sz w:val="24"/>
          <w:szCs w:val="24"/>
        </w:rPr>
        <w:t xml:space="preserve">2. </w:t>
      </w:r>
      <w:r w:rsidR="00855A7E" w:rsidRPr="00A57590">
        <w:rPr>
          <w:color w:val="000000"/>
          <w:sz w:val="24"/>
          <w:szCs w:val="24"/>
        </w:rPr>
        <w:t>Ефективно и безопасно управление на количествата радиоактивни отпадъци в страната, и на процеса по извеждане от експлоатация на 1 до 4 блок на АЕЦ "Козлодуй".</w:t>
      </w:r>
    </w:p>
    <w:p w:rsidR="00855A7E" w:rsidRPr="00A57590" w:rsidRDefault="00A57590" w:rsidP="00A57590">
      <w:pPr>
        <w:widowControl w:val="0"/>
        <w:tabs>
          <w:tab w:val="left" w:pos="567"/>
        </w:tabs>
        <w:autoSpaceDE w:val="0"/>
        <w:autoSpaceDN w:val="0"/>
        <w:adjustRightInd w:val="0"/>
        <w:spacing w:before="0" w:after="0"/>
        <w:jc w:val="both"/>
        <w:rPr>
          <w:color w:val="000000"/>
          <w:sz w:val="24"/>
          <w:szCs w:val="24"/>
        </w:rPr>
      </w:pPr>
      <w:r>
        <w:rPr>
          <w:color w:val="000000"/>
          <w:sz w:val="24"/>
          <w:szCs w:val="24"/>
        </w:rPr>
        <w:t xml:space="preserve">3. </w:t>
      </w:r>
      <w:r w:rsidR="00855A7E" w:rsidRPr="00A57590">
        <w:rPr>
          <w:color w:val="000000"/>
          <w:sz w:val="24"/>
          <w:szCs w:val="24"/>
        </w:rPr>
        <w:t>Ефективно и безопасно управление на количествата радиоактивни отпадъци в страната, и на процеса по извеждане от експлоатация на 1 до 4 блок на АЕЦ "Козлодуй".Подпомагане на развитието на ядрената и конвенционалната енергетика в страната</w:t>
      </w:r>
      <w:r>
        <w:rPr>
          <w:color w:val="000000"/>
          <w:sz w:val="24"/>
          <w:szCs w:val="24"/>
        </w:rPr>
        <w:t>.</w:t>
      </w:r>
    </w:p>
    <w:p w:rsidR="00855A7E" w:rsidRPr="00056DFA" w:rsidRDefault="00855A7E" w:rsidP="00855A7E">
      <w:pPr>
        <w:tabs>
          <w:tab w:val="left" w:pos="567"/>
          <w:tab w:val="left" w:pos="993"/>
        </w:tabs>
        <w:spacing w:before="0" w:after="0"/>
        <w:jc w:val="both"/>
        <w:rPr>
          <w:rFonts w:eastAsia="Verdana"/>
          <w:color w:val="000000"/>
          <w:sz w:val="24"/>
          <w:szCs w:val="24"/>
        </w:rPr>
      </w:pPr>
      <w:r w:rsidRPr="00056DFA">
        <w:rPr>
          <w:rFonts w:eastAsia="Verdana"/>
          <w:color w:val="000000"/>
          <w:sz w:val="24"/>
          <w:szCs w:val="24"/>
        </w:rPr>
        <w:t>Със средства на Фонд „Радиоактивни отпадъци“ е финансирана дейността на ДП „РАО“ свързана с РАО и са финансирани одобрени на основание чл. 93, ал. 1, т. 5 от ЗБИЯЕ проекти, които са:</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 xml:space="preserve">1. проект „Реконструкция и рехабилитация на съществуващата улица „Хаджи Димитър“, съоръжения и принадлежности към тях на територията на град Козлодуй, Община Козлодуй, Област Враца“ – </w:t>
      </w:r>
      <w:r w:rsidRPr="00056DFA">
        <w:rPr>
          <w:rFonts w:eastAsia="Verdana"/>
          <w:sz w:val="24"/>
          <w:szCs w:val="24"/>
          <w:lang w:val="en-US" w:eastAsia="en-US"/>
        </w:rPr>
        <w:t>I</w:t>
      </w:r>
      <w:r w:rsidRPr="00056DFA">
        <w:rPr>
          <w:rFonts w:eastAsia="Verdana"/>
          <w:sz w:val="24"/>
          <w:szCs w:val="24"/>
          <w:lang w:eastAsia="en-US"/>
        </w:rPr>
        <w:t xml:space="preserve"> – ви етап – ул. „Хаджи Димитър“ от кръстовището на ул. „Христо Ботев“ до кръстовището с ул. „Освободител“ и ул. </w:t>
      </w:r>
      <w:r w:rsidRPr="00056DFA">
        <w:rPr>
          <w:rFonts w:eastAsia="Verdana"/>
          <w:sz w:val="24"/>
          <w:szCs w:val="24"/>
          <w:lang w:eastAsia="en-US"/>
        </w:rPr>
        <w:lastRenderedPageBreak/>
        <w:t xml:space="preserve">„Ломска“. Проектът е на обща стойност </w:t>
      </w:r>
      <w:r w:rsidR="00A57590">
        <w:rPr>
          <w:rFonts w:eastAsia="Verdana"/>
          <w:sz w:val="24"/>
          <w:szCs w:val="24"/>
          <w:lang w:eastAsia="en-US"/>
        </w:rPr>
        <w:t>0,</w:t>
      </w:r>
      <w:r w:rsidRPr="00056DFA">
        <w:rPr>
          <w:rFonts w:eastAsia="Verdana"/>
          <w:sz w:val="24"/>
          <w:szCs w:val="24"/>
          <w:lang w:eastAsia="en-US"/>
        </w:rPr>
        <w:t xml:space="preserve">3 </w:t>
      </w:r>
      <w:r w:rsidR="00A57590">
        <w:rPr>
          <w:rFonts w:eastAsia="Verdana"/>
          <w:sz w:val="24"/>
          <w:szCs w:val="24"/>
          <w:lang w:eastAsia="en-US"/>
        </w:rPr>
        <w:t>млн</w:t>
      </w:r>
      <w:r w:rsidRPr="00056DFA">
        <w:rPr>
          <w:rFonts w:eastAsia="Verdana"/>
          <w:sz w:val="24"/>
          <w:szCs w:val="24"/>
          <w:lang w:eastAsia="en-US"/>
        </w:rPr>
        <w:t xml:space="preserve">.лв., в това число финансиране от фонд РАО – </w:t>
      </w:r>
      <w:r w:rsidR="00A57590">
        <w:rPr>
          <w:rFonts w:eastAsia="Verdana"/>
          <w:sz w:val="24"/>
          <w:szCs w:val="24"/>
          <w:lang w:eastAsia="en-US"/>
        </w:rPr>
        <w:t>0,</w:t>
      </w:r>
      <w:r w:rsidRPr="00056DFA">
        <w:rPr>
          <w:rFonts w:eastAsia="Verdana"/>
          <w:sz w:val="24"/>
          <w:szCs w:val="24"/>
          <w:lang w:eastAsia="en-US"/>
        </w:rPr>
        <w:t xml:space="preserve">2 </w:t>
      </w:r>
      <w:r w:rsidR="00A57590">
        <w:rPr>
          <w:rFonts w:eastAsia="Verdana"/>
          <w:sz w:val="24"/>
          <w:szCs w:val="24"/>
          <w:lang w:eastAsia="en-US"/>
        </w:rPr>
        <w:t>млн.</w:t>
      </w:r>
      <w:r w:rsidRPr="00056DFA">
        <w:rPr>
          <w:rFonts w:eastAsia="Verdana"/>
          <w:sz w:val="24"/>
          <w:szCs w:val="24"/>
          <w:lang w:eastAsia="en-US"/>
        </w:rPr>
        <w:t>лв.;</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2. проект „Ремонт на площадно пространство в кв. 51 на с. Нови хан, Община Елин Пелин“. Проектът е на обща стойност 0</w:t>
      </w:r>
      <w:r w:rsidR="00A57590">
        <w:rPr>
          <w:rFonts w:eastAsia="Verdana"/>
          <w:sz w:val="24"/>
          <w:szCs w:val="24"/>
          <w:lang w:eastAsia="en-US"/>
        </w:rPr>
        <w:t>,1</w:t>
      </w:r>
      <w:r w:rsidRPr="00056DFA">
        <w:rPr>
          <w:rFonts w:eastAsia="Verdana"/>
          <w:sz w:val="24"/>
          <w:szCs w:val="24"/>
          <w:lang w:eastAsia="en-US"/>
        </w:rPr>
        <w:t xml:space="preserve"> </w:t>
      </w:r>
      <w:r w:rsidR="00A57590">
        <w:rPr>
          <w:rFonts w:eastAsia="Verdana"/>
          <w:sz w:val="24"/>
          <w:szCs w:val="24"/>
          <w:lang w:eastAsia="en-US"/>
        </w:rPr>
        <w:t>млн.</w:t>
      </w:r>
      <w:r w:rsidRPr="00056DFA">
        <w:rPr>
          <w:rFonts w:eastAsia="Verdana"/>
          <w:sz w:val="24"/>
          <w:szCs w:val="24"/>
          <w:lang w:eastAsia="en-US"/>
        </w:rPr>
        <w:t>лв., в това число финансиране от фонд РАО – 0</w:t>
      </w:r>
      <w:r w:rsidR="00A57590">
        <w:rPr>
          <w:rFonts w:eastAsia="Verdana"/>
          <w:sz w:val="24"/>
          <w:szCs w:val="24"/>
          <w:lang w:eastAsia="en-US"/>
        </w:rPr>
        <w:t>,06</w:t>
      </w:r>
      <w:r w:rsidRPr="00056DFA">
        <w:rPr>
          <w:rFonts w:eastAsia="Verdana"/>
          <w:sz w:val="24"/>
          <w:szCs w:val="24"/>
          <w:lang w:eastAsia="en-US"/>
        </w:rPr>
        <w:t xml:space="preserve"> </w:t>
      </w:r>
      <w:r w:rsidR="00A57590">
        <w:rPr>
          <w:rFonts w:eastAsia="Verdana"/>
          <w:sz w:val="24"/>
          <w:szCs w:val="24"/>
          <w:lang w:eastAsia="en-US"/>
        </w:rPr>
        <w:t>м</w:t>
      </w:r>
      <w:r w:rsidRPr="00056DFA">
        <w:rPr>
          <w:rFonts w:eastAsia="Verdana"/>
          <w:sz w:val="24"/>
          <w:szCs w:val="24"/>
          <w:lang w:eastAsia="en-US"/>
        </w:rPr>
        <w:t>л</w:t>
      </w:r>
      <w:r w:rsidR="00A57590">
        <w:rPr>
          <w:rFonts w:eastAsia="Verdana"/>
          <w:sz w:val="24"/>
          <w:szCs w:val="24"/>
          <w:lang w:eastAsia="en-US"/>
        </w:rPr>
        <w:t>н</w:t>
      </w:r>
      <w:r w:rsidRPr="00056DFA">
        <w:rPr>
          <w:rFonts w:eastAsia="Verdana"/>
          <w:sz w:val="24"/>
          <w:szCs w:val="24"/>
          <w:lang w:eastAsia="en-US"/>
        </w:rPr>
        <w:t>.лв.;</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 xml:space="preserve">3. проект „Ремонт и реконструкция на площадно пространство в кв. 41 на с. Габра, Община Елин пелин. Проектът е на обща стойност </w:t>
      </w:r>
      <w:r w:rsidR="005341C3">
        <w:rPr>
          <w:rFonts w:eastAsia="Verdana"/>
          <w:sz w:val="24"/>
          <w:szCs w:val="24"/>
          <w:lang w:eastAsia="en-US"/>
        </w:rPr>
        <w:t>0,0</w:t>
      </w:r>
      <w:r w:rsidRPr="00056DFA">
        <w:rPr>
          <w:rFonts w:eastAsia="Verdana"/>
          <w:sz w:val="24"/>
          <w:szCs w:val="24"/>
          <w:lang w:eastAsia="en-US"/>
        </w:rPr>
        <w:t xml:space="preserve">8 </w:t>
      </w:r>
      <w:r w:rsidR="005341C3">
        <w:rPr>
          <w:rFonts w:eastAsia="Verdana"/>
          <w:sz w:val="24"/>
          <w:szCs w:val="24"/>
          <w:lang w:eastAsia="en-US"/>
        </w:rPr>
        <w:t>млн.</w:t>
      </w:r>
      <w:r w:rsidRPr="00056DFA">
        <w:rPr>
          <w:rFonts w:eastAsia="Verdana"/>
          <w:sz w:val="24"/>
          <w:szCs w:val="24"/>
          <w:lang w:eastAsia="en-US"/>
        </w:rPr>
        <w:t xml:space="preserve">лв., в това число финансиране от фонд РАО – </w:t>
      </w:r>
      <w:r w:rsidR="005341C3">
        <w:rPr>
          <w:rFonts w:eastAsia="Verdana"/>
          <w:sz w:val="24"/>
          <w:szCs w:val="24"/>
          <w:lang w:eastAsia="en-US"/>
        </w:rPr>
        <w:t>0,06</w:t>
      </w:r>
      <w:r w:rsidRPr="00056DFA">
        <w:rPr>
          <w:rFonts w:eastAsia="Verdana"/>
          <w:sz w:val="24"/>
          <w:szCs w:val="24"/>
          <w:lang w:eastAsia="en-US"/>
        </w:rPr>
        <w:t xml:space="preserve"> </w:t>
      </w:r>
      <w:r w:rsidR="005341C3">
        <w:rPr>
          <w:rFonts w:eastAsia="Verdana"/>
          <w:sz w:val="24"/>
          <w:szCs w:val="24"/>
          <w:lang w:eastAsia="en-US"/>
        </w:rPr>
        <w:t>млн.</w:t>
      </w:r>
      <w:r w:rsidRPr="00056DFA">
        <w:rPr>
          <w:rFonts w:eastAsia="Verdana"/>
          <w:sz w:val="24"/>
          <w:szCs w:val="24"/>
          <w:lang w:eastAsia="en-US"/>
        </w:rPr>
        <w:t>лв.;</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Финансираните от фонда дейности на ДП „Радиоактивни отпадъци“ включват:</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 xml:space="preserve">1. преработването на получени от експлоатацията на АЕЦ"Козлодуй“ радиоактивни отпадъци /РАО/, които за 2017 г. са </w:t>
      </w:r>
      <w:r w:rsidRPr="00BF123C">
        <w:rPr>
          <w:rFonts w:eastAsia="Verdana"/>
          <w:sz w:val="24"/>
          <w:szCs w:val="24"/>
          <w:lang w:eastAsia="en-US"/>
        </w:rPr>
        <w:t>1</w:t>
      </w:r>
      <w:r w:rsidR="005341C3">
        <w:rPr>
          <w:rFonts w:eastAsia="Verdana"/>
          <w:sz w:val="24"/>
          <w:szCs w:val="24"/>
          <w:lang w:eastAsia="en-US"/>
        </w:rPr>
        <w:t>,5</w:t>
      </w:r>
      <w:r w:rsidRPr="00056DFA">
        <w:rPr>
          <w:rFonts w:eastAsia="Verdana"/>
          <w:sz w:val="24"/>
          <w:szCs w:val="24"/>
          <w:lang w:eastAsia="en-US"/>
        </w:rPr>
        <w:t xml:space="preserve"> </w:t>
      </w:r>
      <w:r w:rsidR="005341C3">
        <w:rPr>
          <w:rFonts w:eastAsia="Verdana"/>
          <w:sz w:val="24"/>
          <w:szCs w:val="24"/>
          <w:lang w:eastAsia="en-US"/>
        </w:rPr>
        <w:t xml:space="preserve">хил. </w:t>
      </w:r>
      <w:r w:rsidRPr="00056DFA">
        <w:rPr>
          <w:rFonts w:eastAsia="Verdana"/>
          <w:sz w:val="24"/>
          <w:szCs w:val="24"/>
          <w:lang w:eastAsia="en-US"/>
        </w:rPr>
        <w:t>м</w:t>
      </w:r>
      <w:r w:rsidRPr="00056DFA">
        <w:rPr>
          <w:rFonts w:eastAsia="Verdana"/>
          <w:sz w:val="24"/>
          <w:szCs w:val="24"/>
          <w:vertAlign w:val="superscript"/>
          <w:lang w:eastAsia="en-US"/>
        </w:rPr>
        <w:t>3</w:t>
      </w:r>
      <w:r w:rsidRPr="00056DFA">
        <w:rPr>
          <w:rFonts w:eastAsia="Verdana"/>
          <w:sz w:val="24"/>
          <w:szCs w:val="24"/>
          <w:lang w:eastAsia="en-US"/>
        </w:rPr>
        <w:t>;</w:t>
      </w:r>
    </w:p>
    <w:p w:rsidR="00855A7E" w:rsidRPr="00056DFA" w:rsidRDefault="00855A7E" w:rsidP="00855A7E">
      <w:pPr>
        <w:spacing w:before="0" w:after="0"/>
        <w:jc w:val="both"/>
        <w:rPr>
          <w:rFonts w:eastAsia="Verdana"/>
          <w:sz w:val="24"/>
          <w:szCs w:val="24"/>
          <w:lang w:eastAsia="en-US"/>
        </w:rPr>
      </w:pPr>
      <w:r w:rsidRPr="00056DFA">
        <w:rPr>
          <w:rFonts w:eastAsia="Verdana"/>
          <w:sz w:val="24"/>
          <w:szCs w:val="24"/>
          <w:lang w:eastAsia="en-US"/>
        </w:rPr>
        <w:t>2. реализираните дейности по планираните мерки от тригодишната програма на предприятието, в т.ч.:</w:t>
      </w:r>
    </w:p>
    <w:p w:rsidR="00855A7E" w:rsidRPr="00056DFA" w:rsidRDefault="00855A7E" w:rsidP="00855A7E">
      <w:pPr>
        <w:tabs>
          <w:tab w:val="left" w:pos="9214"/>
        </w:tabs>
        <w:spacing w:before="0" w:after="0"/>
        <w:jc w:val="both"/>
        <w:rPr>
          <w:rFonts w:eastAsia="Verdana"/>
          <w:color w:val="000000"/>
          <w:sz w:val="24"/>
          <w:szCs w:val="24"/>
          <w:lang w:bidi="bg-BG"/>
        </w:rPr>
      </w:pPr>
      <w:bookmarkStart w:id="20" w:name="bookmark8"/>
      <w:r w:rsidRPr="00056DFA">
        <w:rPr>
          <w:rFonts w:eastAsia="Verdana"/>
          <w:sz w:val="24"/>
          <w:szCs w:val="24"/>
          <w:lang w:eastAsia="en-US"/>
        </w:rPr>
        <w:t>2.1. изграждането на Национално хранилище за погребване на радиоактивни отпадъци /</w:t>
      </w:r>
      <w:r w:rsidRPr="00056DFA">
        <w:rPr>
          <w:rFonts w:eastAsia="Verdana"/>
          <w:color w:val="000000"/>
          <w:sz w:val="24"/>
          <w:szCs w:val="24"/>
          <w:lang w:bidi="bg-BG"/>
        </w:rPr>
        <w:t>НХРАО</w:t>
      </w:r>
      <w:r w:rsidRPr="00056DFA">
        <w:rPr>
          <w:rFonts w:eastAsia="Verdana"/>
          <w:sz w:val="24"/>
          <w:szCs w:val="24"/>
          <w:lang w:eastAsia="en-US"/>
        </w:rPr>
        <w:t>/, за което на база издадените от</w:t>
      </w:r>
      <w:r w:rsidRPr="00056DFA">
        <w:rPr>
          <w:sz w:val="24"/>
          <w:szCs w:val="24"/>
          <w:lang w:eastAsia="en-US"/>
        </w:rPr>
        <w:t xml:space="preserve"> АЯР</w:t>
      </w:r>
      <w:r w:rsidRPr="00BF123C">
        <w:rPr>
          <w:b/>
          <w:sz w:val="24"/>
          <w:szCs w:val="24"/>
          <w:lang w:eastAsia="en-US"/>
        </w:rPr>
        <w:t xml:space="preserve"> </w:t>
      </w:r>
      <w:r w:rsidRPr="00056DFA">
        <w:rPr>
          <w:sz w:val="24"/>
          <w:szCs w:val="24"/>
          <w:lang w:eastAsia="en-US"/>
        </w:rPr>
        <w:t xml:space="preserve">от МРРБ разрешения за строеж са започнали действия по очистването на определената площадка, приключени са дейностите по </w:t>
      </w:r>
      <w:r w:rsidRPr="00056DFA">
        <w:rPr>
          <w:rFonts w:eastAsia="Verdana"/>
          <w:color w:val="000000"/>
          <w:sz w:val="24"/>
          <w:szCs w:val="24"/>
          <w:lang w:bidi="bg-BG"/>
        </w:rPr>
        <w:t>изпълнение на програмите за предварителен геодезичен, хидрогеоложки и радиационен мониторинг на площадката и в момента текат процедури за избор на изпълнители за мониторинг по време на строителство на НХРАО и др.</w:t>
      </w:r>
    </w:p>
    <w:p w:rsidR="00855A7E" w:rsidRPr="00056DFA" w:rsidRDefault="00855A7E" w:rsidP="00855A7E">
      <w:pPr>
        <w:tabs>
          <w:tab w:val="left" w:pos="9214"/>
        </w:tabs>
        <w:spacing w:before="0" w:after="0"/>
        <w:jc w:val="both"/>
        <w:rPr>
          <w:rFonts w:eastAsia="Verdana"/>
          <w:sz w:val="24"/>
          <w:szCs w:val="24"/>
        </w:rPr>
      </w:pPr>
      <w:r w:rsidRPr="00056DFA">
        <w:rPr>
          <w:rFonts w:eastAsia="Verdana"/>
          <w:color w:val="000000"/>
          <w:sz w:val="24"/>
          <w:szCs w:val="24"/>
          <w:lang w:bidi="bg-BG"/>
        </w:rPr>
        <w:t xml:space="preserve">На 29.08.2017 г е направена официално първа копка на обект НХРАО. </w:t>
      </w:r>
      <w:r w:rsidRPr="00056DFA">
        <w:rPr>
          <w:sz w:val="24"/>
          <w:szCs w:val="24"/>
          <w:lang w:eastAsia="en-US"/>
        </w:rPr>
        <w:t xml:space="preserve">Основната дейност се характеризира с масирани изкопни дейности в зоната на клетките и помощните сгради. Изкопани са общо около </w:t>
      </w:r>
      <w:r w:rsidRPr="00056DFA">
        <w:rPr>
          <w:b/>
          <w:sz w:val="24"/>
          <w:szCs w:val="24"/>
          <w:lang w:eastAsia="en-US"/>
        </w:rPr>
        <w:t xml:space="preserve">903 хил. </w:t>
      </w:r>
      <w:r w:rsidR="005341C3">
        <w:rPr>
          <w:b/>
          <w:sz w:val="24"/>
          <w:szCs w:val="24"/>
          <w:lang w:eastAsia="en-US"/>
        </w:rPr>
        <w:t>м</w:t>
      </w:r>
      <w:r w:rsidRPr="00056DFA">
        <w:rPr>
          <w:b/>
          <w:sz w:val="24"/>
          <w:szCs w:val="24"/>
          <w:vertAlign w:val="superscript"/>
          <w:lang w:eastAsia="en-US"/>
        </w:rPr>
        <w:t>3</w:t>
      </w:r>
      <w:r w:rsidRPr="00056DFA">
        <w:rPr>
          <w:b/>
          <w:sz w:val="24"/>
          <w:szCs w:val="24"/>
          <w:lang w:eastAsia="en-US"/>
        </w:rPr>
        <w:t xml:space="preserve">, </w:t>
      </w:r>
      <w:r w:rsidRPr="00056DFA">
        <w:rPr>
          <w:sz w:val="24"/>
          <w:szCs w:val="24"/>
          <w:lang w:eastAsia="en-US"/>
        </w:rPr>
        <w:t>което съставлява</w:t>
      </w:r>
      <w:r w:rsidRPr="00056DFA">
        <w:rPr>
          <w:b/>
          <w:sz w:val="24"/>
          <w:szCs w:val="24"/>
          <w:lang w:eastAsia="en-US"/>
        </w:rPr>
        <w:t xml:space="preserve"> 92% от земната маса,</w:t>
      </w:r>
      <w:r w:rsidRPr="00056DFA">
        <w:rPr>
          <w:sz w:val="24"/>
          <w:szCs w:val="24"/>
          <w:lang w:eastAsia="en-US"/>
        </w:rPr>
        <w:t xml:space="preserve"> подлежаща на изкопаване според Техническия проект.</w:t>
      </w:r>
    </w:p>
    <w:p w:rsidR="00855A7E" w:rsidRPr="00164441" w:rsidRDefault="00855A7E" w:rsidP="00855A7E">
      <w:pPr>
        <w:tabs>
          <w:tab w:val="left" w:pos="684"/>
          <w:tab w:val="left" w:pos="9000"/>
        </w:tabs>
        <w:spacing w:before="0" w:after="0"/>
        <w:jc w:val="both"/>
        <w:rPr>
          <w:rFonts w:eastAsia="Verdana"/>
          <w:sz w:val="24"/>
          <w:szCs w:val="24"/>
          <w:lang w:eastAsia="en-US"/>
        </w:rPr>
      </w:pPr>
      <w:r w:rsidRPr="00056DFA">
        <w:rPr>
          <w:rFonts w:eastAsia="Verdana"/>
          <w:sz w:val="24"/>
          <w:szCs w:val="24"/>
          <w:lang w:eastAsia="en-US"/>
        </w:rPr>
        <w:t>2.</w:t>
      </w:r>
      <w:proofErr w:type="spellStart"/>
      <w:r w:rsidRPr="00056DFA">
        <w:rPr>
          <w:rFonts w:eastAsia="Verdana"/>
          <w:sz w:val="24"/>
          <w:szCs w:val="24"/>
          <w:lang w:eastAsia="en-US"/>
        </w:rPr>
        <w:t>2</w:t>
      </w:r>
      <w:proofErr w:type="spellEnd"/>
      <w:r w:rsidRPr="00056DFA">
        <w:rPr>
          <w:rFonts w:eastAsia="Verdana"/>
          <w:sz w:val="24"/>
          <w:szCs w:val="24"/>
          <w:lang w:eastAsia="en-US"/>
        </w:rPr>
        <w:t xml:space="preserve">. </w:t>
      </w:r>
      <w:r w:rsidRPr="00164441">
        <w:rPr>
          <w:rFonts w:eastAsia="Verdana"/>
          <w:sz w:val="24"/>
          <w:szCs w:val="24"/>
          <w:lang w:eastAsia="en-US"/>
        </w:rPr>
        <w:t>модернизация на ЦПРАО, ССКРАО и площадка „Варово стопанство” в СП РАО-Козлодуй.</w:t>
      </w:r>
    </w:p>
    <w:p w:rsidR="00855A7E" w:rsidRPr="00056DFA" w:rsidRDefault="00855A7E" w:rsidP="00855A7E">
      <w:pPr>
        <w:tabs>
          <w:tab w:val="left" w:pos="9072"/>
          <w:tab w:val="left" w:pos="9214"/>
        </w:tabs>
        <w:spacing w:before="0" w:after="0"/>
        <w:jc w:val="both"/>
        <w:rPr>
          <w:sz w:val="24"/>
          <w:szCs w:val="24"/>
          <w:lang w:eastAsia="en-US"/>
        </w:rPr>
      </w:pPr>
      <w:r w:rsidRPr="00164441">
        <w:rPr>
          <w:rFonts w:eastAsia="Verdana"/>
          <w:sz w:val="24"/>
          <w:szCs w:val="24"/>
          <w:lang w:eastAsia="en-US"/>
        </w:rPr>
        <w:t xml:space="preserve">През отчетния период е продължило изпълняването на дейности по Програмата за управление на РАО на площадка Варово стопанство и по </w:t>
      </w:r>
      <w:r w:rsidRPr="00164441">
        <w:rPr>
          <w:color w:val="000000"/>
          <w:sz w:val="24"/>
          <w:szCs w:val="24"/>
          <w:lang w:bidi="bg-BG"/>
        </w:rPr>
        <w:t>Програмата за повишаване на безопасността на съоръжението за управление на РАО от АЕЦ Козлодуй. Извършвани са и редица други задачи свързани с дейността на ДП „РАО“ (з</w:t>
      </w:r>
      <w:r w:rsidRPr="00164441">
        <w:rPr>
          <w:rFonts w:eastAsia="Verdana"/>
          <w:color w:val="000000"/>
          <w:sz w:val="24"/>
          <w:szCs w:val="24"/>
          <w:lang w:bidi="bg-BG"/>
        </w:rPr>
        <w:t xml:space="preserve">ахранване с ел. енергия на Съоръжението за преобличане и </w:t>
      </w:r>
      <w:proofErr w:type="spellStart"/>
      <w:r w:rsidRPr="00164441">
        <w:rPr>
          <w:rFonts w:eastAsia="Verdana"/>
          <w:color w:val="000000"/>
          <w:sz w:val="24"/>
          <w:szCs w:val="24"/>
          <w:lang w:bidi="bg-BG"/>
        </w:rPr>
        <w:t>дезактивация</w:t>
      </w:r>
      <w:proofErr w:type="spellEnd"/>
      <w:r w:rsidRPr="00164441">
        <w:rPr>
          <w:rFonts w:eastAsia="Verdana"/>
          <w:color w:val="000000"/>
          <w:sz w:val="24"/>
          <w:szCs w:val="24"/>
          <w:lang w:bidi="bg-BG"/>
        </w:rPr>
        <w:t xml:space="preserve"> към Хранилище за замърсени земни маси, изработени и доставени са защитни метални капаци за </w:t>
      </w:r>
      <w:proofErr w:type="spellStart"/>
      <w:r w:rsidRPr="00164441">
        <w:rPr>
          <w:rFonts w:eastAsia="Verdana"/>
          <w:color w:val="000000"/>
          <w:sz w:val="24"/>
          <w:szCs w:val="24"/>
          <w:lang w:bidi="bg-BG"/>
        </w:rPr>
        <w:t>СтБК</w:t>
      </w:r>
      <w:proofErr w:type="spellEnd"/>
      <w:r w:rsidRPr="00164441">
        <w:rPr>
          <w:rFonts w:eastAsia="Verdana"/>
          <w:color w:val="000000"/>
          <w:sz w:val="24"/>
          <w:szCs w:val="24"/>
          <w:lang w:bidi="bg-BG"/>
        </w:rPr>
        <w:t>, извършена е доставка на в</w:t>
      </w:r>
      <w:r w:rsidRPr="00164441">
        <w:rPr>
          <w:sz w:val="24"/>
          <w:szCs w:val="24"/>
          <w:lang w:eastAsia="en-US"/>
        </w:rPr>
        <w:t xml:space="preserve">лажна камера за втвърдяване и отлежаване на циментови проби”, сключени и изпълнявани са договори, в т.ч. за </w:t>
      </w:r>
      <w:r w:rsidRPr="00164441">
        <w:rPr>
          <w:iCs/>
          <w:sz w:val="24"/>
          <w:szCs w:val="24"/>
          <w:lang w:eastAsia="en-US"/>
        </w:rPr>
        <w:t>„Доставка на преносим монитор за измерване и оценка на повърхностно радиоактивно замърсяване на подове</w:t>
      </w:r>
      <w:r w:rsidRPr="00056DFA">
        <w:rPr>
          <w:iCs/>
          <w:sz w:val="24"/>
          <w:szCs w:val="24"/>
          <w:lang w:eastAsia="en-US"/>
        </w:rPr>
        <w:t xml:space="preserve"> и стени”, за </w:t>
      </w:r>
      <w:r w:rsidRPr="00056DFA">
        <w:rPr>
          <w:sz w:val="24"/>
          <w:szCs w:val="24"/>
          <w:lang w:eastAsia="en-US"/>
        </w:rPr>
        <w:t xml:space="preserve">„Рехабилитация на повърхностите на околовръстни стени на </w:t>
      </w:r>
      <w:proofErr w:type="spellStart"/>
      <w:r w:rsidRPr="00056DFA">
        <w:rPr>
          <w:sz w:val="24"/>
          <w:szCs w:val="24"/>
          <w:lang w:eastAsia="en-US"/>
        </w:rPr>
        <w:t>Траншейно</w:t>
      </w:r>
      <w:proofErr w:type="spellEnd"/>
      <w:r w:rsidRPr="00056DFA">
        <w:rPr>
          <w:sz w:val="24"/>
          <w:szCs w:val="24"/>
          <w:lang w:eastAsia="en-US"/>
        </w:rPr>
        <w:t xml:space="preserve"> хранилище за съхранение на РАО, с цел съхраняване на инженерните му бариери”</w:t>
      </w:r>
      <w:r w:rsidRPr="00056DFA">
        <w:rPr>
          <w:iCs/>
          <w:sz w:val="24"/>
          <w:szCs w:val="24"/>
          <w:lang w:eastAsia="en-US"/>
        </w:rPr>
        <w:t xml:space="preserve">, за </w:t>
      </w:r>
      <w:r w:rsidRPr="00056DFA">
        <w:rPr>
          <w:sz w:val="24"/>
          <w:szCs w:val="24"/>
          <w:lang w:eastAsia="en-US"/>
        </w:rPr>
        <w:t xml:space="preserve">„Доставка на комбинирана Машина за огъване и рязане на арматурно желязо </w:t>
      </w:r>
      <w:r w:rsidRPr="00056DFA">
        <w:rPr>
          <w:iCs/>
          <w:sz w:val="24"/>
          <w:szCs w:val="24"/>
          <w:lang w:eastAsia="en-US"/>
        </w:rPr>
        <w:t>/</w:t>
      </w:r>
      <w:r w:rsidRPr="00056DFA">
        <w:rPr>
          <w:sz w:val="24"/>
          <w:szCs w:val="24"/>
          <w:lang w:eastAsia="en-US"/>
        </w:rPr>
        <w:t xml:space="preserve">Оборудване с цел оптимизиране процеса за производство на </w:t>
      </w:r>
      <w:proofErr w:type="spellStart"/>
      <w:r w:rsidRPr="00056DFA">
        <w:rPr>
          <w:sz w:val="24"/>
          <w:szCs w:val="24"/>
          <w:lang w:eastAsia="en-US"/>
        </w:rPr>
        <w:t>СтБК</w:t>
      </w:r>
      <w:proofErr w:type="spellEnd"/>
      <w:r w:rsidRPr="00056DFA">
        <w:rPr>
          <w:sz w:val="24"/>
          <w:szCs w:val="24"/>
          <w:lang w:eastAsia="en-US"/>
        </w:rPr>
        <w:t xml:space="preserve">/ и за „Проектиране, конструиране, изработка и доставка на 2 броя </w:t>
      </w:r>
      <w:proofErr w:type="spellStart"/>
      <w:r w:rsidRPr="00056DFA">
        <w:rPr>
          <w:sz w:val="24"/>
          <w:szCs w:val="24"/>
          <w:lang w:eastAsia="en-US"/>
        </w:rPr>
        <w:t>шнекови</w:t>
      </w:r>
      <w:proofErr w:type="spellEnd"/>
      <w:r w:rsidRPr="00056DFA">
        <w:rPr>
          <w:sz w:val="24"/>
          <w:szCs w:val="24"/>
          <w:lang w:eastAsia="en-US"/>
        </w:rPr>
        <w:t xml:space="preserve"> транспортьори за сух цимент” </w:t>
      </w:r>
      <w:r w:rsidRPr="00056DFA">
        <w:rPr>
          <w:iCs/>
          <w:sz w:val="24"/>
          <w:szCs w:val="24"/>
          <w:lang w:eastAsia="en-US"/>
        </w:rPr>
        <w:t xml:space="preserve">/за транспортиране на цимент от </w:t>
      </w:r>
      <w:proofErr w:type="spellStart"/>
      <w:r w:rsidRPr="00056DFA">
        <w:rPr>
          <w:iCs/>
          <w:sz w:val="24"/>
          <w:szCs w:val="24"/>
          <w:lang w:eastAsia="en-US"/>
        </w:rPr>
        <w:t>прахоуловител</w:t>
      </w:r>
      <w:proofErr w:type="spellEnd"/>
      <w:r w:rsidRPr="00056DFA">
        <w:rPr>
          <w:iCs/>
          <w:sz w:val="24"/>
          <w:szCs w:val="24"/>
          <w:lang w:eastAsia="en-US"/>
        </w:rPr>
        <w:t xml:space="preserve"> SC TK-104 до силоз за цимент SC TK 10/, и т.н.</w:t>
      </w:r>
    </w:p>
    <w:p w:rsidR="00855A7E" w:rsidRPr="00056DFA" w:rsidRDefault="00855A7E" w:rsidP="00855A7E">
      <w:pPr>
        <w:tabs>
          <w:tab w:val="left" w:pos="9072"/>
          <w:tab w:val="left" w:pos="9214"/>
        </w:tabs>
        <w:autoSpaceDE w:val="0"/>
        <w:autoSpaceDN w:val="0"/>
        <w:adjustRightInd w:val="0"/>
        <w:spacing w:before="0" w:after="0"/>
        <w:jc w:val="both"/>
        <w:rPr>
          <w:rFonts w:eastAsia="Verdana"/>
          <w:sz w:val="24"/>
          <w:szCs w:val="24"/>
          <w:lang w:eastAsia="en-US"/>
        </w:rPr>
      </w:pPr>
      <w:r w:rsidRPr="00056DFA">
        <w:rPr>
          <w:rFonts w:eastAsia="Verdana"/>
          <w:sz w:val="24"/>
          <w:szCs w:val="24"/>
          <w:lang w:eastAsia="en-US"/>
        </w:rPr>
        <w:t>2.3. технически основи за извеждане от експлоатация на СП РАО-Козлодуй и СП ПХРАО-Нови хан.</w:t>
      </w:r>
    </w:p>
    <w:p w:rsidR="00855A7E" w:rsidRPr="00056DFA" w:rsidRDefault="00855A7E" w:rsidP="00855A7E">
      <w:pPr>
        <w:tabs>
          <w:tab w:val="left" w:pos="9540"/>
        </w:tabs>
        <w:spacing w:before="0" w:after="0"/>
        <w:jc w:val="both"/>
        <w:rPr>
          <w:sz w:val="24"/>
          <w:szCs w:val="24"/>
          <w:lang w:eastAsia="en-US"/>
        </w:rPr>
      </w:pPr>
      <w:r w:rsidRPr="00056DFA">
        <w:rPr>
          <w:sz w:val="24"/>
          <w:szCs w:val="24"/>
          <w:lang w:eastAsia="en-US"/>
        </w:rPr>
        <w:t>Разработена е „План-програма за поетапно извеждане от експлоатация на СП ПХРАО - Нови Хан”.</w:t>
      </w:r>
    </w:p>
    <w:p w:rsidR="00855A7E" w:rsidRPr="00056DFA" w:rsidRDefault="00855A7E" w:rsidP="00855A7E">
      <w:pPr>
        <w:tabs>
          <w:tab w:val="num" w:pos="0"/>
          <w:tab w:val="num" w:pos="360"/>
          <w:tab w:val="num" w:pos="450"/>
          <w:tab w:val="left" w:pos="540"/>
        </w:tabs>
        <w:spacing w:before="0" w:after="0"/>
        <w:jc w:val="both"/>
        <w:rPr>
          <w:bCs/>
          <w:sz w:val="24"/>
          <w:szCs w:val="24"/>
          <w:lang w:eastAsia="en-US"/>
        </w:rPr>
      </w:pPr>
      <w:r w:rsidRPr="00056DFA">
        <w:rPr>
          <w:sz w:val="24"/>
          <w:szCs w:val="24"/>
          <w:lang w:eastAsia="en-US"/>
        </w:rPr>
        <w:t xml:space="preserve">В резултат на организирана от АЯР съвместна работна среща с представители от сектор „Ядрено-горивен цикъл и технология на отпадъците” на МААЕ за оценка на възможността за стартиране на подкрепян от МААЕ и АЯР „Проект за сондажно погребване на отработени закрити радиоактивни източници </w:t>
      </w:r>
      <w:r w:rsidRPr="00BF123C">
        <w:rPr>
          <w:sz w:val="24"/>
          <w:szCs w:val="24"/>
          <w:lang w:eastAsia="en-US"/>
        </w:rPr>
        <w:t>(</w:t>
      </w:r>
      <w:r w:rsidRPr="00056DFA">
        <w:rPr>
          <w:sz w:val="24"/>
          <w:szCs w:val="24"/>
          <w:lang w:eastAsia="en-US"/>
        </w:rPr>
        <w:t>ОЗРИ</w:t>
      </w:r>
      <w:r w:rsidRPr="00BF123C">
        <w:rPr>
          <w:sz w:val="24"/>
          <w:szCs w:val="24"/>
          <w:lang w:eastAsia="en-US"/>
        </w:rPr>
        <w:t>)</w:t>
      </w:r>
      <w:r w:rsidRPr="00056DFA">
        <w:rPr>
          <w:sz w:val="24"/>
          <w:szCs w:val="24"/>
          <w:lang w:eastAsia="en-US"/>
        </w:rPr>
        <w:t xml:space="preserve">”от проведените дискусии е направен извод, че наличният инвентар на закрити източници, </w:t>
      </w:r>
      <w:r w:rsidRPr="00056DFA">
        <w:rPr>
          <w:sz w:val="24"/>
          <w:szCs w:val="24"/>
          <w:lang w:eastAsia="en-US"/>
        </w:rPr>
        <w:lastRenderedPageBreak/>
        <w:t xml:space="preserve">инфраструктурата и геоложката среда са подходящи за започване на проект по сондажно погребване на ИЙЛ. Подробно е обсъден стратегически план за прилагането на сондажно погребване в България. </w:t>
      </w:r>
    </w:p>
    <w:p w:rsidR="00855A7E" w:rsidRPr="00056DFA" w:rsidRDefault="00855A7E" w:rsidP="00855A7E">
      <w:pPr>
        <w:spacing w:before="0" w:after="0"/>
        <w:jc w:val="both"/>
        <w:rPr>
          <w:bCs/>
          <w:sz w:val="24"/>
          <w:szCs w:val="24"/>
          <w:lang w:eastAsia="en-US"/>
        </w:rPr>
      </w:pPr>
      <w:r w:rsidRPr="00056DFA">
        <w:rPr>
          <w:sz w:val="24"/>
          <w:szCs w:val="24"/>
          <w:lang w:eastAsia="en-US"/>
        </w:rPr>
        <w:t xml:space="preserve">Във връзка с планирането на </w:t>
      </w:r>
      <w:proofErr w:type="spellStart"/>
      <w:r w:rsidRPr="00056DFA">
        <w:rPr>
          <w:sz w:val="24"/>
          <w:szCs w:val="24"/>
          <w:lang w:eastAsia="en-US"/>
        </w:rPr>
        <w:t>последващите</w:t>
      </w:r>
      <w:proofErr w:type="spellEnd"/>
      <w:r w:rsidRPr="00056DFA">
        <w:rPr>
          <w:sz w:val="24"/>
          <w:szCs w:val="24"/>
          <w:lang w:eastAsia="en-US"/>
        </w:rPr>
        <w:t xml:space="preserve"> стъпки в сътрудничеството с Международната агенция за атомна енергия по проекта INT9182 е разработена „Програма за сондажно погребване на отработени закрити радиоактивни източници”, която</w:t>
      </w:r>
      <w:r w:rsidRPr="00056DFA">
        <w:rPr>
          <w:bCs/>
          <w:sz w:val="24"/>
          <w:szCs w:val="24"/>
          <w:lang w:eastAsia="en-US"/>
        </w:rPr>
        <w:t xml:space="preserve"> разглежда концепцията за сондажно погребване и обосновава вариантите за погребване на съхраняваните в СП „ПХРАО-Нови хан” отработени закрити радиоактивни източници </w:t>
      </w:r>
      <w:r w:rsidRPr="00BF123C">
        <w:rPr>
          <w:bCs/>
          <w:sz w:val="24"/>
          <w:szCs w:val="24"/>
          <w:lang w:eastAsia="en-US"/>
        </w:rPr>
        <w:t>(</w:t>
      </w:r>
      <w:r w:rsidRPr="00056DFA">
        <w:rPr>
          <w:bCs/>
          <w:sz w:val="24"/>
          <w:szCs w:val="24"/>
          <w:lang w:eastAsia="en-US"/>
        </w:rPr>
        <w:t>ОЗРИ</w:t>
      </w:r>
      <w:r w:rsidRPr="00BF123C">
        <w:rPr>
          <w:bCs/>
          <w:sz w:val="24"/>
          <w:szCs w:val="24"/>
          <w:lang w:eastAsia="en-US"/>
        </w:rPr>
        <w:t>)</w:t>
      </w:r>
      <w:r w:rsidRPr="00056DFA">
        <w:rPr>
          <w:bCs/>
          <w:sz w:val="24"/>
          <w:szCs w:val="24"/>
          <w:lang w:eastAsia="en-US"/>
        </w:rPr>
        <w:t>.</w:t>
      </w:r>
    </w:p>
    <w:p w:rsidR="00855A7E" w:rsidRPr="00DE454D" w:rsidRDefault="00855A7E" w:rsidP="00855A7E">
      <w:pPr>
        <w:tabs>
          <w:tab w:val="num" w:pos="0"/>
          <w:tab w:val="num" w:pos="360"/>
          <w:tab w:val="num" w:pos="450"/>
          <w:tab w:val="left" w:pos="540"/>
        </w:tabs>
        <w:spacing w:before="0" w:after="0"/>
        <w:jc w:val="both"/>
        <w:rPr>
          <w:sz w:val="24"/>
          <w:szCs w:val="24"/>
          <w:lang w:eastAsia="en-US"/>
        </w:rPr>
      </w:pPr>
      <w:r w:rsidRPr="00DE454D">
        <w:rPr>
          <w:sz w:val="24"/>
          <w:szCs w:val="24"/>
          <w:lang w:eastAsia="en-US"/>
        </w:rPr>
        <w:t xml:space="preserve">Като Етап 1 от Поетапната програма за извеждане от експлоатация на СП „ПХРАО-Нови хан” (срок 2018 г.) е разработена и „Програма за управление на радиоактивни отпадъци от ядрените приложения", която да удовлетвори необходимостта от обосноваване и планиране дейностите по управление на РАО от ядрените приложения, като се прилага цялостен подход към управлението на РАО, с крайна точка - опаковки </w:t>
      </w:r>
      <w:proofErr w:type="spellStart"/>
      <w:r w:rsidRPr="00DE454D">
        <w:rPr>
          <w:sz w:val="24"/>
          <w:szCs w:val="24"/>
          <w:lang w:eastAsia="en-US"/>
        </w:rPr>
        <w:t>кондиционирани</w:t>
      </w:r>
      <w:proofErr w:type="spellEnd"/>
      <w:r w:rsidRPr="00DE454D">
        <w:rPr>
          <w:sz w:val="24"/>
          <w:szCs w:val="24"/>
          <w:lang w:eastAsia="en-US"/>
        </w:rPr>
        <w:t xml:space="preserve"> РАО за погребване или освобождаване от регулиране. </w:t>
      </w:r>
    </w:p>
    <w:p w:rsidR="00855A7E" w:rsidRPr="00DE454D" w:rsidRDefault="00855A7E" w:rsidP="00855A7E">
      <w:pPr>
        <w:tabs>
          <w:tab w:val="num" w:pos="0"/>
          <w:tab w:val="num" w:pos="360"/>
          <w:tab w:val="num" w:pos="450"/>
          <w:tab w:val="left" w:pos="540"/>
        </w:tabs>
        <w:spacing w:before="0" w:after="0"/>
        <w:jc w:val="both"/>
        <w:rPr>
          <w:sz w:val="24"/>
          <w:szCs w:val="24"/>
          <w:lang w:eastAsia="en-US"/>
        </w:rPr>
      </w:pPr>
      <w:r w:rsidRPr="00DE454D">
        <w:rPr>
          <w:sz w:val="24"/>
          <w:szCs w:val="24"/>
          <w:lang w:eastAsia="en-US"/>
        </w:rPr>
        <w:t>Въз основа на извършените в края на 2016 г. инспекции на хранилищата тип „Радон” и инженерната траншея за твърди РАО и събраните и обобщени архивни данни от периода преди 2001 г. е изготвен отчет за извършените дейности, включващ описание на направените проучвания, анализи, снимков материал и др.</w:t>
      </w:r>
    </w:p>
    <w:p w:rsidR="00855A7E" w:rsidRPr="00DE454D" w:rsidRDefault="00855A7E" w:rsidP="00855A7E">
      <w:pPr>
        <w:spacing w:before="0" w:after="0"/>
        <w:jc w:val="both"/>
        <w:rPr>
          <w:b/>
          <w:sz w:val="24"/>
          <w:szCs w:val="24"/>
          <w:lang w:eastAsia="en-US"/>
        </w:rPr>
      </w:pPr>
      <w:r w:rsidRPr="00DE454D">
        <w:rPr>
          <w:sz w:val="24"/>
          <w:szCs w:val="24"/>
          <w:lang w:eastAsia="en-US"/>
        </w:rPr>
        <w:t>През второто полугодие на 2017 г. са продължени дейностите по инвентаризация на РАО и подготовка за извеждане от експлоатация /ИЕ/, по архивни документи преди 2001 г., във връзка с изпълнение  на „Програма за управление на РАО”, като част от поетапната Програма за ИЕ на СП ПХРАО Нови хан.</w:t>
      </w:r>
    </w:p>
    <w:p w:rsidR="00855A7E" w:rsidRPr="00DE454D" w:rsidRDefault="00855A7E" w:rsidP="00855A7E">
      <w:pPr>
        <w:spacing w:before="0" w:after="0"/>
        <w:jc w:val="both"/>
        <w:rPr>
          <w:sz w:val="24"/>
          <w:szCs w:val="24"/>
          <w:lang w:eastAsia="en-US"/>
        </w:rPr>
      </w:pPr>
      <w:r w:rsidRPr="00DE454D">
        <w:rPr>
          <w:sz w:val="24"/>
          <w:szCs w:val="24"/>
          <w:lang w:eastAsia="en-US"/>
        </w:rPr>
        <w:t>Изпълнявани се дейности по характеризиране на варели с отпадъци и превоза им до СП "РАО-Козлодуй", съгласно Програмата за освобождаване на Площадка 4 на СП ПХРАО –Нови хан.</w:t>
      </w:r>
    </w:p>
    <w:bookmarkEnd w:id="20"/>
    <w:p w:rsidR="00855A7E" w:rsidRPr="00DE454D" w:rsidRDefault="00855A7E" w:rsidP="00855A7E">
      <w:pPr>
        <w:spacing w:before="0" w:after="0"/>
        <w:jc w:val="both"/>
        <w:rPr>
          <w:rFonts w:eastAsia="Verdana"/>
          <w:i/>
          <w:sz w:val="24"/>
          <w:szCs w:val="24"/>
          <w:lang w:eastAsia="en-US"/>
        </w:rPr>
      </w:pPr>
      <w:r w:rsidRPr="00DE454D">
        <w:rPr>
          <w:rFonts w:eastAsia="Verdana"/>
          <w:sz w:val="24"/>
          <w:szCs w:val="24"/>
          <w:lang w:eastAsia="en-US"/>
        </w:rPr>
        <w:t>Със средства от фонд „ИЕЯС“ е финансирана дейността на ДП „РАО“ по Мярка 4. Технически основи за извеждане от експлоатация и демонтаж на блокове 1, 2, 3 и 4 на АЕЦ „Козлодуй”.</w:t>
      </w:r>
    </w:p>
    <w:p w:rsidR="00855A7E" w:rsidRPr="00DE454D" w:rsidRDefault="00855A7E" w:rsidP="00855A7E">
      <w:pPr>
        <w:spacing w:before="0" w:after="0"/>
        <w:jc w:val="both"/>
        <w:rPr>
          <w:rFonts w:eastAsia="Verdana"/>
          <w:sz w:val="24"/>
          <w:szCs w:val="24"/>
          <w:lang w:eastAsia="en-US"/>
        </w:rPr>
      </w:pPr>
      <w:r w:rsidRPr="00DE454D">
        <w:rPr>
          <w:sz w:val="24"/>
          <w:szCs w:val="24"/>
          <w:lang w:bidi="bg-BG"/>
        </w:rPr>
        <w:t xml:space="preserve">През отчетния период е продължена доставката на оборудване за: </w:t>
      </w:r>
      <w:proofErr w:type="spellStart"/>
      <w:r w:rsidRPr="00DE454D">
        <w:rPr>
          <w:sz w:val="24"/>
          <w:szCs w:val="24"/>
          <w:lang w:bidi="bg-BG"/>
        </w:rPr>
        <w:t>демонтажни</w:t>
      </w:r>
      <w:proofErr w:type="spellEnd"/>
      <w:r w:rsidRPr="00DE454D">
        <w:rPr>
          <w:sz w:val="24"/>
          <w:szCs w:val="24"/>
          <w:lang w:bidi="bg-BG"/>
        </w:rPr>
        <w:t xml:space="preserve"> дейности, радиационна защита, дезактивиране, сигурност и др., поетапно, в съответствие с</w:t>
      </w:r>
      <w:r w:rsidRPr="00DE454D">
        <w:rPr>
          <w:color w:val="000000"/>
          <w:sz w:val="24"/>
          <w:szCs w:val="24"/>
          <w:lang w:bidi="bg-BG"/>
        </w:rPr>
        <w:t xml:space="preserve"> подписаните договори</w:t>
      </w:r>
      <w:r w:rsidRPr="00DE454D">
        <w:rPr>
          <w:rFonts w:eastAsia="Verdana"/>
          <w:sz w:val="24"/>
          <w:szCs w:val="24"/>
          <w:lang w:eastAsia="en-US"/>
        </w:rPr>
        <w:t xml:space="preserve"> по проекти от МФ”Козлодуй”.</w:t>
      </w:r>
    </w:p>
    <w:p w:rsidR="00855A7E" w:rsidRPr="00056DFA" w:rsidRDefault="00855A7E" w:rsidP="002A1989">
      <w:pPr>
        <w:widowControl w:val="0"/>
        <w:tabs>
          <w:tab w:val="left" w:pos="708"/>
        </w:tabs>
        <w:spacing w:before="0" w:after="0"/>
        <w:jc w:val="both"/>
        <w:rPr>
          <w:iCs/>
          <w:color w:val="000000"/>
          <w:sz w:val="24"/>
          <w:szCs w:val="24"/>
          <w:lang w:eastAsia="en-US"/>
        </w:rPr>
      </w:pPr>
      <w:r w:rsidRPr="00056DFA">
        <w:rPr>
          <w:iCs/>
          <w:color w:val="000000"/>
          <w:sz w:val="24"/>
          <w:szCs w:val="24"/>
          <w:lang w:eastAsia="en-US"/>
        </w:rPr>
        <w:t>Демонтираното оборудване се съхранява на площадки за временно съхранение и в депа, съгласувани с АЯР, в зависимост от получените резултати от радиационния контрол.</w:t>
      </w:r>
    </w:p>
    <w:p w:rsidR="00855A7E" w:rsidRPr="00056DFA" w:rsidRDefault="00855A7E" w:rsidP="00855A7E">
      <w:pPr>
        <w:tabs>
          <w:tab w:val="left" w:pos="567"/>
        </w:tabs>
        <w:spacing w:before="0" w:after="0"/>
        <w:jc w:val="both"/>
        <w:rPr>
          <w:rFonts w:eastAsia="Verdana"/>
          <w:noProof/>
          <w:color w:val="000000"/>
          <w:sz w:val="24"/>
          <w:szCs w:val="24"/>
        </w:rPr>
      </w:pPr>
      <w:r w:rsidRPr="00056DFA">
        <w:rPr>
          <w:rFonts w:eastAsia="Verdana"/>
          <w:b/>
          <w:noProof/>
          <w:color w:val="000000"/>
          <w:sz w:val="24"/>
          <w:szCs w:val="24"/>
        </w:rPr>
        <w:t xml:space="preserve">За изпълнението на БП </w:t>
      </w:r>
      <w:r w:rsidRPr="00056DFA">
        <w:rPr>
          <w:rFonts w:eastAsia="Verdana"/>
          <w:b/>
          <w:color w:val="000000"/>
          <w:sz w:val="24"/>
          <w:szCs w:val="24"/>
        </w:rPr>
        <w:t>„Устойчиво енергийно развитие”</w:t>
      </w:r>
      <w:r w:rsidRPr="00056DFA">
        <w:rPr>
          <w:rFonts w:eastAsia="Verdana"/>
          <w:color w:val="000000"/>
          <w:sz w:val="24"/>
          <w:szCs w:val="24"/>
        </w:rPr>
        <w:t xml:space="preserve"> са изразходвани 1</w:t>
      </w:r>
      <w:r w:rsidR="005341C3">
        <w:rPr>
          <w:rFonts w:eastAsia="Verdana"/>
          <w:color w:val="000000"/>
          <w:sz w:val="24"/>
          <w:szCs w:val="24"/>
        </w:rPr>
        <w:t>,</w:t>
      </w:r>
      <w:r w:rsidRPr="00056DFA">
        <w:rPr>
          <w:rFonts w:eastAsia="Verdana"/>
          <w:color w:val="000000"/>
          <w:sz w:val="24"/>
          <w:szCs w:val="24"/>
        </w:rPr>
        <w:t>7</w:t>
      </w:r>
      <w:r w:rsidR="005341C3">
        <w:rPr>
          <w:rFonts w:eastAsia="Verdana"/>
          <w:color w:val="000000"/>
          <w:sz w:val="24"/>
          <w:szCs w:val="24"/>
        </w:rPr>
        <w:t xml:space="preserve"> млн.</w:t>
      </w:r>
      <w:r w:rsidRPr="00056DFA">
        <w:rPr>
          <w:rFonts w:eastAsia="Verdana"/>
          <w:color w:val="000000"/>
          <w:sz w:val="24"/>
          <w:szCs w:val="24"/>
        </w:rPr>
        <w:t xml:space="preserve">лв., с които е осигурено финансирането на </w:t>
      </w:r>
      <w:r w:rsidRPr="00056DFA">
        <w:rPr>
          <w:rFonts w:eastAsia="Verdana"/>
          <w:noProof/>
          <w:color w:val="000000"/>
          <w:sz w:val="24"/>
          <w:szCs w:val="24"/>
        </w:rPr>
        <w:t>поставените за изпълнение цели, за които са предприети и реализирани следните по важни дейности:</w:t>
      </w:r>
    </w:p>
    <w:p w:rsidR="00855A7E" w:rsidRPr="00056DFA" w:rsidRDefault="005341C3" w:rsidP="005341C3">
      <w:pPr>
        <w:tabs>
          <w:tab w:val="left" w:pos="426"/>
          <w:tab w:val="left" w:pos="993"/>
          <w:tab w:val="left" w:pos="1134"/>
        </w:tabs>
        <w:spacing w:before="0" w:after="0"/>
        <w:ind w:left="567" w:firstLine="0"/>
        <w:jc w:val="both"/>
        <w:rPr>
          <w:rFonts w:eastAsia="Calibri"/>
          <w:sz w:val="24"/>
          <w:szCs w:val="24"/>
          <w:lang w:eastAsia="en-US"/>
        </w:rPr>
      </w:pPr>
      <w:r>
        <w:rPr>
          <w:rFonts w:eastAsia="Calibri"/>
          <w:sz w:val="24"/>
          <w:szCs w:val="24"/>
          <w:lang w:eastAsia="en-US"/>
        </w:rPr>
        <w:t xml:space="preserve">1. </w:t>
      </w:r>
      <w:r w:rsidR="00855A7E" w:rsidRPr="00056DFA">
        <w:rPr>
          <w:rFonts w:eastAsia="Calibri"/>
          <w:sz w:val="24"/>
          <w:szCs w:val="24"/>
          <w:lang w:eastAsia="en-US"/>
        </w:rPr>
        <w:t>Мониторинг на Енергийната стратегия на Република България до 2020 г.;</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2. </w:t>
      </w:r>
      <w:r w:rsidR="00855A7E" w:rsidRPr="00056DFA">
        <w:rPr>
          <w:rFonts w:eastAsia="Calibri"/>
          <w:sz w:val="24"/>
          <w:szCs w:val="24"/>
          <w:lang w:eastAsia="en-US"/>
        </w:rPr>
        <w:t>Актуализиране на съществуващата Енергийна стратегия на Република България до 2020 г. с удължаване срока на действието й до 2030 г. и с хоризонт до 2050 г.;</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3. </w:t>
      </w:r>
      <w:r w:rsidR="00855A7E" w:rsidRPr="00056DFA">
        <w:rPr>
          <w:rFonts w:eastAsia="Calibri"/>
          <w:sz w:val="24"/>
          <w:szCs w:val="24"/>
          <w:lang w:eastAsia="en-US"/>
        </w:rPr>
        <w:t>Ефективна защита на националните интереси, свързани с компетенциите на дирекцията, в процеса на развитие на енергийната политика и законодателството на ЕС;</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4. </w:t>
      </w:r>
      <w:r w:rsidR="00855A7E" w:rsidRPr="00056DFA">
        <w:rPr>
          <w:rFonts w:eastAsia="Calibri"/>
          <w:sz w:val="24"/>
          <w:szCs w:val="24"/>
          <w:lang w:eastAsia="en-US"/>
        </w:rPr>
        <w:t>Навременно изпълнение на ангажиментите в областта на енергетиката, произтичащи от членството в ЕС;</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5. </w:t>
      </w:r>
      <w:r w:rsidR="00855A7E" w:rsidRPr="00056DFA">
        <w:rPr>
          <w:rFonts w:eastAsia="Calibri"/>
          <w:sz w:val="24"/>
          <w:szCs w:val="24"/>
          <w:lang w:eastAsia="en-US"/>
        </w:rPr>
        <w:t>Развитие на напълно конкурентен вътрешен пазар на електрическа енергия и на природен газ;</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6. </w:t>
      </w:r>
      <w:r w:rsidR="00855A7E" w:rsidRPr="00056DFA">
        <w:rPr>
          <w:rFonts w:eastAsia="Calibri"/>
          <w:sz w:val="24"/>
          <w:szCs w:val="24"/>
          <w:lang w:eastAsia="en-US"/>
        </w:rPr>
        <w:t>Интегриране на националните пазари на електрическа енергия и природен газ в регионалните и в общоевропейския енергиен пазар;</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lastRenderedPageBreak/>
        <w:t xml:space="preserve">7. </w:t>
      </w:r>
      <w:r w:rsidR="00855A7E" w:rsidRPr="00056DFA">
        <w:rPr>
          <w:rFonts w:eastAsia="Calibri"/>
          <w:sz w:val="24"/>
          <w:szCs w:val="24"/>
          <w:lang w:eastAsia="en-US"/>
        </w:rPr>
        <w:t xml:space="preserve">Развитие на енергията от ВИ съгласно предвижданията в Националния план за действие за енергията от </w:t>
      </w:r>
      <w:proofErr w:type="spellStart"/>
      <w:r w:rsidR="00855A7E" w:rsidRPr="00056DFA">
        <w:rPr>
          <w:rFonts w:eastAsia="Calibri"/>
          <w:sz w:val="24"/>
          <w:szCs w:val="24"/>
          <w:lang w:eastAsia="en-US"/>
        </w:rPr>
        <w:t>възобновяеми</w:t>
      </w:r>
      <w:proofErr w:type="spellEnd"/>
      <w:r w:rsidR="00855A7E" w:rsidRPr="00056DFA">
        <w:rPr>
          <w:rFonts w:eastAsia="Calibri"/>
          <w:sz w:val="24"/>
          <w:szCs w:val="24"/>
          <w:lang w:eastAsia="en-US"/>
        </w:rPr>
        <w:t xml:space="preserve"> източници за постигане на националната задължителна цел за България от 16 % дял на енергията от ВИ в</w:t>
      </w:r>
      <w:r w:rsidR="00855A7E" w:rsidRPr="005341C3">
        <w:rPr>
          <w:rFonts w:eastAsia="Calibri"/>
          <w:sz w:val="24"/>
          <w:szCs w:val="24"/>
          <w:lang w:eastAsia="en-US"/>
        </w:rPr>
        <w:t xml:space="preserve"> </w:t>
      </w:r>
      <w:r w:rsidR="00855A7E" w:rsidRPr="00056DFA">
        <w:rPr>
          <w:rFonts w:eastAsia="Calibri"/>
          <w:sz w:val="24"/>
          <w:szCs w:val="24"/>
          <w:lang w:eastAsia="en-US"/>
        </w:rPr>
        <w:t>брутното крайно потребление на енергия до 2020 г., включваща задължителен 10 % дял на енергията от ВИ в транспорта</w:t>
      </w:r>
      <w:r w:rsidR="00855A7E" w:rsidRPr="005341C3">
        <w:rPr>
          <w:rFonts w:eastAsia="Calibri"/>
          <w:sz w:val="24"/>
          <w:szCs w:val="24"/>
          <w:lang w:eastAsia="en-US"/>
        </w:rPr>
        <w:t>;</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8. </w:t>
      </w:r>
      <w:r w:rsidR="00855A7E" w:rsidRPr="00056DFA">
        <w:rPr>
          <w:rFonts w:eastAsia="Calibri"/>
          <w:sz w:val="24"/>
          <w:szCs w:val="24"/>
          <w:lang w:eastAsia="en-US"/>
        </w:rPr>
        <w:t xml:space="preserve">Определяне на национална цел за минимално потребление на </w:t>
      </w:r>
      <w:proofErr w:type="spellStart"/>
      <w:r w:rsidR="00855A7E" w:rsidRPr="00056DFA">
        <w:rPr>
          <w:rFonts w:eastAsia="Calibri"/>
          <w:sz w:val="24"/>
          <w:szCs w:val="24"/>
          <w:lang w:eastAsia="en-US"/>
        </w:rPr>
        <w:t>биогорива</w:t>
      </w:r>
      <w:proofErr w:type="spellEnd"/>
      <w:r w:rsidR="00855A7E" w:rsidRPr="00056DFA">
        <w:rPr>
          <w:rFonts w:eastAsia="Calibri"/>
          <w:sz w:val="24"/>
          <w:szCs w:val="24"/>
          <w:lang w:eastAsia="en-US"/>
        </w:rPr>
        <w:t xml:space="preserve"> от ново поколение съгласно Директива 2015/1513/ЕО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ВИ и формулиране на мерки за постигането й;</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9. </w:t>
      </w:r>
      <w:r w:rsidR="00855A7E" w:rsidRPr="00056DFA">
        <w:rPr>
          <w:rFonts w:eastAsia="Calibri"/>
          <w:sz w:val="24"/>
          <w:szCs w:val="24"/>
          <w:lang w:eastAsia="en-US"/>
        </w:rPr>
        <w:t xml:space="preserve">Реализиране на енергийни спестявания в крайното енергийно потребление до 2020 г. в размер на 716 </w:t>
      </w:r>
      <w:proofErr w:type="spellStart"/>
      <w:r w:rsidR="00855A7E" w:rsidRPr="005341C3">
        <w:rPr>
          <w:rFonts w:eastAsia="Calibri"/>
          <w:sz w:val="24"/>
          <w:szCs w:val="24"/>
          <w:lang w:eastAsia="en-US"/>
        </w:rPr>
        <w:t>ktoе</w:t>
      </w:r>
      <w:proofErr w:type="spellEnd"/>
      <w:r w:rsidR="00855A7E" w:rsidRPr="00056DFA">
        <w:rPr>
          <w:rFonts w:eastAsia="Calibri"/>
          <w:sz w:val="24"/>
          <w:szCs w:val="24"/>
          <w:lang w:eastAsia="en-US"/>
        </w:rPr>
        <w:t>, определени в Националния план за действие по енергийна ефективност 2014-2020 г., в съответствие с изискванията на Директива 2012/27/ЕС относно енергийната ефективност;</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10. </w:t>
      </w:r>
      <w:r w:rsidR="00855A7E" w:rsidRPr="00056DFA">
        <w:rPr>
          <w:rFonts w:eastAsia="Calibri"/>
          <w:sz w:val="24"/>
          <w:szCs w:val="24"/>
          <w:lang w:eastAsia="en-US"/>
        </w:rPr>
        <w:t xml:space="preserve">Постигане на енергийни спестявания в първичното енергийно потребление до 2020 г. – 1590 </w:t>
      </w:r>
      <w:proofErr w:type="spellStart"/>
      <w:r w:rsidR="00855A7E" w:rsidRPr="005341C3">
        <w:rPr>
          <w:rFonts w:eastAsia="Calibri"/>
          <w:sz w:val="24"/>
          <w:szCs w:val="24"/>
          <w:lang w:eastAsia="en-US"/>
        </w:rPr>
        <w:t>ktoe</w:t>
      </w:r>
      <w:proofErr w:type="spellEnd"/>
      <w:r w:rsidR="00855A7E" w:rsidRPr="00056DFA">
        <w:rPr>
          <w:rFonts w:eastAsia="Calibri"/>
          <w:sz w:val="24"/>
          <w:szCs w:val="24"/>
          <w:lang w:eastAsia="en-US"/>
        </w:rPr>
        <w:t>, определени в Националния план за действие по енергийна ефективност 2014-2020 г., в съответствие с изискванията на Директива 2012/27/ЕС относно енергийната ефективност</w:t>
      </w:r>
      <w:r w:rsidR="00855A7E" w:rsidRPr="005341C3">
        <w:rPr>
          <w:rFonts w:eastAsia="Calibri"/>
          <w:sz w:val="24"/>
          <w:szCs w:val="24"/>
          <w:lang w:eastAsia="en-US"/>
        </w:rPr>
        <w:t>;</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11. </w:t>
      </w:r>
      <w:r w:rsidR="00855A7E" w:rsidRPr="00056DFA">
        <w:rPr>
          <w:rFonts w:eastAsia="Calibri"/>
          <w:sz w:val="24"/>
          <w:szCs w:val="24"/>
          <w:lang w:eastAsia="en-US"/>
        </w:rPr>
        <w:t>Ограничаване вредното влияние върху околната среда от производството на енергия, чрез повишаване на ЕЕ и използването на енергия от ВИ;</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12. </w:t>
      </w:r>
      <w:r w:rsidR="00855A7E" w:rsidRPr="00056DFA">
        <w:rPr>
          <w:rFonts w:eastAsia="Calibri"/>
          <w:sz w:val="24"/>
          <w:szCs w:val="24"/>
          <w:lang w:eastAsia="en-US"/>
        </w:rPr>
        <w:t>Създаване на условия за постигане на устойчиво енергийно развитие на регионално и местно ниво;</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13. </w:t>
      </w:r>
      <w:r w:rsidR="00855A7E" w:rsidRPr="00056DFA">
        <w:rPr>
          <w:rFonts w:eastAsia="Calibri"/>
          <w:sz w:val="24"/>
          <w:szCs w:val="24"/>
          <w:lang w:eastAsia="en-US"/>
        </w:rPr>
        <w:t>Определяне на дългосрочните национални цели за развитието на енергийния сектор за 2030 г., в съответствие с приоритетите в енергийната политика на ЕС;</w:t>
      </w:r>
    </w:p>
    <w:p w:rsidR="00855A7E" w:rsidRPr="00056DFA" w:rsidRDefault="005341C3" w:rsidP="005341C3">
      <w:pPr>
        <w:tabs>
          <w:tab w:val="left" w:pos="0"/>
          <w:tab w:val="left" w:pos="993"/>
          <w:tab w:val="left" w:pos="1134"/>
        </w:tabs>
        <w:spacing w:before="0" w:after="0"/>
        <w:jc w:val="both"/>
        <w:rPr>
          <w:rFonts w:eastAsia="Calibri"/>
          <w:sz w:val="24"/>
          <w:szCs w:val="24"/>
          <w:lang w:eastAsia="en-US"/>
        </w:rPr>
      </w:pPr>
      <w:r>
        <w:rPr>
          <w:rFonts w:eastAsia="Calibri"/>
          <w:sz w:val="24"/>
          <w:szCs w:val="24"/>
          <w:lang w:eastAsia="en-US"/>
        </w:rPr>
        <w:t xml:space="preserve">14. </w:t>
      </w:r>
      <w:r w:rsidR="00855A7E" w:rsidRPr="00056DFA">
        <w:rPr>
          <w:rFonts w:eastAsia="Calibri"/>
          <w:sz w:val="24"/>
          <w:szCs w:val="24"/>
          <w:lang w:eastAsia="en-US"/>
        </w:rPr>
        <w:t>Изготвяне на Национален план в областта на енергетиката и климата в рамките на управлението на Енергийния съюз.</w:t>
      </w:r>
    </w:p>
    <w:p w:rsidR="00855A7E" w:rsidRPr="00056DFA" w:rsidRDefault="00855A7E" w:rsidP="00855A7E">
      <w:pPr>
        <w:tabs>
          <w:tab w:val="left" w:pos="567"/>
        </w:tabs>
        <w:spacing w:before="0" w:after="0"/>
        <w:jc w:val="both"/>
        <w:rPr>
          <w:rFonts w:eastAsia="Verdana"/>
          <w:color w:val="000000"/>
          <w:sz w:val="24"/>
          <w:szCs w:val="24"/>
        </w:rPr>
      </w:pPr>
      <w:r w:rsidRPr="00056DFA">
        <w:rPr>
          <w:rFonts w:eastAsia="Verdana"/>
          <w:b/>
          <w:noProof/>
          <w:color w:val="000000"/>
          <w:sz w:val="24"/>
          <w:szCs w:val="24"/>
        </w:rPr>
        <w:t xml:space="preserve">За изпълнението на БП </w:t>
      </w:r>
      <w:r w:rsidRPr="00056DFA">
        <w:rPr>
          <w:rFonts w:eastAsia="Verdana"/>
          <w:b/>
          <w:color w:val="000000"/>
          <w:sz w:val="24"/>
          <w:szCs w:val="24"/>
        </w:rPr>
        <w:t xml:space="preserve">„Подобряване на процесите на </w:t>
      </w:r>
      <w:proofErr w:type="spellStart"/>
      <w:r w:rsidRPr="00056DFA">
        <w:rPr>
          <w:rFonts w:eastAsia="Verdana"/>
          <w:b/>
          <w:color w:val="000000"/>
          <w:sz w:val="24"/>
          <w:szCs w:val="24"/>
        </w:rPr>
        <w:t>концесиониране</w:t>
      </w:r>
      <w:proofErr w:type="spellEnd"/>
      <w:r w:rsidRPr="00056DFA">
        <w:rPr>
          <w:rFonts w:eastAsia="Verdana"/>
          <w:b/>
          <w:color w:val="000000"/>
          <w:sz w:val="24"/>
          <w:szCs w:val="24"/>
        </w:rPr>
        <w:t xml:space="preserve"> и управление на подземните богатства и геоложките изследвания”</w:t>
      </w:r>
      <w:r w:rsidRPr="00056DFA">
        <w:rPr>
          <w:rFonts w:eastAsia="Verdana"/>
          <w:color w:val="000000"/>
          <w:sz w:val="24"/>
          <w:szCs w:val="24"/>
        </w:rPr>
        <w:t xml:space="preserve"> са изразходвани 1</w:t>
      </w:r>
      <w:r w:rsidR="005341C3">
        <w:rPr>
          <w:rFonts w:eastAsia="Verdana"/>
          <w:color w:val="000000"/>
          <w:sz w:val="24"/>
          <w:szCs w:val="24"/>
        </w:rPr>
        <w:t>,7</w:t>
      </w:r>
      <w:r w:rsidRPr="00056DFA">
        <w:rPr>
          <w:rFonts w:eastAsia="Verdana"/>
          <w:color w:val="000000"/>
          <w:sz w:val="24"/>
          <w:szCs w:val="24"/>
        </w:rPr>
        <w:t xml:space="preserve"> </w:t>
      </w:r>
      <w:r w:rsidR="005341C3">
        <w:rPr>
          <w:rFonts w:eastAsia="Verdana"/>
          <w:color w:val="000000"/>
          <w:sz w:val="24"/>
          <w:szCs w:val="24"/>
        </w:rPr>
        <w:t>млн.</w:t>
      </w:r>
      <w:r w:rsidRPr="00056DFA">
        <w:rPr>
          <w:rFonts w:eastAsia="Verdana"/>
          <w:color w:val="000000"/>
          <w:sz w:val="24"/>
          <w:szCs w:val="24"/>
        </w:rPr>
        <w:t>лв.</w:t>
      </w:r>
    </w:p>
    <w:p w:rsidR="00855A7E" w:rsidRPr="00056DFA" w:rsidRDefault="00855A7E" w:rsidP="00855A7E">
      <w:pPr>
        <w:autoSpaceDE w:val="0"/>
        <w:autoSpaceDN w:val="0"/>
        <w:adjustRightInd w:val="0"/>
        <w:spacing w:before="0" w:after="0"/>
        <w:jc w:val="both"/>
        <w:rPr>
          <w:color w:val="000000"/>
          <w:sz w:val="24"/>
          <w:szCs w:val="24"/>
        </w:rPr>
      </w:pPr>
      <w:r w:rsidRPr="00056DFA">
        <w:rPr>
          <w:color w:val="000000"/>
          <w:sz w:val="24"/>
          <w:szCs w:val="24"/>
        </w:rPr>
        <w:t>Програмата се разработва и изпълнява в съответствие с Енергийната стратегия на Р. България, Закона за енергетиката, Закона за концесиите, Закона за подземните богатства, Закона за приватизация и следприватизационен контрол,</w:t>
      </w:r>
      <w:r w:rsidRPr="00056DFA">
        <w:rPr>
          <w:color w:val="000000"/>
          <w:sz w:val="24"/>
          <w:szCs w:val="24"/>
          <w:lang w:val="ru-RU"/>
        </w:rPr>
        <w:t xml:space="preserve"> </w:t>
      </w:r>
      <w:r w:rsidRPr="00056DFA">
        <w:rPr>
          <w:color w:val="000000"/>
          <w:sz w:val="24"/>
          <w:szCs w:val="24"/>
        </w:rPr>
        <w:t>Решения на Министерския съвет и други.</w:t>
      </w:r>
    </w:p>
    <w:p w:rsidR="00855A7E" w:rsidRPr="00056DFA" w:rsidRDefault="00855A7E" w:rsidP="00855A7E">
      <w:pPr>
        <w:autoSpaceDE w:val="0"/>
        <w:autoSpaceDN w:val="0"/>
        <w:adjustRightInd w:val="0"/>
        <w:spacing w:before="0" w:after="0"/>
        <w:jc w:val="both"/>
        <w:rPr>
          <w:color w:val="000000"/>
          <w:sz w:val="24"/>
          <w:szCs w:val="24"/>
          <w:lang w:val="ru-RU"/>
        </w:rPr>
      </w:pPr>
      <w:r w:rsidRPr="00056DFA">
        <w:rPr>
          <w:color w:val="000000"/>
          <w:sz w:val="24"/>
          <w:szCs w:val="24"/>
        </w:rPr>
        <w:t>1. Предоставяне на разрешения за търсене и проучване и на концесии за добив на подземни богатства;</w:t>
      </w:r>
    </w:p>
    <w:p w:rsidR="00855A7E" w:rsidRPr="00056DFA" w:rsidRDefault="00855A7E" w:rsidP="00855A7E">
      <w:pPr>
        <w:autoSpaceDE w:val="0"/>
        <w:autoSpaceDN w:val="0"/>
        <w:adjustRightInd w:val="0"/>
        <w:spacing w:before="0" w:after="0"/>
        <w:jc w:val="both"/>
        <w:rPr>
          <w:color w:val="000000"/>
          <w:sz w:val="24"/>
          <w:szCs w:val="24"/>
          <w:lang w:val="ru-RU"/>
        </w:rPr>
      </w:pPr>
      <w:r w:rsidRPr="00056DFA">
        <w:rPr>
          <w:color w:val="000000"/>
          <w:sz w:val="24"/>
          <w:szCs w:val="24"/>
        </w:rPr>
        <w:t>2. Осъществяване на контрол по изпълнението на действащите концесионни договори и договори за търсене и проучване и за проучване;</w:t>
      </w:r>
    </w:p>
    <w:p w:rsidR="00855A7E" w:rsidRPr="00056DFA" w:rsidRDefault="00855A7E" w:rsidP="00855A7E">
      <w:pPr>
        <w:autoSpaceDE w:val="0"/>
        <w:autoSpaceDN w:val="0"/>
        <w:adjustRightInd w:val="0"/>
        <w:spacing w:before="0" w:after="0"/>
        <w:jc w:val="both"/>
        <w:rPr>
          <w:strike/>
          <w:color w:val="000000"/>
          <w:sz w:val="24"/>
          <w:szCs w:val="24"/>
        </w:rPr>
      </w:pPr>
      <w:r w:rsidRPr="00056DFA">
        <w:rPr>
          <w:color w:val="000000"/>
          <w:sz w:val="24"/>
          <w:szCs w:val="24"/>
        </w:rPr>
        <w:t>3. Издаване на удостоверения за геоложки/ търговски открития</w:t>
      </w:r>
    </w:p>
    <w:p w:rsidR="00855A7E" w:rsidRPr="00056DFA" w:rsidRDefault="00855A7E" w:rsidP="00855A7E">
      <w:pPr>
        <w:spacing w:before="0" w:after="0"/>
        <w:jc w:val="both"/>
        <w:rPr>
          <w:color w:val="000000"/>
          <w:sz w:val="24"/>
          <w:szCs w:val="24"/>
        </w:rPr>
      </w:pPr>
      <w:r w:rsidRPr="00056DFA">
        <w:rPr>
          <w:color w:val="000000"/>
          <w:sz w:val="24"/>
          <w:szCs w:val="24"/>
        </w:rPr>
        <w:t>Поставени цели се изпълняват.</w:t>
      </w:r>
    </w:p>
    <w:p w:rsidR="00855A7E" w:rsidRPr="00056DFA" w:rsidRDefault="00855A7E" w:rsidP="00855A7E">
      <w:pPr>
        <w:tabs>
          <w:tab w:val="left" w:pos="567"/>
        </w:tabs>
        <w:spacing w:before="0" w:after="0"/>
        <w:jc w:val="both"/>
        <w:rPr>
          <w:rFonts w:eastAsia="Verdana"/>
          <w:b/>
          <w:noProof/>
          <w:color w:val="000000"/>
          <w:sz w:val="24"/>
          <w:szCs w:val="24"/>
        </w:rPr>
      </w:pPr>
      <w:r w:rsidRPr="00056DFA">
        <w:rPr>
          <w:rFonts w:eastAsia="Verdana"/>
          <w:b/>
          <w:noProof/>
          <w:color w:val="000000"/>
          <w:sz w:val="24"/>
          <w:szCs w:val="24"/>
        </w:rPr>
        <w:t xml:space="preserve">За изпълнението на БП </w:t>
      </w:r>
      <w:r w:rsidRPr="00056DFA">
        <w:rPr>
          <w:rFonts w:eastAsia="Verdana"/>
          <w:b/>
          <w:color w:val="000000"/>
          <w:sz w:val="24"/>
          <w:szCs w:val="24"/>
        </w:rPr>
        <w:t>„Администрация”</w:t>
      </w:r>
      <w:r w:rsidRPr="00056DFA">
        <w:rPr>
          <w:rFonts w:eastAsia="Verdana"/>
          <w:color w:val="000000"/>
          <w:sz w:val="24"/>
          <w:szCs w:val="24"/>
        </w:rPr>
        <w:t xml:space="preserve"> са изразходвани 3</w:t>
      </w:r>
      <w:r w:rsidR="005341C3">
        <w:rPr>
          <w:rFonts w:eastAsia="Verdana"/>
          <w:color w:val="000000"/>
          <w:sz w:val="24"/>
          <w:szCs w:val="24"/>
        </w:rPr>
        <w:t>,4 млн.</w:t>
      </w:r>
      <w:r w:rsidRPr="00056DFA">
        <w:rPr>
          <w:rFonts w:eastAsia="Verdana"/>
          <w:color w:val="000000"/>
          <w:sz w:val="24"/>
          <w:szCs w:val="24"/>
        </w:rPr>
        <w:t>лв.</w:t>
      </w:r>
    </w:p>
    <w:bookmarkEnd w:id="16"/>
    <w:bookmarkEnd w:id="17"/>
    <w:bookmarkEnd w:id="18"/>
    <w:p w:rsidR="00855A7E" w:rsidRPr="00056DFA" w:rsidRDefault="00855A7E" w:rsidP="00855A7E">
      <w:pPr>
        <w:tabs>
          <w:tab w:val="left" w:pos="709"/>
          <w:tab w:val="left" w:pos="9498"/>
          <w:tab w:val="left" w:pos="9639"/>
        </w:tabs>
        <w:spacing w:before="0" w:after="0"/>
        <w:jc w:val="both"/>
        <w:rPr>
          <w:rFonts w:eastAsiaTheme="minorHAnsi"/>
          <w:sz w:val="24"/>
          <w:szCs w:val="24"/>
          <w:lang w:eastAsia="pl-PL"/>
        </w:rPr>
      </w:pPr>
      <w:r w:rsidRPr="00056DFA">
        <w:rPr>
          <w:rFonts w:eastAsiaTheme="minorHAnsi"/>
          <w:sz w:val="24"/>
          <w:szCs w:val="24"/>
          <w:lang w:eastAsia="pl-PL"/>
        </w:rPr>
        <w:t xml:space="preserve">В бюджетна програма „Администрация” </w:t>
      </w:r>
      <w:r w:rsidRPr="00056DFA">
        <w:rPr>
          <w:rFonts w:eastAsiaTheme="minorHAnsi"/>
          <w:sz w:val="24"/>
          <w:szCs w:val="24"/>
          <w:lang w:val="pl-PL" w:eastAsia="pl-PL"/>
        </w:rPr>
        <w:t xml:space="preserve">са включени дейностите, които подпомагат изпълнението на </w:t>
      </w:r>
      <w:r w:rsidRPr="00056DFA">
        <w:rPr>
          <w:rFonts w:eastAsiaTheme="minorHAnsi"/>
          <w:sz w:val="24"/>
          <w:szCs w:val="24"/>
          <w:lang w:eastAsia="pl-PL"/>
        </w:rPr>
        <w:t>четирите</w:t>
      </w:r>
      <w:r w:rsidRPr="00056DFA">
        <w:rPr>
          <w:rFonts w:eastAsiaTheme="minorHAnsi"/>
          <w:sz w:val="24"/>
          <w:szCs w:val="24"/>
          <w:lang w:val="pl-PL" w:eastAsia="pl-PL"/>
        </w:rPr>
        <w:t xml:space="preserve"> програми </w:t>
      </w:r>
      <w:r w:rsidRPr="00056DFA">
        <w:rPr>
          <w:rFonts w:eastAsiaTheme="minorHAnsi"/>
          <w:sz w:val="24"/>
          <w:szCs w:val="24"/>
          <w:lang w:eastAsia="pl-PL"/>
        </w:rPr>
        <w:t xml:space="preserve">на политиката </w:t>
      </w:r>
      <w:r w:rsidRPr="00056DFA">
        <w:rPr>
          <w:rFonts w:eastAsiaTheme="minorHAnsi"/>
          <w:sz w:val="24"/>
          <w:szCs w:val="24"/>
          <w:lang w:val="pl-PL" w:eastAsia="pl-PL"/>
        </w:rPr>
        <w:t xml:space="preserve">за постигането на стратегическите цели на </w:t>
      </w:r>
      <w:r w:rsidRPr="00056DFA">
        <w:rPr>
          <w:rFonts w:eastAsiaTheme="minorHAnsi"/>
          <w:sz w:val="24"/>
          <w:szCs w:val="24"/>
          <w:lang w:eastAsia="pl-PL"/>
        </w:rPr>
        <w:t>Министерство на енергетиката</w:t>
      </w:r>
      <w:r w:rsidRPr="00056DFA">
        <w:rPr>
          <w:rFonts w:eastAsiaTheme="minorHAnsi"/>
          <w:sz w:val="24"/>
          <w:szCs w:val="24"/>
          <w:lang w:val="pl-PL" w:eastAsia="pl-PL"/>
        </w:rPr>
        <w:t xml:space="preserve">. </w:t>
      </w:r>
    </w:p>
    <w:p w:rsidR="00855A7E" w:rsidRPr="00056DFA" w:rsidRDefault="00855A7E" w:rsidP="00855A7E">
      <w:pPr>
        <w:autoSpaceDE w:val="0"/>
        <w:autoSpaceDN w:val="0"/>
        <w:adjustRightInd w:val="0"/>
        <w:spacing w:before="0" w:after="0"/>
        <w:jc w:val="both"/>
        <w:rPr>
          <w:sz w:val="24"/>
          <w:szCs w:val="24"/>
          <w:lang w:eastAsia="en-US"/>
        </w:rPr>
      </w:pPr>
      <w:r w:rsidRPr="00056DFA">
        <w:rPr>
          <w:sz w:val="24"/>
          <w:szCs w:val="24"/>
          <w:lang w:eastAsia="en-US"/>
        </w:rPr>
        <w:t xml:space="preserve">Основна цел на програмата е подобряване държавното управление в областта на енергетиката и повишаване готовността на страната за превенция, работа при кризисни ситуации и военно време, постигане на по-високи нива на сигурност и подобряване защитата на обектите от енергетиката в съответствие с европейското законодателство, както и предотвратяване нарушаването или унищожаването на инфраструктури от енергетиката и предотвратяване на значителни трансгранични последици (пострадали, икономически последици, обществени последици); повишаване професионалните </w:t>
      </w:r>
      <w:r w:rsidRPr="00056DFA">
        <w:rPr>
          <w:sz w:val="24"/>
          <w:szCs w:val="24"/>
          <w:lang w:eastAsia="en-US"/>
        </w:rPr>
        <w:lastRenderedPageBreak/>
        <w:t>умения на администрацията на министерството и на служителите в търговски дружества за работа при кризисни ситуации и във военно време.</w:t>
      </w:r>
    </w:p>
    <w:p w:rsidR="00855A7E" w:rsidRDefault="00855A7E" w:rsidP="00855A7E">
      <w:pPr>
        <w:spacing w:before="0" w:after="0"/>
        <w:jc w:val="both"/>
        <w:rPr>
          <w:sz w:val="24"/>
          <w:szCs w:val="24"/>
        </w:rPr>
      </w:pPr>
    </w:p>
    <w:p w:rsidR="00855A7E" w:rsidRDefault="00855A7E" w:rsidP="00855A7E">
      <w:pPr>
        <w:spacing w:before="0" w:after="0"/>
        <w:jc w:val="both"/>
        <w:rPr>
          <w:sz w:val="24"/>
          <w:szCs w:val="24"/>
        </w:rPr>
      </w:pPr>
    </w:p>
    <w:p w:rsidR="00855A7E" w:rsidRPr="00650A52" w:rsidRDefault="00855A7E" w:rsidP="00855A7E">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21" w:name="_Toc523492635"/>
      <w:r w:rsidRPr="00650A52">
        <w:rPr>
          <w:rFonts w:ascii="Times New Roman" w:eastAsia="Batang" w:hAnsi="Times New Roman" w:cs="Times New Roman"/>
          <w:b/>
          <w:bCs/>
          <w:caps/>
          <w:lang w:val="bg-BG" w:eastAsia="ko-KR"/>
        </w:rPr>
        <w:t>Министерство на икономиката</w:t>
      </w:r>
      <w:bookmarkEnd w:id="21"/>
    </w:p>
    <w:p w:rsidR="00855A7E" w:rsidRPr="00056DFA" w:rsidRDefault="00855A7E" w:rsidP="00855A7E">
      <w:pPr>
        <w:spacing w:before="0" w:after="0"/>
        <w:jc w:val="both"/>
        <w:rPr>
          <w:b/>
          <w:i/>
          <w:sz w:val="24"/>
          <w:szCs w:val="24"/>
        </w:rPr>
      </w:pPr>
      <w:r w:rsidRPr="00056DFA">
        <w:rPr>
          <w:b/>
          <w:i/>
          <w:sz w:val="24"/>
          <w:szCs w:val="24"/>
        </w:rPr>
        <w:t>Политика в областта на устойчивото икономическо развитие и конкурентоспособност</w:t>
      </w:r>
    </w:p>
    <w:p w:rsidR="00855A7E" w:rsidRPr="00056DFA" w:rsidRDefault="00855A7E" w:rsidP="00855A7E">
      <w:pPr>
        <w:spacing w:before="0" w:after="0"/>
        <w:jc w:val="both"/>
        <w:rPr>
          <w:b/>
          <w:sz w:val="24"/>
          <w:szCs w:val="24"/>
        </w:rPr>
      </w:pPr>
      <w:r w:rsidRPr="00056DFA">
        <w:rPr>
          <w:b/>
          <w:sz w:val="24"/>
          <w:szCs w:val="24"/>
        </w:rPr>
        <w:t>Бюджетна програма „Облекчаване на регулации, опростяване на процедури по предоставяне на административни услуги”</w:t>
      </w:r>
    </w:p>
    <w:p w:rsidR="00855A7E" w:rsidRPr="00BF123C" w:rsidRDefault="00855A7E" w:rsidP="00855A7E">
      <w:pPr>
        <w:spacing w:before="0" w:after="0"/>
        <w:jc w:val="both"/>
        <w:rPr>
          <w:b/>
          <w:sz w:val="24"/>
          <w:szCs w:val="24"/>
        </w:rPr>
      </w:pPr>
      <w:r w:rsidRPr="00056DFA">
        <w:rPr>
          <w:sz w:val="24"/>
          <w:szCs w:val="24"/>
        </w:rPr>
        <w:t>За постигане на целите на програмата ефикасно се прилагат утвърдените процедури за предоставян</w:t>
      </w:r>
      <w:r w:rsidR="00D87E05">
        <w:rPr>
          <w:sz w:val="24"/>
          <w:szCs w:val="24"/>
        </w:rPr>
        <w:t>е на услуги с високо качество.</w:t>
      </w:r>
    </w:p>
    <w:p w:rsidR="00855A7E" w:rsidRPr="00056DFA" w:rsidRDefault="00855A7E" w:rsidP="00855A7E">
      <w:pPr>
        <w:spacing w:before="0" w:after="0"/>
        <w:jc w:val="both"/>
        <w:rPr>
          <w:iCs/>
          <w:sz w:val="24"/>
          <w:szCs w:val="24"/>
        </w:rPr>
      </w:pPr>
      <w:r w:rsidRPr="00056DFA">
        <w:rPr>
          <w:iCs/>
          <w:sz w:val="24"/>
          <w:szCs w:val="24"/>
        </w:rPr>
        <w:t>През 2017 г. са направени решителни крачки в посока облекчаване на административната тежест за бизнеса: прилагането на комплексното административно обслужване, промени в нормативната база по отношение на изискваните документи и осигуряването им по служебен път, включително чрез достъп до служебни регистри. Резултатът за бизнеса е намаляване на разходите и съкращаване на времето при ползване на административни услуги.</w:t>
      </w:r>
    </w:p>
    <w:p w:rsidR="00855A7E" w:rsidRPr="00056DFA" w:rsidRDefault="00855A7E" w:rsidP="00855A7E">
      <w:pPr>
        <w:spacing w:before="0" w:after="0"/>
        <w:jc w:val="both"/>
        <w:rPr>
          <w:sz w:val="24"/>
          <w:szCs w:val="24"/>
        </w:rPr>
      </w:pPr>
      <w:r w:rsidRPr="00056DFA">
        <w:rPr>
          <w:sz w:val="24"/>
          <w:szCs w:val="24"/>
        </w:rPr>
        <w:t>В областта на двустранното индустриално сътрудничество е оказана разностранна подкрепа за утвърждаване позициите на бизнеса на международните пазари.</w:t>
      </w:r>
    </w:p>
    <w:p w:rsidR="00855A7E" w:rsidRPr="00056DFA" w:rsidRDefault="00855A7E" w:rsidP="00855A7E">
      <w:pPr>
        <w:spacing w:before="0" w:after="0"/>
        <w:jc w:val="both"/>
        <w:rPr>
          <w:sz w:val="24"/>
          <w:szCs w:val="24"/>
        </w:rPr>
      </w:pPr>
      <w:r w:rsidRPr="00056DFA">
        <w:rPr>
          <w:sz w:val="24"/>
          <w:szCs w:val="24"/>
        </w:rPr>
        <w:t>Бяха организирани и проведени 12 редовни заседания на Междуведомствената комисия за експортен контрол и неразпространение на оръжията за масово унищожение, на които са разгледани заявления за издаване на разрешения за външнотърговски сделки с продукти, свързани с отбраната(ПСО) и изделия и технологии с двойна употреба (ИТДУ). Последователно се работеше за разширено използване на възможностите за индустриално сътрудничество в рамките на членството в НАТО, в европейски структури за сигурност и отбрана и в европейски инициативи, както и за задълбочаване на двустранното индустриално сътрудничество в сферата на сигурността и отбраната. Осигурено беше националното представителство и произтичащите от това действия на национално ниво в два органа на НАТО, в 3 работни групи към Европейската агенция по отбрана, в екипа и работната група към Съвета на ЕС по приемане на Регламент за Европейска програма за промишлено развитие в областта на отбраната и в подготовка на българското председателство на Съвета.</w:t>
      </w:r>
    </w:p>
    <w:p w:rsidR="00855A7E" w:rsidRPr="00056DFA" w:rsidRDefault="00855A7E" w:rsidP="00855A7E">
      <w:pPr>
        <w:pStyle w:val="NoSpacing"/>
        <w:ind w:firstLine="567"/>
        <w:jc w:val="both"/>
        <w:rPr>
          <w:rFonts w:ascii="Times New Roman" w:eastAsia="Times New Roman" w:hAnsi="Times New Roman"/>
          <w:sz w:val="24"/>
          <w:szCs w:val="24"/>
          <w:lang w:eastAsia="bg-BG"/>
        </w:rPr>
      </w:pPr>
      <w:r w:rsidRPr="00056DFA">
        <w:rPr>
          <w:rFonts w:ascii="Times New Roman" w:eastAsia="Times New Roman" w:hAnsi="Times New Roman"/>
          <w:sz w:val="24"/>
          <w:szCs w:val="24"/>
          <w:lang w:eastAsia="bg-BG"/>
        </w:rPr>
        <w:t xml:space="preserve">За осигуряване ефективна </w:t>
      </w:r>
      <w:proofErr w:type="spellStart"/>
      <w:r w:rsidRPr="00056DFA">
        <w:rPr>
          <w:rFonts w:ascii="Times New Roman" w:eastAsia="Times New Roman" w:hAnsi="Times New Roman"/>
          <w:sz w:val="24"/>
          <w:szCs w:val="24"/>
          <w:lang w:eastAsia="bg-BG"/>
        </w:rPr>
        <w:t>проследяемост</w:t>
      </w:r>
      <w:proofErr w:type="spellEnd"/>
      <w:r w:rsidRPr="00056DFA">
        <w:rPr>
          <w:rFonts w:ascii="Times New Roman" w:eastAsia="Times New Roman" w:hAnsi="Times New Roman"/>
          <w:sz w:val="24"/>
          <w:szCs w:val="24"/>
          <w:lang w:eastAsia="bg-BG"/>
        </w:rPr>
        <w:t xml:space="preserve"> върху лицата, извършващи дейности с дестилационни съоръжения за производство на етилов алкохол, дестилати и спиртни напитки, през 2017 г. се създаде публичен регистър на лицата, извършващи дейности с такива съоръжения. Регистърът е публикуван на интернет страницата на Министерство на икономиката и е лесно достъпен за всички заинтересовани лица.</w:t>
      </w:r>
    </w:p>
    <w:p w:rsidR="00855A7E" w:rsidRPr="00056DFA" w:rsidRDefault="00855A7E" w:rsidP="00855A7E">
      <w:pPr>
        <w:pStyle w:val="NoSpacing"/>
        <w:ind w:firstLine="567"/>
        <w:jc w:val="both"/>
        <w:rPr>
          <w:rFonts w:ascii="Times New Roman" w:eastAsia="Times New Roman" w:hAnsi="Times New Roman"/>
          <w:sz w:val="24"/>
          <w:szCs w:val="24"/>
          <w:lang w:eastAsia="bg-BG"/>
        </w:rPr>
      </w:pPr>
      <w:r w:rsidRPr="00056DFA">
        <w:rPr>
          <w:rFonts w:ascii="Times New Roman" w:eastAsia="Times New Roman" w:hAnsi="Times New Roman"/>
          <w:sz w:val="24"/>
          <w:szCs w:val="24"/>
          <w:lang w:eastAsia="bg-BG"/>
        </w:rPr>
        <w:t xml:space="preserve">Ефективно се прилагат мерките за контрол и мониторинг, произтичащи от международното и европейско право в областта на </w:t>
      </w:r>
      <w:proofErr w:type="spellStart"/>
      <w:r w:rsidRPr="00056DFA">
        <w:rPr>
          <w:rFonts w:ascii="Times New Roman" w:eastAsia="Times New Roman" w:hAnsi="Times New Roman"/>
          <w:sz w:val="24"/>
          <w:szCs w:val="24"/>
          <w:lang w:eastAsia="bg-BG"/>
        </w:rPr>
        <w:t>прекурсорите</w:t>
      </w:r>
      <w:proofErr w:type="spellEnd"/>
      <w:r w:rsidRPr="00056DFA">
        <w:rPr>
          <w:rFonts w:ascii="Times New Roman" w:eastAsia="Times New Roman" w:hAnsi="Times New Roman"/>
          <w:sz w:val="24"/>
          <w:szCs w:val="24"/>
          <w:lang w:eastAsia="bg-BG"/>
        </w:rPr>
        <w:t xml:space="preserve"> на  наркотични вещества, с цел недопускане на отклоняването им за нелегални цели. За да се гарантира изпълнението на тези мерки, се осъществява административно регулиране и контрол – текущ, документален и </w:t>
      </w:r>
      <w:proofErr w:type="spellStart"/>
      <w:r w:rsidRPr="00056DFA">
        <w:rPr>
          <w:rFonts w:ascii="Times New Roman" w:eastAsia="Times New Roman" w:hAnsi="Times New Roman"/>
          <w:sz w:val="24"/>
          <w:szCs w:val="24"/>
          <w:lang w:eastAsia="bg-BG"/>
        </w:rPr>
        <w:t>последващ</w:t>
      </w:r>
      <w:proofErr w:type="spellEnd"/>
      <w:r w:rsidRPr="00056DFA">
        <w:rPr>
          <w:rFonts w:ascii="Times New Roman" w:eastAsia="Times New Roman" w:hAnsi="Times New Roman"/>
          <w:sz w:val="24"/>
          <w:szCs w:val="24"/>
          <w:lang w:eastAsia="bg-BG"/>
        </w:rPr>
        <w:t xml:space="preserve">, на оторизираните лица за дейности с </w:t>
      </w:r>
      <w:proofErr w:type="spellStart"/>
      <w:r w:rsidRPr="00056DFA">
        <w:rPr>
          <w:rFonts w:ascii="Times New Roman" w:eastAsia="Times New Roman" w:hAnsi="Times New Roman"/>
          <w:sz w:val="24"/>
          <w:szCs w:val="24"/>
          <w:lang w:eastAsia="bg-BG"/>
        </w:rPr>
        <w:t>прекурсори</w:t>
      </w:r>
      <w:proofErr w:type="spellEnd"/>
      <w:r w:rsidRPr="00056DFA">
        <w:rPr>
          <w:rFonts w:ascii="Times New Roman" w:eastAsia="Times New Roman" w:hAnsi="Times New Roman"/>
          <w:sz w:val="24"/>
          <w:szCs w:val="24"/>
          <w:lang w:eastAsia="bg-BG"/>
        </w:rPr>
        <w:t xml:space="preserve">, следи тенденциите в областта, участва в работата на работните органи на Съвета на ЕС, ЕК и Международния съвет за контрол на наркотиците към ООН, сътрудничи с международните и национални компетентни органи, ангажирани в борбата срещу незаконното производство и трафик на наркотици, изпълнява ангажиментите за стриктно докладване в международно интегрираните информационни системи. Като до момента не са допуснати случаи на отклоняване на </w:t>
      </w:r>
      <w:proofErr w:type="spellStart"/>
      <w:r w:rsidRPr="00056DFA">
        <w:rPr>
          <w:rFonts w:ascii="Times New Roman" w:eastAsia="Times New Roman" w:hAnsi="Times New Roman"/>
          <w:sz w:val="24"/>
          <w:szCs w:val="24"/>
          <w:lang w:eastAsia="bg-BG"/>
        </w:rPr>
        <w:t>прекурсори</w:t>
      </w:r>
      <w:proofErr w:type="spellEnd"/>
      <w:r w:rsidRPr="00056DFA">
        <w:rPr>
          <w:rFonts w:ascii="Times New Roman" w:eastAsia="Times New Roman" w:hAnsi="Times New Roman"/>
          <w:sz w:val="24"/>
          <w:szCs w:val="24"/>
          <w:lang w:eastAsia="bg-BG"/>
        </w:rPr>
        <w:t>, предназначени за легална употреба към нелегалното производство на наркотични вещества.</w:t>
      </w:r>
    </w:p>
    <w:p w:rsidR="00855A7E" w:rsidRPr="00056DFA" w:rsidRDefault="00855A7E" w:rsidP="00855A7E">
      <w:pPr>
        <w:pStyle w:val="NoSpacing"/>
        <w:tabs>
          <w:tab w:val="left" w:pos="851"/>
        </w:tabs>
        <w:ind w:firstLine="567"/>
        <w:jc w:val="both"/>
        <w:rPr>
          <w:rFonts w:ascii="Times New Roman" w:eastAsia="Times New Roman" w:hAnsi="Times New Roman"/>
          <w:sz w:val="24"/>
          <w:szCs w:val="24"/>
          <w:lang w:eastAsia="bg-BG"/>
        </w:rPr>
      </w:pPr>
      <w:r w:rsidRPr="00056DFA">
        <w:rPr>
          <w:rFonts w:ascii="Times New Roman" w:eastAsia="Times New Roman" w:hAnsi="Times New Roman"/>
          <w:sz w:val="24"/>
          <w:szCs w:val="24"/>
          <w:lang w:eastAsia="bg-BG"/>
        </w:rPr>
        <w:lastRenderedPageBreak/>
        <w:t>Предоставя се специализирана икономическа информация, статистически данни и аналитични материали за българската икономика и икономическата политика на българското правителство, използвайки официални статистически данни от български и международни институции и организации.</w:t>
      </w:r>
    </w:p>
    <w:p w:rsidR="00855A7E" w:rsidRPr="00056DFA" w:rsidRDefault="00855A7E" w:rsidP="00855A7E">
      <w:pPr>
        <w:pStyle w:val="NoSpacing"/>
        <w:ind w:firstLine="567"/>
        <w:jc w:val="both"/>
        <w:rPr>
          <w:rFonts w:ascii="Times New Roman" w:hAnsi="Times New Roman"/>
          <w:sz w:val="24"/>
          <w:szCs w:val="24"/>
        </w:rPr>
      </w:pPr>
      <w:r w:rsidRPr="00056DFA">
        <w:rPr>
          <w:rFonts w:ascii="Times New Roman" w:hAnsi="Times New Roman"/>
          <w:sz w:val="24"/>
          <w:szCs w:val="24"/>
        </w:rPr>
        <w:t>Една от основните цели на програмата - „Постигане на ефективен контрол върху създаването и дейността на стоковите борси – борсови членове, брокери, стоковите тържища, пазарите на производителите и самостоятелните обекти”, се изпълнява от</w:t>
      </w:r>
      <w:r w:rsidRPr="00056DFA">
        <w:rPr>
          <w:rFonts w:ascii="Times New Roman" w:eastAsia="Times New Roman" w:hAnsi="Times New Roman"/>
          <w:sz w:val="24"/>
          <w:szCs w:val="24"/>
          <w:lang w:eastAsia="bg-BG"/>
        </w:rPr>
        <w:t xml:space="preserve"> </w:t>
      </w:r>
      <w:r w:rsidRPr="00056DFA">
        <w:rPr>
          <w:rFonts w:ascii="Times New Roman" w:hAnsi="Times New Roman"/>
          <w:sz w:val="24"/>
          <w:szCs w:val="24"/>
        </w:rPr>
        <w:t xml:space="preserve">Държавната комисия по стоковите борси и тържищата. </w:t>
      </w:r>
    </w:p>
    <w:p w:rsidR="00855A7E" w:rsidRPr="00056DFA" w:rsidRDefault="00855A7E" w:rsidP="00855A7E">
      <w:pPr>
        <w:tabs>
          <w:tab w:val="left" w:pos="567"/>
          <w:tab w:val="left" w:pos="709"/>
        </w:tabs>
        <w:spacing w:before="0" w:after="0"/>
        <w:jc w:val="both"/>
        <w:rPr>
          <w:sz w:val="24"/>
          <w:szCs w:val="24"/>
        </w:rPr>
      </w:pPr>
      <w:r w:rsidRPr="00056DFA">
        <w:rPr>
          <w:sz w:val="24"/>
          <w:szCs w:val="24"/>
        </w:rPr>
        <w:t xml:space="preserve"> Дейностите по предоставяне на включените в програмата продукти/ услуги се изпълняват последователно и в срок. </w:t>
      </w:r>
    </w:p>
    <w:p w:rsidR="00855A7E" w:rsidRPr="00056DFA" w:rsidRDefault="00855A7E" w:rsidP="00855A7E">
      <w:pPr>
        <w:spacing w:before="0" w:after="0"/>
        <w:jc w:val="both"/>
        <w:rPr>
          <w:b/>
          <w:sz w:val="24"/>
          <w:szCs w:val="24"/>
        </w:rPr>
      </w:pPr>
      <w:r w:rsidRPr="00056DFA">
        <w:rPr>
          <w:b/>
          <w:sz w:val="24"/>
          <w:szCs w:val="24"/>
        </w:rPr>
        <w:t>Бюджетна програма „Насърчаване на предприемачеството и иновациите”</w:t>
      </w:r>
    </w:p>
    <w:p w:rsidR="00855A7E" w:rsidRPr="00056DFA" w:rsidRDefault="00855A7E" w:rsidP="00855A7E">
      <w:pPr>
        <w:tabs>
          <w:tab w:val="left" w:pos="426"/>
          <w:tab w:val="left" w:pos="709"/>
        </w:tabs>
        <w:spacing w:before="0" w:after="0"/>
        <w:jc w:val="both"/>
        <w:rPr>
          <w:sz w:val="24"/>
          <w:szCs w:val="24"/>
        </w:rPr>
      </w:pPr>
      <w:r w:rsidRPr="00056DFA">
        <w:rPr>
          <w:sz w:val="24"/>
          <w:szCs w:val="24"/>
        </w:rPr>
        <w:t>През 2017 г., мерките за изпълнение на заложените в програмата цели са насочени основно към изпъ</w:t>
      </w:r>
      <w:r w:rsidR="00D87E05">
        <w:rPr>
          <w:sz w:val="24"/>
          <w:szCs w:val="24"/>
        </w:rPr>
        <w:t>лнение на приетата Иновационна</w:t>
      </w:r>
      <w:r w:rsidRPr="00056DFA">
        <w:rPr>
          <w:sz w:val="24"/>
          <w:szCs w:val="24"/>
        </w:rPr>
        <w:t xml:space="preserve"> стратегия за интелигентна специализация за периода 2014 – 2020 г и на Националната стратегия за насърчаване на малките и средни предприятия (МСП) в България 2014 – 2020 г.   </w:t>
      </w:r>
    </w:p>
    <w:p w:rsidR="00855A7E" w:rsidRPr="00056DFA" w:rsidRDefault="00855A7E" w:rsidP="00855A7E">
      <w:pPr>
        <w:tabs>
          <w:tab w:val="left" w:pos="426"/>
          <w:tab w:val="left" w:pos="709"/>
        </w:tabs>
        <w:spacing w:before="0" w:after="0"/>
        <w:jc w:val="both"/>
        <w:rPr>
          <w:sz w:val="24"/>
          <w:szCs w:val="24"/>
        </w:rPr>
      </w:pPr>
      <w:r w:rsidRPr="00056DFA">
        <w:rPr>
          <w:sz w:val="24"/>
          <w:szCs w:val="24"/>
        </w:rPr>
        <w:t xml:space="preserve">Отчетената субсидия по договорите в изпълнение на 7-ма сесия е в размер на  </w:t>
      </w:r>
      <w:r w:rsidR="00D87E05" w:rsidRPr="00056DFA">
        <w:rPr>
          <w:sz w:val="24"/>
          <w:szCs w:val="24"/>
        </w:rPr>
        <w:t>1</w:t>
      </w:r>
      <w:r w:rsidR="00D87E05" w:rsidRPr="00BF123C">
        <w:rPr>
          <w:sz w:val="24"/>
          <w:szCs w:val="24"/>
        </w:rPr>
        <w:t>,</w:t>
      </w:r>
      <w:r w:rsidR="00D87E05" w:rsidRPr="00056DFA">
        <w:rPr>
          <w:sz w:val="24"/>
          <w:szCs w:val="24"/>
        </w:rPr>
        <w:t> </w:t>
      </w:r>
      <w:proofErr w:type="spellStart"/>
      <w:r w:rsidR="00D87E05" w:rsidRPr="00056DFA">
        <w:rPr>
          <w:sz w:val="24"/>
          <w:szCs w:val="24"/>
        </w:rPr>
        <w:t>1</w:t>
      </w:r>
      <w:proofErr w:type="spellEnd"/>
      <w:r w:rsidR="00D87E05">
        <w:rPr>
          <w:sz w:val="24"/>
          <w:szCs w:val="24"/>
        </w:rPr>
        <w:t> млн.</w:t>
      </w:r>
      <w:r w:rsidR="00D87E05" w:rsidRPr="00056DFA">
        <w:rPr>
          <w:sz w:val="24"/>
          <w:szCs w:val="24"/>
        </w:rPr>
        <w:t xml:space="preserve">лв., </w:t>
      </w:r>
      <w:r w:rsidRPr="00056DFA">
        <w:rPr>
          <w:sz w:val="24"/>
          <w:szCs w:val="24"/>
        </w:rPr>
        <w:t>а одобрената – 1</w:t>
      </w:r>
      <w:r w:rsidR="0038307F">
        <w:rPr>
          <w:sz w:val="24"/>
          <w:szCs w:val="24"/>
        </w:rPr>
        <w:t>,0</w:t>
      </w:r>
      <w:r w:rsidRPr="00056DFA">
        <w:rPr>
          <w:sz w:val="24"/>
          <w:szCs w:val="24"/>
        </w:rPr>
        <w:t> </w:t>
      </w:r>
      <w:r w:rsidR="00D87E05">
        <w:rPr>
          <w:sz w:val="24"/>
          <w:szCs w:val="24"/>
        </w:rPr>
        <w:t>млн.</w:t>
      </w:r>
      <w:r w:rsidRPr="00056DFA">
        <w:rPr>
          <w:sz w:val="24"/>
          <w:szCs w:val="24"/>
        </w:rPr>
        <w:t xml:space="preserve">лв., като съотношението одобрена субсидия/отчетена субсидия </w:t>
      </w:r>
      <w:r w:rsidR="0038307F">
        <w:rPr>
          <w:sz w:val="24"/>
          <w:szCs w:val="24"/>
        </w:rPr>
        <w:t xml:space="preserve">е </w:t>
      </w:r>
      <w:r w:rsidR="0038307F" w:rsidRPr="00056DFA">
        <w:rPr>
          <w:sz w:val="24"/>
          <w:szCs w:val="24"/>
        </w:rPr>
        <w:t>90,</w:t>
      </w:r>
      <w:r w:rsidR="0038307F">
        <w:rPr>
          <w:sz w:val="24"/>
          <w:szCs w:val="24"/>
        </w:rPr>
        <w:t>9</w:t>
      </w:r>
      <w:r w:rsidR="0038307F" w:rsidRPr="00056DFA">
        <w:rPr>
          <w:sz w:val="24"/>
          <w:szCs w:val="24"/>
        </w:rPr>
        <w:t xml:space="preserve"> </w:t>
      </w:r>
      <w:r w:rsidRPr="00056DFA">
        <w:rPr>
          <w:sz w:val="24"/>
          <w:szCs w:val="24"/>
        </w:rPr>
        <w:t>%. Сключени са 17 броя договори за финансиране  по 8 – ма сесия НИФ.</w:t>
      </w:r>
    </w:p>
    <w:p w:rsidR="00855A7E" w:rsidRPr="00056DFA" w:rsidRDefault="00855A7E" w:rsidP="00855A7E">
      <w:pPr>
        <w:tabs>
          <w:tab w:val="left" w:pos="426"/>
          <w:tab w:val="left" w:pos="709"/>
          <w:tab w:val="left" w:pos="993"/>
        </w:tabs>
        <w:spacing w:before="0" w:after="0"/>
        <w:jc w:val="both"/>
        <w:rPr>
          <w:sz w:val="24"/>
          <w:szCs w:val="24"/>
        </w:rPr>
      </w:pPr>
      <w:r w:rsidRPr="00056DFA">
        <w:rPr>
          <w:sz w:val="24"/>
          <w:szCs w:val="24"/>
        </w:rPr>
        <w:tab/>
      </w:r>
      <w:r w:rsidRPr="00056DFA">
        <w:rPr>
          <w:sz w:val="24"/>
          <w:szCs w:val="24"/>
        </w:rPr>
        <w:tab/>
        <w:t>За периода е извършен финансов и технически мониторинг на 6 броя Споразумения за финансиране в изпълнение по Съвместна програма ЕВРОСТАРС. Отчетената субсидия по договори в изпълнение на програма „</w:t>
      </w:r>
      <w:proofErr w:type="spellStart"/>
      <w:r w:rsidRPr="00056DFA">
        <w:rPr>
          <w:sz w:val="24"/>
          <w:szCs w:val="24"/>
        </w:rPr>
        <w:t>Евростарс</w:t>
      </w:r>
      <w:proofErr w:type="spellEnd"/>
      <w:r w:rsidRPr="00056DFA">
        <w:rPr>
          <w:sz w:val="24"/>
          <w:szCs w:val="24"/>
        </w:rPr>
        <w:t xml:space="preserve">” е в размер на </w:t>
      </w:r>
      <w:r w:rsidR="0038307F">
        <w:rPr>
          <w:sz w:val="24"/>
          <w:szCs w:val="24"/>
        </w:rPr>
        <w:t>0,8 млн.</w:t>
      </w:r>
      <w:r w:rsidR="0038307F" w:rsidRPr="00056DFA">
        <w:rPr>
          <w:sz w:val="24"/>
          <w:szCs w:val="24"/>
        </w:rPr>
        <w:t>лв.</w:t>
      </w:r>
      <w:r w:rsidRPr="00056DFA">
        <w:rPr>
          <w:sz w:val="24"/>
          <w:szCs w:val="24"/>
        </w:rPr>
        <w:t xml:space="preserve">, а одобрената – </w:t>
      </w:r>
      <w:r w:rsidR="0038307F">
        <w:rPr>
          <w:sz w:val="24"/>
          <w:szCs w:val="24"/>
        </w:rPr>
        <w:t>0,</w:t>
      </w:r>
      <w:r w:rsidRPr="00056DFA">
        <w:rPr>
          <w:sz w:val="24"/>
          <w:szCs w:val="24"/>
        </w:rPr>
        <w:t>7</w:t>
      </w:r>
      <w:r w:rsidR="0038307F">
        <w:rPr>
          <w:sz w:val="24"/>
          <w:szCs w:val="24"/>
        </w:rPr>
        <w:t xml:space="preserve"> млн.</w:t>
      </w:r>
      <w:r w:rsidRPr="00056DFA">
        <w:rPr>
          <w:sz w:val="24"/>
          <w:szCs w:val="24"/>
        </w:rPr>
        <w:t xml:space="preserve">лв., като съотношението одобрена субсидия/отчетена субсидия е </w:t>
      </w:r>
      <w:r w:rsidR="0038307F">
        <w:rPr>
          <w:sz w:val="24"/>
          <w:szCs w:val="24"/>
        </w:rPr>
        <w:t>87</w:t>
      </w:r>
      <w:r w:rsidR="0038307F" w:rsidRPr="00056DFA">
        <w:rPr>
          <w:sz w:val="24"/>
          <w:szCs w:val="24"/>
        </w:rPr>
        <w:t>,</w:t>
      </w:r>
      <w:r w:rsidR="0038307F">
        <w:rPr>
          <w:sz w:val="24"/>
          <w:szCs w:val="24"/>
        </w:rPr>
        <w:t>5</w:t>
      </w:r>
      <w:r w:rsidRPr="00056DFA">
        <w:rPr>
          <w:sz w:val="24"/>
          <w:szCs w:val="24"/>
        </w:rPr>
        <w:t>%.</w:t>
      </w:r>
    </w:p>
    <w:p w:rsidR="00855A7E" w:rsidRPr="00056DFA" w:rsidRDefault="00855A7E" w:rsidP="00855A7E">
      <w:pPr>
        <w:tabs>
          <w:tab w:val="left" w:pos="426"/>
          <w:tab w:val="left" w:pos="709"/>
          <w:tab w:val="left" w:pos="993"/>
        </w:tabs>
        <w:spacing w:before="0" w:after="0"/>
        <w:jc w:val="both"/>
        <w:rPr>
          <w:b/>
          <w:sz w:val="24"/>
          <w:szCs w:val="24"/>
        </w:rPr>
      </w:pPr>
      <w:r w:rsidRPr="00056DFA">
        <w:rPr>
          <w:sz w:val="24"/>
          <w:szCs w:val="24"/>
        </w:rPr>
        <w:tab/>
      </w:r>
      <w:r w:rsidRPr="00056DFA">
        <w:rPr>
          <w:sz w:val="24"/>
          <w:szCs w:val="24"/>
        </w:rPr>
        <w:tab/>
        <w:t>Обяви се Национален конкурс за кандидатстване по проект „</w:t>
      </w:r>
      <w:proofErr w:type="spellStart"/>
      <w:r w:rsidRPr="00056DFA">
        <w:rPr>
          <w:sz w:val="24"/>
          <w:szCs w:val="24"/>
        </w:rPr>
        <w:t>Техностарт</w:t>
      </w:r>
      <w:proofErr w:type="spellEnd"/>
      <w:r w:rsidRPr="00056DFA">
        <w:rPr>
          <w:sz w:val="24"/>
          <w:szCs w:val="24"/>
        </w:rPr>
        <w:t xml:space="preserve"> 3”. Проектът е в изпълнение на приоритетни области №1 „Предприемачество” и № 9 "Умения и иновации” от Националната стратегия за насърчаване на МСП 2014 -2020 г. В националния конкурс тази година бяха получени общо 92 кандидатури, като за финансиране са одобрени 13 стартиращи фирми. Общата сума на безвъзмездната финансова помощ е </w:t>
      </w:r>
      <w:r w:rsidR="00BE152A">
        <w:rPr>
          <w:sz w:val="24"/>
          <w:szCs w:val="24"/>
        </w:rPr>
        <w:t>0,</w:t>
      </w:r>
      <w:r w:rsidRPr="00056DFA">
        <w:rPr>
          <w:sz w:val="24"/>
          <w:szCs w:val="24"/>
        </w:rPr>
        <w:t>2</w:t>
      </w:r>
      <w:r w:rsidR="00BE152A">
        <w:rPr>
          <w:sz w:val="24"/>
          <w:szCs w:val="24"/>
        </w:rPr>
        <w:t xml:space="preserve"> млн.</w:t>
      </w:r>
      <w:r w:rsidRPr="00056DFA">
        <w:rPr>
          <w:sz w:val="24"/>
          <w:szCs w:val="24"/>
        </w:rPr>
        <w:t>лв.</w:t>
      </w:r>
      <w:r w:rsidRPr="00056DFA">
        <w:rPr>
          <w:sz w:val="24"/>
          <w:szCs w:val="24"/>
        </w:rPr>
        <w:tab/>
        <w:t>Приключи изпълнението на проект „</w:t>
      </w:r>
      <w:proofErr w:type="spellStart"/>
      <w:r w:rsidRPr="00056DFA">
        <w:rPr>
          <w:sz w:val="24"/>
          <w:szCs w:val="24"/>
        </w:rPr>
        <w:t>stARTs</w:t>
      </w:r>
      <w:proofErr w:type="spellEnd"/>
      <w:r w:rsidRPr="00056DFA">
        <w:rPr>
          <w:sz w:val="24"/>
          <w:szCs w:val="24"/>
        </w:rPr>
        <w:t xml:space="preserve"> IV”, чийто изпълнител е фондация „</w:t>
      </w:r>
      <w:proofErr w:type="spellStart"/>
      <w:r w:rsidRPr="00056DFA">
        <w:rPr>
          <w:sz w:val="24"/>
          <w:szCs w:val="24"/>
        </w:rPr>
        <w:t>Джуниър</w:t>
      </w:r>
      <w:proofErr w:type="spellEnd"/>
      <w:r w:rsidRPr="00056DFA">
        <w:rPr>
          <w:sz w:val="24"/>
          <w:szCs w:val="24"/>
        </w:rPr>
        <w:t xml:space="preserve"> </w:t>
      </w:r>
      <w:proofErr w:type="spellStart"/>
      <w:r w:rsidRPr="00056DFA">
        <w:rPr>
          <w:sz w:val="24"/>
          <w:szCs w:val="24"/>
        </w:rPr>
        <w:t>Ачийвмънт</w:t>
      </w:r>
      <w:proofErr w:type="spellEnd"/>
      <w:r w:rsidRPr="00056DFA">
        <w:rPr>
          <w:sz w:val="24"/>
          <w:szCs w:val="24"/>
        </w:rPr>
        <w:t xml:space="preserve"> България”. </w:t>
      </w:r>
      <w:r w:rsidRPr="00056DFA">
        <w:rPr>
          <w:spacing w:val="-3"/>
          <w:sz w:val="24"/>
          <w:szCs w:val="24"/>
        </w:rPr>
        <w:t>Проектът продължава основната си образователна цел - обучение по предприемачество и проект „</w:t>
      </w:r>
      <w:proofErr w:type="spellStart"/>
      <w:r w:rsidRPr="00056DFA">
        <w:rPr>
          <w:spacing w:val="-3"/>
          <w:sz w:val="24"/>
          <w:szCs w:val="24"/>
        </w:rPr>
        <w:t>Брандико</w:t>
      </w:r>
      <w:proofErr w:type="spellEnd"/>
      <w:r w:rsidRPr="00056DFA">
        <w:rPr>
          <w:spacing w:val="-3"/>
          <w:sz w:val="24"/>
          <w:szCs w:val="24"/>
        </w:rPr>
        <w:t xml:space="preserve">” за обучение по интелектуална собственост за ученици в училищата по изкуство и спортните училища. Проектът приключи през първото полугодие на 2017 г. и изпълнителят, фондация </w:t>
      </w:r>
      <w:proofErr w:type="spellStart"/>
      <w:r w:rsidRPr="00056DFA">
        <w:rPr>
          <w:spacing w:val="-3"/>
          <w:sz w:val="24"/>
          <w:szCs w:val="24"/>
        </w:rPr>
        <w:t>Джуниър</w:t>
      </w:r>
      <w:proofErr w:type="spellEnd"/>
      <w:r w:rsidRPr="00056DFA">
        <w:rPr>
          <w:spacing w:val="-3"/>
          <w:sz w:val="24"/>
          <w:szCs w:val="24"/>
        </w:rPr>
        <w:t xml:space="preserve"> </w:t>
      </w:r>
      <w:proofErr w:type="spellStart"/>
      <w:r w:rsidRPr="00056DFA">
        <w:rPr>
          <w:spacing w:val="-3"/>
          <w:sz w:val="24"/>
          <w:szCs w:val="24"/>
        </w:rPr>
        <w:t>Ачийвмънт</w:t>
      </w:r>
      <w:proofErr w:type="spellEnd"/>
      <w:r w:rsidRPr="00056DFA">
        <w:rPr>
          <w:spacing w:val="-3"/>
          <w:sz w:val="24"/>
          <w:szCs w:val="24"/>
        </w:rPr>
        <w:t xml:space="preserve"> България отчете резултатите от обучението от 6 училища в България - 3 училища по изкуства и 3 спортни училища</w:t>
      </w:r>
    </w:p>
    <w:p w:rsidR="00855A7E" w:rsidRPr="00056DFA" w:rsidRDefault="00855A7E" w:rsidP="00855A7E">
      <w:pPr>
        <w:spacing w:before="0" w:after="0"/>
        <w:jc w:val="both"/>
        <w:rPr>
          <w:b/>
          <w:sz w:val="24"/>
          <w:szCs w:val="24"/>
        </w:rPr>
      </w:pPr>
      <w:r w:rsidRPr="00056DFA">
        <w:rPr>
          <w:b/>
          <w:sz w:val="24"/>
          <w:szCs w:val="24"/>
        </w:rPr>
        <w:t>Бюджетна програма „Закрила на обектите на индустриална собственост”</w:t>
      </w:r>
    </w:p>
    <w:p w:rsidR="00855A7E" w:rsidRPr="00056DFA" w:rsidRDefault="00855A7E" w:rsidP="00855A7E">
      <w:pPr>
        <w:tabs>
          <w:tab w:val="left" w:pos="709"/>
        </w:tabs>
        <w:spacing w:before="0" w:after="0"/>
        <w:jc w:val="both"/>
        <w:rPr>
          <w:sz w:val="24"/>
          <w:szCs w:val="24"/>
        </w:rPr>
      </w:pPr>
      <w:r w:rsidRPr="00056DFA">
        <w:rPr>
          <w:sz w:val="24"/>
          <w:szCs w:val="24"/>
        </w:rPr>
        <w:tab/>
        <w:t xml:space="preserve">През отчетния период Патентно ведомство на Република България изпълнява активно целите, залегнали в програмата, като извършва стриктно и отговорно заложените дейности за предоставяне на продукти и услуги по програмата. Отчетът показва активното участие на институцията в съвместно финансирани международни проекти в областта на индустриалната собственост в резултат на продължаващото ползотворното сътрудничество с международни организации като Световната организация за интелектуална собственост, Службата на Европейския съюз за интелектуална собственост, Европейската патентна организация, институции по закрила на интелектуалната собственост на други държави, както и български държавни и неправителствени организации. Заложените в програмата дейности са изпълнени в определените за това срокове и параметри, като планираните целеви стойности са изцяло постигнати и се отчита преизпълнение от 15 до 28 % по различните показатели. </w:t>
      </w:r>
    </w:p>
    <w:p w:rsidR="00855A7E" w:rsidRPr="00056DFA" w:rsidRDefault="00855A7E" w:rsidP="00855A7E">
      <w:pPr>
        <w:tabs>
          <w:tab w:val="left" w:pos="709"/>
        </w:tabs>
        <w:spacing w:before="0" w:after="0"/>
        <w:jc w:val="both"/>
        <w:rPr>
          <w:sz w:val="24"/>
          <w:szCs w:val="24"/>
        </w:rPr>
      </w:pPr>
      <w:r w:rsidRPr="00056DFA">
        <w:rPr>
          <w:sz w:val="24"/>
          <w:szCs w:val="24"/>
        </w:rPr>
        <w:lastRenderedPageBreak/>
        <w:tab/>
        <w:t>През 2017 г. във връзка с намаляването на административната тежест на предоставяните услуги на гражданите и бизнеса, Ценоразписът за</w:t>
      </w:r>
      <w:r w:rsidR="00BE152A">
        <w:rPr>
          <w:sz w:val="24"/>
          <w:szCs w:val="24"/>
        </w:rPr>
        <w:t xml:space="preserve"> услугите от Патентно ведомство </w:t>
      </w:r>
      <w:r w:rsidRPr="00056DFA">
        <w:rPr>
          <w:sz w:val="24"/>
          <w:szCs w:val="24"/>
        </w:rPr>
        <w:t xml:space="preserve">бе актуализиран. В резултата на това 19 услуги вече се предоставят на заявителите абсолютно безплатно. Във всички останали административни услуги е възприет подхода за съществено редуциране на събираните такси, като същите са значително намалени. Запазена е възможността таксите за проучвания за изобретения да се намаляват с 50%, ако заявителите са </w:t>
      </w:r>
      <w:proofErr w:type="spellStart"/>
      <w:r w:rsidRPr="00056DFA">
        <w:rPr>
          <w:sz w:val="24"/>
          <w:szCs w:val="24"/>
        </w:rPr>
        <w:t>микро</w:t>
      </w:r>
      <w:proofErr w:type="spellEnd"/>
      <w:r w:rsidRPr="00056DFA">
        <w:rPr>
          <w:sz w:val="24"/>
          <w:szCs w:val="24"/>
        </w:rPr>
        <w:t xml:space="preserve"> и малки предприятия по Закона за малките и средни предприятия, държавни или общински училища, държавни висши училища, академични научноизследователски организации на бюджетна издръжка или изобретатели, вписани в държавния регистър на патентите или на полезните модели. Отделно от това бе въведен нов критерий за намаляване на всички такси за административни услуги, събирани съгласно Ценоразписа, с още 10% при подаване на заявлението онлайн.</w:t>
      </w:r>
    </w:p>
    <w:p w:rsidR="00855A7E" w:rsidRPr="00056DFA" w:rsidRDefault="00855A7E" w:rsidP="00855A7E">
      <w:pPr>
        <w:tabs>
          <w:tab w:val="left" w:pos="709"/>
        </w:tabs>
        <w:jc w:val="both"/>
        <w:rPr>
          <w:sz w:val="24"/>
          <w:szCs w:val="24"/>
        </w:rPr>
      </w:pPr>
      <w:r w:rsidRPr="00056DFA">
        <w:rPr>
          <w:sz w:val="24"/>
          <w:szCs w:val="24"/>
        </w:rPr>
        <w:t>През декември влезе в сила и новата Тарифа за таксите, които се събират от Патентно ведомство, като таксите са намалени средно с 11%.</w:t>
      </w:r>
    </w:p>
    <w:p w:rsidR="00855A7E" w:rsidRPr="00056DFA" w:rsidRDefault="00855A7E" w:rsidP="00855A7E">
      <w:pPr>
        <w:tabs>
          <w:tab w:val="left" w:pos="709"/>
          <w:tab w:val="left" w:pos="851"/>
        </w:tabs>
        <w:jc w:val="both"/>
        <w:rPr>
          <w:sz w:val="24"/>
          <w:szCs w:val="24"/>
        </w:rPr>
      </w:pPr>
      <w:r w:rsidRPr="00056DFA">
        <w:rPr>
          <w:sz w:val="24"/>
          <w:szCs w:val="24"/>
        </w:rPr>
        <w:t xml:space="preserve">Патентно ведомство се справя с предизвикателствата, наложени от икономическата динамика и задачите си. </w:t>
      </w:r>
    </w:p>
    <w:p w:rsidR="00855A7E" w:rsidRPr="00056DFA" w:rsidRDefault="00855A7E" w:rsidP="00855A7E">
      <w:pPr>
        <w:spacing w:before="0" w:after="0"/>
        <w:jc w:val="both"/>
        <w:rPr>
          <w:b/>
          <w:sz w:val="24"/>
          <w:szCs w:val="24"/>
        </w:rPr>
      </w:pPr>
      <w:r w:rsidRPr="00056DFA">
        <w:rPr>
          <w:b/>
          <w:sz w:val="24"/>
          <w:szCs w:val="24"/>
        </w:rPr>
        <w:t>Бюджетна програма „Инфраструктура по качеството в подкрепа развитието на икономиката”</w:t>
      </w:r>
    </w:p>
    <w:p w:rsidR="00855A7E" w:rsidRPr="00056DFA" w:rsidRDefault="00855A7E" w:rsidP="00855A7E">
      <w:pPr>
        <w:tabs>
          <w:tab w:val="num" w:pos="720"/>
          <w:tab w:val="left" w:pos="851"/>
        </w:tabs>
        <w:spacing w:before="0" w:after="0"/>
        <w:jc w:val="both"/>
        <w:rPr>
          <w:sz w:val="24"/>
          <w:szCs w:val="24"/>
        </w:rPr>
      </w:pPr>
      <w:r w:rsidRPr="00056DFA">
        <w:rPr>
          <w:sz w:val="24"/>
          <w:szCs w:val="24"/>
        </w:rPr>
        <w:tab/>
        <w:t xml:space="preserve">Заложените по програмата цели са свързани със: създаване и поддържане на доверие в техническата компетентност на органи за оценяване на съответствието, изпълнение на показателите за </w:t>
      </w:r>
      <w:proofErr w:type="spellStart"/>
      <w:r w:rsidRPr="00056DFA">
        <w:rPr>
          <w:sz w:val="24"/>
          <w:szCs w:val="24"/>
        </w:rPr>
        <w:t>проследимост</w:t>
      </w:r>
      <w:proofErr w:type="spellEnd"/>
      <w:r w:rsidRPr="00056DFA">
        <w:rPr>
          <w:sz w:val="24"/>
          <w:szCs w:val="24"/>
        </w:rPr>
        <w:t xml:space="preserve">, точност и достоверност на измерванията, постигане на по-висока степен на доверие при обществените отношения, основани на измерванията, предоставяне на метрологични знания и опит на високо научно и техническо ниво в подкрепа на </w:t>
      </w:r>
      <w:proofErr w:type="spellStart"/>
      <w:r w:rsidRPr="00056DFA">
        <w:rPr>
          <w:sz w:val="24"/>
          <w:szCs w:val="24"/>
        </w:rPr>
        <w:t>конкурентноспособността</w:t>
      </w:r>
      <w:proofErr w:type="spellEnd"/>
      <w:r w:rsidRPr="00056DFA">
        <w:rPr>
          <w:sz w:val="24"/>
          <w:szCs w:val="24"/>
        </w:rPr>
        <w:t xml:space="preserve">, ефективен контрол за спазване на законодателството, осигуряващо условия за свободно движение на стоки и преодоляване на техническите бариери пред търговията, ефективен надзор за безопасността на продуктите пуснати на пазара и в действие, участие в процеса на подготовка и приемане на актове и решения на ЕС за развитие на </w:t>
      </w:r>
      <w:proofErr w:type="spellStart"/>
      <w:r w:rsidRPr="00056DFA">
        <w:rPr>
          <w:sz w:val="24"/>
          <w:szCs w:val="24"/>
        </w:rPr>
        <w:t>Общностната</w:t>
      </w:r>
      <w:proofErr w:type="spellEnd"/>
      <w:r w:rsidRPr="00056DFA">
        <w:rPr>
          <w:sz w:val="24"/>
          <w:szCs w:val="24"/>
        </w:rPr>
        <w:t xml:space="preserve"> политика и принципите, заложени в хармонизираното техническо законодателство, подобрен достъп до услуги по оценяване на съответствието, осигуряване на предпоставки за признато съответствие на българските продукти и развитие и подобряване на националната инфраструктура по качеството.</w:t>
      </w:r>
    </w:p>
    <w:p w:rsidR="00855A7E" w:rsidRDefault="00855A7E" w:rsidP="00855A7E">
      <w:pPr>
        <w:tabs>
          <w:tab w:val="num" w:pos="720"/>
          <w:tab w:val="left" w:pos="851"/>
        </w:tabs>
        <w:spacing w:before="0" w:after="0"/>
        <w:jc w:val="both"/>
        <w:rPr>
          <w:sz w:val="24"/>
          <w:szCs w:val="24"/>
        </w:rPr>
      </w:pPr>
      <w:r w:rsidRPr="00056DFA">
        <w:rPr>
          <w:sz w:val="24"/>
          <w:szCs w:val="24"/>
        </w:rPr>
        <w:tab/>
        <w:t>Дейностите и мерките, подлежащи на изпълнение по програмата, осигуряват провеждането на държавната политика за осъществяване на надзор на пазара, технически надзор на съоръжения с повишена опасност, осъществяване на проверки на средства за измерване, издаване на разрешения за оценяване на съответствието, защита на интересите на държавата, повишаване на доверието в икономическите оператори, развитие на иновациите и научноизследователската и развойната дейност, пресичане на нечестната конкуренция и живота и здравето на хората, защита на интересите на потребителите и опазване на околната среда, спазване на принципите, заложени в хармонизираното законодателство, преодоляване на техническите пречки пред търговията и като цяло развитие на инфраструктурата за подобряване на качеството в българската икономика. През 2017 г. по заложените в програмата цели са изпълнени всички предвидени за изпълнението им дейности, в съответствие с утвърдените графици, като по-голяма част от планираните целеви стойности са постигнати, а някои от тях са преизпълнени.</w:t>
      </w:r>
    </w:p>
    <w:p w:rsidR="00300FE8" w:rsidRPr="00056DFA" w:rsidRDefault="00300FE8" w:rsidP="00855A7E">
      <w:pPr>
        <w:tabs>
          <w:tab w:val="num" w:pos="720"/>
          <w:tab w:val="left" w:pos="851"/>
        </w:tabs>
        <w:spacing w:before="0" w:after="0"/>
        <w:jc w:val="both"/>
        <w:rPr>
          <w:rFonts w:eastAsia="Calibri"/>
          <w:sz w:val="24"/>
          <w:szCs w:val="24"/>
        </w:rPr>
      </w:pPr>
    </w:p>
    <w:p w:rsidR="00855A7E" w:rsidRPr="00056DFA" w:rsidRDefault="00855A7E" w:rsidP="00855A7E">
      <w:pPr>
        <w:spacing w:before="0" w:after="0"/>
        <w:jc w:val="both"/>
        <w:rPr>
          <w:rFonts w:eastAsia="Calibri"/>
          <w:b/>
          <w:sz w:val="24"/>
          <w:szCs w:val="24"/>
        </w:rPr>
      </w:pPr>
      <w:r w:rsidRPr="00056DFA">
        <w:rPr>
          <w:rFonts w:eastAsia="Calibri"/>
          <w:b/>
          <w:sz w:val="24"/>
          <w:szCs w:val="24"/>
        </w:rPr>
        <w:lastRenderedPageBreak/>
        <w:t>Бюджетна програма „Подобряване възможностите за участие в единния европейски пазар”</w:t>
      </w:r>
    </w:p>
    <w:p w:rsidR="00855A7E" w:rsidRPr="00056DFA" w:rsidRDefault="00855A7E" w:rsidP="00855A7E">
      <w:pPr>
        <w:tabs>
          <w:tab w:val="left" w:pos="567"/>
          <w:tab w:val="num" w:pos="720"/>
        </w:tabs>
        <w:spacing w:before="0" w:after="0"/>
        <w:jc w:val="both"/>
        <w:rPr>
          <w:rFonts w:eastAsia="Calibri"/>
          <w:bCs/>
          <w:iCs/>
          <w:sz w:val="24"/>
          <w:szCs w:val="24"/>
        </w:rPr>
      </w:pPr>
      <w:r w:rsidRPr="00056DFA">
        <w:rPr>
          <w:rFonts w:eastAsia="Calibri"/>
          <w:sz w:val="24"/>
          <w:szCs w:val="24"/>
        </w:rPr>
        <w:t xml:space="preserve">Заложените по програмата цели са свързани с: </w:t>
      </w:r>
      <w:r w:rsidRPr="00056DFA">
        <w:rPr>
          <w:rFonts w:eastAsia="Calibri"/>
          <w:bCs/>
          <w:iCs/>
          <w:sz w:val="24"/>
          <w:szCs w:val="24"/>
        </w:rPr>
        <w:t xml:space="preserve">хармонизиране на българското законодателство, попадащо в обхвата на раздели „Свободно движение на стоки” и „Право на установяване и свободно предоставяне на услуги”. Продуктовите групи, попадащи в обхвата на компетентност са продукти, за които има нормативно определени изисквания за безопасност, обществени поръчки, енергийна ефективност на </w:t>
      </w:r>
      <w:proofErr w:type="spellStart"/>
      <w:r w:rsidRPr="00056DFA">
        <w:rPr>
          <w:rFonts w:eastAsia="Calibri"/>
          <w:bCs/>
          <w:iCs/>
          <w:sz w:val="24"/>
          <w:szCs w:val="24"/>
        </w:rPr>
        <w:t>енергопотребяващи</w:t>
      </w:r>
      <w:proofErr w:type="spellEnd"/>
      <w:r w:rsidRPr="00056DFA">
        <w:rPr>
          <w:rFonts w:eastAsia="Calibri"/>
          <w:bCs/>
          <w:iCs/>
          <w:sz w:val="24"/>
          <w:szCs w:val="24"/>
        </w:rPr>
        <w:t xml:space="preserve"> продукти, шум от машини и битови уреди, законова метрология и предварително опаковани продукти, акредитация и стандартизация. Изпълняват се задълженията на звено за контакт относно продукти по смисъла на чл. 9 от Регламент (ЕО) № 764/2008 на Европейския парламент и на Съвета и на Национален информационен център за обмен на информация за проекти на технически регламенти с Европейската комисия. Координират се дейностите във връзка с правилното прилагане от националните компетентни органи на изискванията и разпоредбите на Директива 2006/123/ЕО на Европейския парламент и на Съвета относно услугите на вътрешния пазар, свързани с установяването и трансграничното предоставяне на услуги, функционирането на Единното звено за контакт относно доставчиците на услуги, координира се участието на Република България в информационната система на вътрешния пазар на ЕС в частта относно доставчиците на услуги.</w:t>
      </w:r>
    </w:p>
    <w:p w:rsidR="00855A7E" w:rsidRPr="00056DFA" w:rsidRDefault="00855A7E" w:rsidP="00855A7E">
      <w:pPr>
        <w:tabs>
          <w:tab w:val="left" w:pos="567"/>
          <w:tab w:val="num" w:pos="720"/>
        </w:tabs>
        <w:spacing w:before="0" w:after="0"/>
        <w:jc w:val="both"/>
        <w:rPr>
          <w:rFonts w:eastAsia="Calibri"/>
          <w:sz w:val="24"/>
          <w:szCs w:val="24"/>
        </w:rPr>
      </w:pPr>
      <w:r w:rsidRPr="00056DFA">
        <w:rPr>
          <w:rFonts w:eastAsia="Calibri"/>
          <w:sz w:val="24"/>
          <w:szCs w:val="24"/>
        </w:rPr>
        <w:t>Заложените в програмата цели са изпълнявани за всички предвидени дейности в определените за това срокове и в съответствие с графика, като изпълнението на показателите е в съответствие с утвърдения график и може да се приеме, че целевите стойности до голяма степен са постигнати.</w:t>
      </w:r>
    </w:p>
    <w:p w:rsidR="00855A7E" w:rsidRPr="00056DFA" w:rsidRDefault="00855A7E" w:rsidP="002A1989">
      <w:pPr>
        <w:spacing w:before="0" w:after="0"/>
        <w:jc w:val="both"/>
        <w:rPr>
          <w:b/>
          <w:sz w:val="24"/>
          <w:szCs w:val="24"/>
        </w:rPr>
      </w:pPr>
      <w:r w:rsidRPr="00056DFA">
        <w:rPr>
          <w:b/>
          <w:sz w:val="24"/>
          <w:szCs w:val="24"/>
        </w:rPr>
        <w:t xml:space="preserve">Бюджетна програма „Управление на програми и проекти, </w:t>
      </w:r>
      <w:proofErr w:type="spellStart"/>
      <w:r w:rsidRPr="00056DFA">
        <w:rPr>
          <w:b/>
          <w:sz w:val="24"/>
          <w:szCs w:val="24"/>
        </w:rPr>
        <w:t>съфинансирани</w:t>
      </w:r>
      <w:proofErr w:type="spellEnd"/>
      <w:r w:rsidRPr="00056DFA">
        <w:rPr>
          <w:b/>
          <w:sz w:val="24"/>
          <w:szCs w:val="24"/>
        </w:rPr>
        <w:t xml:space="preserve"> от ЕС”</w:t>
      </w:r>
    </w:p>
    <w:p w:rsidR="00855A7E" w:rsidRPr="00056DFA" w:rsidRDefault="00855A7E" w:rsidP="002A1989">
      <w:pPr>
        <w:spacing w:before="0" w:after="0"/>
        <w:jc w:val="both"/>
        <w:rPr>
          <w:sz w:val="24"/>
          <w:szCs w:val="24"/>
        </w:rPr>
      </w:pPr>
      <w:r w:rsidRPr="00056DFA">
        <w:rPr>
          <w:sz w:val="24"/>
          <w:szCs w:val="24"/>
        </w:rPr>
        <w:t>През отчетния период 01.</w:t>
      </w:r>
      <w:proofErr w:type="spellStart"/>
      <w:r w:rsidRPr="00056DFA">
        <w:rPr>
          <w:sz w:val="24"/>
          <w:szCs w:val="24"/>
        </w:rPr>
        <w:t>01</w:t>
      </w:r>
      <w:proofErr w:type="spellEnd"/>
      <w:r w:rsidRPr="00056DFA">
        <w:rPr>
          <w:sz w:val="24"/>
          <w:szCs w:val="24"/>
        </w:rPr>
        <w:t>.2017-31.12.2017 г. по ОП „Иновации и конкурентоспособност” (ОПИК) 2014-2020 са:</w:t>
      </w:r>
    </w:p>
    <w:p w:rsidR="00855A7E" w:rsidRPr="00056DFA" w:rsidRDefault="00855A7E" w:rsidP="002A1989">
      <w:pPr>
        <w:spacing w:before="0" w:after="0"/>
        <w:jc w:val="both"/>
        <w:rPr>
          <w:sz w:val="24"/>
          <w:szCs w:val="24"/>
        </w:rPr>
      </w:pPr>
      <w:r w:rsidRPr="00056DFA">
        <w:rPr>
          <w:sz w:val="24"/>
          <w:szCs w:val="24"/>
        </w:rPr>
        <w:t>1) Разработени проекти на Насоки за кандидатстване и пакет документи към тях по следните процедури:</w:t>
      </w:r>
    </w:p>
    <w:p w:rsidR="00855A7E" w:rsidRPr="00056DFA" w:rsidRDefault="00855A7E" w:rsidP="002A1989">
      <w:pPr>
        <w:spacing w:before="0" w:after="0"/>
        <w:jc w:val="both"/>
        <w:rPr>
          <w:b/>
          <w:sz w:val="24"/>
          <w:szCs w:val="24"/>
        </w:rPr>
      </w:pPr>
      <w:r w:rsidRPr="00056DFA">
        <w:rPr>
          <w:b/>
          <w:sz w:val="24"/>
          <w:szCs w:val="24"/>
        </w:rPr>
        <w:tab/>
        <w:t>Приоритетна ос 1:</w:t>
      </w:r>
    </w:p>
    <w:p w:rsidR="00855A7E" w:rsidRPr="00056DFA" w:rsidRDefault="00855A7E" w:rsidP="002A1989">
      <w:pPr>
        <w:numPr>
          <w:ilvl w:val="0"/>
          <w:numId w:val="3"/>
        </w:numPr>
        <w:tabs>
          <w:tab w:val="clear" w:pos="746"/>
          <w:tab w:val="left" w:pos="993"/>
        </w:tabs>
        <w:spacing w:before="0" w:after="0"/>
        <w:ind w:left="0" w:firstLine="567"/>
        <w:jc w:val="both"/>
        <w:rPr>
          <w:sz w:val="24"/>
          <w:szCs w:val="24"/>
        </w:rPr>
      </w:pPr>
      <w:r w:rsidRPr="00056DFA">
        <w:rPr>
          <w:sz w:val="24"/>
          <w:szCs w:val="24"/>
        </w:rPr>
        <w:t>„Разработване на продуктови и производствени иновации” с бюджет 35</w:t>
      </w:r>
      <w:r w:rsidR="00BE152A">
        <w:rPr>
          <w:sz w:val="24"/>
          <w:szCs w:val="24"/>
        </w:rPr>
        <w:t>,0</w:t>
      </w:r>
      <w:r w:rsidRPr="00056DFA">
        <w:rPr>
          <w:sz w:val="24"/>
          <w:szCs w:val="24"/>
        </w:rPr>
        <w:t xml:space="preserve"> млн. евро; </w:t>
      </w:r>
    </w:p>
    <w:p w:rsidR="00855A7E" w:rsidRPr="00056DFA" w:rsidRDefault="00855A7E" w:rsidP="002A1989">
      <w:pPr>
        <w:numPr>
          <w:ilvl w:val="0"/>
          <w:numId w:val="3"/>
        </w:numPr>
        <w:tabs>
          <w:tab w:val="clear" w:pos="746"/>
          <w:tab w:val="left" w:pos="993"/>
        </w:tabs>
        <w:spacing w:before="0" w:after="0"/>
        <w:ind w:left="0" w:firstLine="567"/>
        <w:jc w:val="both"/>
        <w:rPr>
          <w:sz w:val="24"/>
          <w:szCs w:val="24"/>
        </w:rPr>
      </w:pPr>
      <w:r w:rsidRPr="00056DFA">
        <w:rPr>
          <w:sz w:val="24"/>
          <w:szCs w:val="24"/>
        </w:rPr>
        <w:t>„Развитие на модерна система за индустриална собственост чрез подкрепа за дейността на Патентно ведомство на Република България” с бюджет 4</w:t>
      </w:r>
      <w:r w:rsidR="00BE152A">
        <w:rPr>
          <w:sz w:val="24"/>
          <w:szCs w:val="24"/>
        </w:rPr>
        <w:t>,</w:t>
      </w:r>
      <w:r w:rsidRPr="00056DFA">
        <w:rPr>
          <w:sz w:val="24"/>
          <w:szCs w:val="24"/>
        </w:rPr>
        <w:t>5 млн. евро.</w:t>
      </w:r>
    </w:p>
    <w:p w:rsidR="00855A7E" w:rsidRPr="00056DFA" w:rsidRDefault="00855A7E" w:rsidP="002A1989">
      <w:pPr>
        <w:spacing w:before="0" w:after="0"/>
        <w:jc w:val="both"/>
        <w:rPr>
          <w:sz w:val="24"/>
          <w:szCs w:val="24"/>
        </w:rPr>
      </w:pPr>
      <w:r w:rsidRPr="00056DFA">
        <w:rPr>
          <w:b/>
          <w:sz w:val="24"/>
          <w:szCs w:val="24"/>
        </w:rPr>
        <w:tab/>
        <w:t>Приоритетна ос 2</w:t>
      </w:r>
    </w:p>
    <w:p w:rsidR="00855A7E" w:rsidRPr="00056DFA" w:rsidRDefault="00855A7E" w:rsidP="002A1989">
      <w:pPr>
        <w:numPr>
          <w:ilvl w:val="0"/>
          <w:numId w:val="3"/>
        </w:numPr>
        <w:tabs>
          <w:tab w:val="clear" w:pos="746"/>
          <w:tab w:val="num" w:pos="709"/>
          <w:tab w:val="left" w:pos="993"/>
        </w:tabs>
        <w:spacing w:before="0" w:after="0"/>
        <w:ind w:left="0" w:firstLine="567"/>
        <w:jc w:val="both"/>
        <w:rPr>
          <w:sz w:val="24"/>
          <w:szCs w:val="24"/>
        </w:rPr>
      </w:pPr>
      <w:r w:rsidRPr="00056DFA">
        <w:rPr>
          <w:sz w:val="24"/>
          <w:szCs w:val="24"/>
        </w:rPr>
        <w:t>„Подобряване на бизнес средата за българските производители и създаване на условия за изпитване на съоръжения чрез подкрепа за дейността на Български институт п</w:t>
      </w:r>
      <w:r w:rsidR="00BE152A">
        <w:rPr>
          <w:sz w:val="24"/>
          <w:szCs w:val="24"/>
        </w:rPr>
        <w:t>о метрология (БИМ) ” с бюджет 2,0</w:t>
      </w:r>
      <w:r w:rsidRPr="00056DFA">
        <w:rPr>
          <w:sz w:val="24"/>
          <w:szCs w:val="24"/>
        </w:rPr>
        <w:t xml:space="preserve"> млн. евро; </w:t>
      </w:r>
    </w:p>
    <w:p w:rsidR="00855A7E" w:rsidRPr="00056DFA" w:rsidRDefault="00855A7E" w:rsidP="002A1989">
      <w:pPr>
        <w:numPr>
          <w:ilvl w:val="0"/>
          <w:numId w:val="3"/>
        </w:numPr>
        <w:tabs>
          <w:tab w:val="clear" w:pos="746"/>
          <w:tab w:val="num" w:pos="709"/>
          <w:tab w:val="left" w:pos="993"/>
        </w:tabs>
        <w:spacing w:before="0" w:after="0"/>
        <w:ind w:left="0" w:firstLine="567"/>
        <w:jc w:val="both"/>
        <w:rPr>
          <w:sz w:val="24"/>
          <w:szCs w:val="24"/>
        </w:rPr>
      </w:pPr>
      <w:r w:rsidRPr="00056DFA">
        <w:rPr>
          <w:sz w:val="24"/>
          <w:szCs w:val="24"/>
        </w:rPr>
        <w:t>„Предоставяне на институционална подкрепа на Министерство на туризма за дейности, свързани с повишаване на капацитета на МСП в областта на туризма” с бюджет 5</w:t>
      </w:r>
      <w:r w:rsidR="00BE152A">
        <w:rPr>
          <w:sz w:val="24"/>
          <w:szCs w:val="24"/>
        </w:rPr>
        <w:t>,0</w:t>
      </w:r>
      <w:r w:rsidRPr="00056DFA">
        <w:rPr>
          <w:sz w:val="24"/>
          <w:szCs w:val="24"/>
        </w:rPr>
        <w:t xml:space="preserve"> млн. евро;</w:t>
      </w:r>
    </w:p>
    <w:p w:rsidR="00855A7E" w:rsidRPr="00056DFA" w:rsidRDefault="00855A7E" w:rsidP="002A1989">
      <w:pPr>
        <w:numPr>
          <w:ilvl w:val="0"/>
          <w:numId w:val="3"/>
        </w:numPr>
        <w:tabs>
          <w:tab w:val="clear" w:pos="746"/>
          <w:tab w:val="num" w:pos="709"/>
          <w:tab w:val="left" w:pos="993"/>
        </w:tabs>
        <w:spacing w:before="0" w:after="0"/>
        <w:ind w:left="0" w:firstLine="567"/>
        <w:jc w:val="both"/>
        <w:rPr>
          <w:sz w:val="24"/>
          <w:szCs w:val="24"/>
        </w:rPr>
      </w:pPr>
      <w:r w:rsidRPr="00056DFA">
        <w:rPr>
          <w:sz w:val="24"/>
          <w:szCs w:val="24"/>
        </w:rPr>
        <w:t xml:space="preserve">Подкрепа за растеж на малките и средни предприятия (МСП) чрез пилотно прилагане на </w:t>
      </w:r>
      <w:proofErr w:type="spellStart"/>
      <w:r w:rsidRPr="00056DFA">
        <w:rPr>
          <w:sz w:val="24"/>
          <w:szCs w:val="24"/>
        </w:rPr>
        <w:t>ваучерни</w:t>
      </w:r>
      <w:proofErr w:type="spellEnd"/>
      <w:r w:rsidRPr="00056DFA">
        <w:rPr>
          <w:sz w:val="24"/>
          <w:szCs w:val="24"/>
        </w:rPr>
        <w:t xml:space="preserve"> схеми от Изпълнителната агенция за насърчаване на малките и средни предприятия (ИАНМСП)” с бюджет от 7</w:t>
      </w:r>
      <w:r w:rsidR="00BE152A">
        <w:rPr>
          <w:sz w:val="24"/>
          <w:szCs w:val="24"/>
        </w:rPr>
        <w:t>,0</w:t>
      </w:r>
      <w:r w:rsidRPr="00056DFA">
        <w:rPr>
          <w:sz w:val="24"/>
          <w:szCs w:val="24"/>
        </w:rPr>
        <w:t xml:space="preserve"> млн. евро;</w:t>
      </w:r>
    </w:p>
    <w:p w:rsidR="00855A7E" w:rsidRPr="00056DFA" w:rsidRDefault="00855A7E" w:rsidP="002A1989">
      <w:pPr>
        <w:spacing w:before="0" w:after="0"/>
        <w:jc w:val="both"/>
        <w:rPr>
          <w:sz w:val="24"/>
          <w:szCs w:val="24"/>
        </w:rPr>
      </w:pPr>
      <w:r w:rsidRPr="00056DFA">
        <w:rPr>
          <w:b/>
          <w:sz w:val="24"/>
          <w:szCs w:val="24"/>
        </w:rPr>
        <w:t>Приоритетна ос 3</w:t>
      </w:r>
    </w:p>
    <w:p w:rsidR="00855A7E" w:rsidRPr="00056DFA" w:rsidRDefault="00855A7E" w:rsidP="002A1989">
      <w:pPr>
        <w:numPr>
          <w:ilvl w:val="0"/>
          <w:numId w:val="3"/>
        </w:numPr>
        <w:tabs>
          <w:tab w:val="clear" w:pos="746"/>
          <w:tab w:val="left" w:pos="993"/>
        </w:tabs>
        <w:spacing w:before="0" w:after="0"/>
        <w:ind w:left="0" w:firstLine="567"/>
        <w:jc w:val="both"/>
        <w:rPr>
          <w:sz w:val="24"/>
          <w:szCs w:val="24"/>
        </w:rPr>
      </w:pPr>
      <w:r w:rsidRPr="00056DFA">
        <w:rPr>
          <w:sz w:val="24"/>
          <w:szCs w:val="24"/>
        </w:rPr>
        <w:t>„Устойчиво енергийно развитие на българските предприятия чрез подкрепа за дейността на АУЕР” с бюджет от 4</w:t>
      </w:r>
      <w:r w:rsidR="00BE152A">
        <w:rPr>
          <w:sz w:val="24"/>
          <w:szCs w:val="24"/>
        </w:rPr>
        <w:t>,0</w:t>
      </w:r>
      <w:r w:rsidRPr="00056DFA">
        <w:rPr>
          <w:sz w:val="24"/>
          <w:szCs w:val="24"/>
        </w:rPr>
        <w:t xml:space="preserve"> млн. евро; </w:t>
      </w:r>
    </w:p>
    <w:p w:rsidR="00855A7E" w:rsidRDefault="00855A7E" w:rsidP="002A1989">
      <w:pPr>
        <w:numPr>
          <w:ilvl w:val="0"/>
          <w:numId w:val="3"/>
        </w:numPr>
        <w:tabs>
          <w:tab w:val="clear" w:pos="746"/>
          <w:tab w:val="left" w:pos="993"/>
        </w:tabs>
        <w:spacing w:before="0" w:after="0"/>
        <w:ind w:left="0" w:firstLine="567"/>
        <w:jc w:val="both"/>
        <w:rPr>
          <w:sz w:val="24"/>
          <w:szCs w:val="24"/>
        </w:rPr>
      </w:pPr>
      <w:r w:rsidRPr="00056DFA">
        <w:rPr>
          <w:sz w:val="24"/>
          <w:szCs w:val="24"/>
        </w:rPr>
        <w:t>„Подкрепа за пилотни и демонстрационни инициативи за ефективно използване на ресурсите” с бюджет от 36</w:t>
      </w:r>
      <w:r w:rsidR="00BE152A">
        <w:rPr>
          <w:sz w:val="24"/>
          <w:szCs w:val="24"/>
        </w:rPr>
        <w:t>,</w:t>
      </w:r>
      <w:r w:rsidRPr="00056DFA">
        <w:rPr>
          <w:sz w:val="24"/>
          <w:szCs w:val="24"/>
        </w:rPr>
        <w:t xml:space="preserve">6 млн. евро; </w:t>
      </w:r>
    </w:p>
    <w:p w:rsidR="008747F0" w:rsidRDefault="008747F0" w:rsidP="008747F0">
      <w:pPr>
        <w:tabs>
          <w:tab w:val="left" w:pos="993"/>
        </w:tabs>
        <w:spacing w:before="0" w:after="0"/>
        <w:jc w:val="both"/>
        <w:rPr>
          <w:sz w:val="24"/>
          <w:szCs w:val="24"/>
        </w:rPr>
      </w:pPr>
    </w:p>
    <w:p w:rsidR="008747F0" w:rsidRDefault="008747F0" w:rsidP="008747F0">
      <w:pPr>
        <w:tabs>
          <w:tab w:val="left" w:pos="993"/>
        </w:tabs>
        <w:spacing w:before="0" w:after="0"/>
        <w:jc w:val="both"/>
        <w:rPr>
          <w:sz w:val="24"/>
          <w:szCs w:val="24"/>
        </w:rPr>
      </w:pPr>
    </w:p>
    <w:p w:rsidR="008747F0" w:rsidRPr="00056DFA" w:rsidRDefault="008747F0" w:rsidP="008747F0">
      <w:pPr>
        <w:tabs>
          <w:tab w:val="left" w:pos="993"/>
        </w:tabs>
        <w:spacing w:before="0" w:after="0"/>
        <w:jc w:val="both"/>
        <w:rPr>
          <w:sz w:val="24"/>
          <w:szCs w:val="24"/>
        </w:rPr>
      </w:pPr>
    </w:p>
    <w:p w:rsidR="00855A7E" w:rsidRPr="00056DFA" w:rsidRDefault="00855A7E" w:rsidP="002A1989">
      <w:pPr>
        <w:spacing w:before="0" w:after="0"/>
        <w:jc w:val="both"/>
        <w:rPr>
          <w:sz w:val="24"/>
          <w:szCs w:val="24"/>
        </w:rPr>
      </w:pPr>
      <w:r w:rsidRPr="00056DFA">
        <w:rPr>
          <w:b/>
          <w:sz w:val="24"/>
          <w:szCs w:val="24"/>
        </w:rPr>
        <w:t>Приоритетна ос 4</w:t>
      </w:r>
    </w:p>
    <w:p w:rsidR="00855A7E" w:rsidRPr="00056DFA" w:rsidRDefault="00855A7E" w:rsidP="002A1989">
      <w:pPr>
        <w:numPr>
          <w:ilvl w:val="0"/>
          <w:numId w:val="3"/>
        </w:numPr>
        <w:tabs>
          <w:tab w:val="left" w:pos="993"/>
        </w:tabs>
        <w:spacing w:before="0" w:after="0"/>
        <w:ind w:left="0" w:firstLine="567"/>
        <w:jc w:val="both"/>
        <w:rPr>
          <w:sz w:val="24"/>
          <w:szCs w:val="24"/>
        </w:rPr>
      </w:pPr>
      <w:r w:rsidRPr="00056DFA">
        <w:rPr>
          <w:sz w:val="24"/>
          <w:szCs w:val="24"/>
        </w:rPr>
        <w:t xml:space="preserve">„Техническа помощ за завършване на подготвителните дейности, необходими за стартиране на строителството на </w:t>
      </w:r>
      <w:proofErr w:type="spellStart"/>
      <w:r w:rsidRPr="00056DFA">
        <w:rPr>
          <w:sz w:val="24"/>
          <w:szCs w:val="24"/>
        </w:rPr>
        <w:t>междусистемна</w:t>
      </w:r>
      <w:proofErr w:type="spellEnd"/>
      <w:r w:rsidRPr="00056DFA">
        <w:rPr>
          <w:sz w:val="24"/>
          <w:szCs w:val="24"/>
        </w:rPr>
        <w:t xml:space="preserve"> газова връзка България – Сърбия” с бюджет от 6</w:t>
      </w:r>
      <w:r w:rsidR="00BE152A">
        <w:rPr>
          <w:sz w:val="24"/>
          <w:szCs w:val="24"/>
        </w:rPr>
        <w:t>,0</w:t>
      </w:r>
      <w:r w:rsidRPr="00056DFA">
        <w:rPr>
          <w:sz w:val="24"/>
          <w:szCs w:val="24"/>
        </w:rPr>
        <w:t xml:space="preserve"> млн. евро;    </w:t>
      </w:r>
    </w:p>
    <w:p w:rsidR="00855A7E" w:rsidRPr="00056DFA" w:rsidRDefault="00855A7E" w:rsidP="002A1989">
      <w:pPr>
        <w:spacing w:before="0" w:after="0"/>
        <w:jc w:val="both"/>
        <w:rPr>
          <w:b/>
          <w:sz w:val="24"/>
          <w:szCs w:val="24"/>
        </w:rPr>
      </w:pPr>
      <w:r w:rsidRPr="00056DFA">
        <w:rPr>
          <w:b/>
          <w:sz w:val="24"/>
          <w:szCs w:val="24"/>
        </w:rPr>
        <w:t>Приоритетна ос 5</w:t>
      </w:r>
    </w:p>
    <w:p w:rsidR="00855A7E" w:rsidRPr="00056DFA" w:rsidRDefault="00855A7E" w:rsidP="002A1989">
      <w:pPr>
        <w:numPr>
          <w:ilvl w:val="0"/>
          <w:numId w:val="3"/>
        </w:numPr>
        <w:tabs>
          <w:tab w:val="left" w:pos="993"/>
        </w:tabs>
        <w:spacing w:before="0" w:after="0"/>
        <w:ind w:left="0" w:firstLine="567"/>
        <w:jc w:val="both"/>
        <w:rPr>
          <w:sz w:val="24"/>
          <w:szCs w:val="24"/>
        </w:rPr>
      </w:pPr>
      <w:r w:rsidRPr="00056DFA">
        <w:rPr>
          <w:sz w:val="24"/>
          <w:szCs w:val="24"/>
        </w:rPr>
        <w:t>Техническа помощ.</w:t>
      </w:r>
    </w:p>
    <w:p w:rsidR="00855A7E" w:rsidRPr="00056DFA" w:rsidRDefault="00855A7E" w:rsidP="002A1989">
      <w:pPr>
        <w:spacing w:before="0" w:after="0"/>
        <w:jc w:val="both"/>
        <w:rPr>
          <w:sz w:val="24"/>
          <w:szCs w:val="24"/>
        </w:rPr>
      </w:pPr>
      <w:r w:rsidRPr="00056DFA">
        <w:rPr>
          <w:sz w:val="24"/>
          <w:szCs w:val="24"/>
        </w:rPr>
        <w:t>2) Обявени са процедури за предоставяне на безвъзмездна финансова помощ (БФП) по ОПИК по 9 проекта.</w:t>
      </w:r>
    </w:p>
    <w:p w:rsidR="00855A7E" w:rsidRPr="00056DFA" w:rsidRDefault="00855A7E" w:rsidP="002A1989">
      <w:pPr>
        <w:spacing w:before="0" w:after="0"/>
        <w:jc w:val="both"/>
        <w:rPr>
          <w:sz w:val="24"/>
          <w:szCs w:val="24"/>
        </w:rPr>
      </w:pPr>
      <w:r w:rsidRPr="00056DFA">
        <w:rPr>
          <w:sz w:val="24"/>
          <w:szCs w:val="24"/>
        </w:rPr>
        <w:t>3) Договорени са общо 1,</w:t>
      </w:r>
      <w:r w:rsidR="00BE152A">
        <w:rPr>
          <w:sz w:val="24"/>
          <w:szCs w:val="24"/>
        </w:rPr>
        <w:t>6</w:t>
      </w:r>
      <w:r w:rsidRPr="00056DFA">
        <w:rPr>
          <w:sz w:val="24"/>
          <w:szCs w:val="24"/>
        </w:rPr>
        <w:t xml:space="preserve"> м</w:t>
      </w:r>
      <w:r w:rsidR="00BE152A">
        <w:rPr>
          <w:sz w:val="24"/>
          <w:szCs w:val="24"/>
        </w:rPr>
        <w:t>лн. лв., което представлява 63,9</w:t>
      </w:r>
      <w:r w:rsidRPr="00056DFA">
        <w:rPr>
          <w:sz w:val="24"/>
          <w:szCs w:val="24"/>
        </w:rPr>
        <w:t>% от средствата по програмата.</w:t>
      </w:r>
    </w:p>
    <w:p w:rsidR="00855A7E" w:rsidRPr="00056DFA" w:rsidRDefault="00855A7E" w:rsidP="002A1989">
      <w:pPr>
        <w:spacing w:before="0" w:after="0"/>
        <w:jc w:val="both"/>
        <w:rPr>
          <w:sz w:val="24"/>
          <w:szCs w:val="24"/>
        </w:rPr>
      </w:pPr>
      <w:r w:rsidRPr="00056DFA">
        <w:rPr>
          <w:sz w:val="24"/>
          <w:szCs w:val="24"/>
        </w:rPr>
        <w:t>4) През отчетния период са извършени плащания на стойност 307</w:t>
      </w:r>
      <w:r w:rsidR="00BE152A">
        <w:rPr>
          <w:sz w:val="24"/>
          <w:szCs w:val="24"/>
        </w:rPr>
        <w:t>,</w:t>
      </w:r>
      <w:r w:rsidRPr="00056DFA">
        <w:rPr>
          <w:sz w:val="24"/>
          <w:szCs w:val="24"/>
        </w:rPr>
        <w:t>7</w:t>
      </w:r>
      <w:r w:rsidR="00BE152A">
        <w:rPr>
          <w:sz w:val="24"/>
          <w:szCs w:val="24"/>
        </w:rPr>
        <w:t xml:space="preserve"> млн.</w:t>
      </w:r>
      <w:r w:rsidRPr="00056DFA">
        <w:rPr>
          <w:sz w:val="24"/>
          <w:szCs w:val="24"/>
        </w:rPr>
        <w:t xml:space="preserve"> лв., като  41</w:t>
      </w:r>
      <w:r w:rsidR="00BE152A">
        <w:rPr>
          <w:sz w:val="24"/>
          <w:szCs w:val="24"/>
        </w:rPr>
        <w:t>,</w:t>
      </w:r>
      <w:r w:rsidRPr="00056DFA">
        <w:rPr>
          <w:sz w:val="24"/>
          <w:szCs w:val="24"/>
        </w:rPr>
        <w:t>1</w:t>
      </w:r>
      <w:r w:rsidR="00BE152A">
        <w:rPr>
          <w:sz w:val="24"/>
          <w:szCs w:val="24"/>
        </w:rPr>
        <w:t xml:space="preserve"> млн.</w:t>
      </w:r>
      <w:r w:rsidRPr="00056DFA">
        <w:rPr>
          <w:sz w:val="24"/>
          <w:szCs w:val="24"/>
        </w:rPr>
        <w:t xml:space="preserve"> лв. са по Приоритетна ос 1 „Технологично развитие и иновации”,  </w:t>
      </w:r>
      <w:r w:rsidR="00BE152A" w:rsidRPr="00056DFA">
        <w:rPr>
          <w:sz w:val="24"/>
          <w:szCs w:val="24"/>
        </w:rPr>
        <w:t>24</w:t>
      </w:r>
      <w:r w:rsidR="00BE152A">
        <w:rPr>
          <w:sz w:val="24"/>
          <w:szCs w:val="24"/>
        </w:rPr>
        <w:t>6,0</w:t>
      </w:r>
      <w:r w:rsidR="00BE152A" w:rsidRPr="00056DFA">
        <w:rPr>
          <w:sz w:val="24"/>
          <w:szCs w:val="24"/>
        </w:rPr>
        <w:t> </w:t>
      </w:r>
      <w:r w:rsidR="00BE152A">
        <w:rPr>
          <w:sz w:val="24"/>
          <w:szCs w:val="24"/>
        </w:rPr>
        <w:t>млн.</w:t>
      </w:r>
      <w:r w:rsidR="00BE152A" w:rsidRPr="00056DFA">
        <w:rPr>
          <w:sz w:val="24"/>
          <w:szCs w:val="24"/>
        </w:rPr>
        <w:t xml:space="preserve"> лв. </w:t>
      </w:r>
      <w:r w:rsidRPr="00056DFA">
        <w:rPr>
          <w:sz w:val="24"/>
          <w:szCs w:val="24"/>
        </w:rPr>
        <w:t>по Приоритетна ос 2 „Предприемачество и капацитет за растеж на МСП”, 9</w:t>
      </w:r>
      <w:r w:rsidR="00BE152A">
        <w:rPr>
          <w:sz w:val="24"/>
          <w:szCs w:val="24"/>
        </w:rPr>
        <w:t>,</w:t>
      </w:r>
      <w:r w:rsidRPr="00056DFA">
        <w:rPr>
          <w:sz w:val="24"/>
          <w:szCs w:val="24"/>
        </w:rPr>
        <w:t>8</w:t>
      </w:r>
      <w:r w:rsidR="00BE152A">
        <w:rPr>
          <w:sz w:val="24"/>
          <w:szCs w:val="24"/>
        </w:rPr>
        <w:t xml:space="preserve"> млн.</w:t>
      </w:r>
      <w:r w:rsidRPr="00056DFA">
        <w:rPr>
          <w:sz w:val="24"/>
          <w:szCs w:val="24"/>
        </w:rPr>
        <w:t xml:space="preserve"> лв. по Приоритетна ос 3 „Енергийна и ресурсна ефективност” и 10</w:t>
      </w:r>
      <w:r w:rsidR="00BE152A">
        <w:rPr>
          <w:sz w:val="24"/>
          <w:szCs w:val="24"/>
        </w:rPr>
        <w:t>,8</w:t>
      </w:r>
      <w:r w:rsidRPr="00056DFA">
        <w:rPr>
          <w:sz w:val="24"/>
          <w:szCs w:val="24"/>
        </w:rPr>
        <w:t xml:space="preserve"> </w:t>
      </w:r>
      <w:r w:rsidR="00BE152A">
        <w:rPr>
          <w:sz w:val="24"/>
          <w:szCs w:val="24"/>
        </w:rPr>
        <w:t xml:space="preserve">млн. </w:t>
      </w:r>
      <w:r w:rsidRPr="00056DFA">
        <w:rPr>
          <w:sz w:val="24"/>
          <w:szCs w:val="24"/>
        </w:rPr>
        <w:t>лв. по Приоритетна ос 5 „Техническа помощ”.</w:t>
      </w:r>
    </w:p>
    <w:p w:rsidR="00855A7E" w:rsidRPr="00056DFA" w:rsidRDefault="00855A7E" w:rsidP="002A1989">
      <w:pPr>
        <w:spacing w:before="0" w:after="0"/>
        <w:jc w:val="both"/>
        <w:rPr>
          <w:bCs/>
          <w:sz w:val="24"/>
          <w:szCs w:val="24"/>
        </w:rPr>
      </w:pPr>
      <w:r w:rsidRPr="00056DFA">
        <w:rPr>
          <w:sz w:val="24"/>
          <w:szCs w:val="24"/>
        </w:rPr>
        <w:t xml:space="preserve">В процес на изпълнение е и Оперативна програма „Инициатива за малки и средни предприятия” 2014-2020. </w:t>
      </w:r>
    </w:p>
    <w:p w:rsidR="00855A7E" w:rsidRPr="00056DFA" w:rsidRDefault="00855A7E" w:rsidP="002A1989">
      <w:pPr>
        <w:spacing w:before="0" w:after="0"/>
        <w:jc w:val="both"/>
        <w:rPr>
          <w:bCs/>
          <w:sz w:val="24"/>
          <w:szCs w:val="24"/>
        </w:rPr>
      </w:pPr>
      <w:r w:rsidRPr="00056DFA">
        <w:rPr>
          <w:bCs/>
          <w:sz w:val="24"/>
          <w:szCs w:val="24"/>
        </w:rPr>
        <w:t>По данни на Европейския инвестиционен фонд (ЕИФ), за периода от стартирането (края на 2016 г.) до 30.09.2017 г. са осъществени общо 1930 трансакции към МСП за приблизително 230</w:t>
      </w:r>
      <w:r w:rsidR="00BE152A">
        <w:rPr>
          <w:bCs/>
          <w:sz w:val="24"/>
          <w:szCs w:val="24"/>
        </w:rPr>
        <w:t>,0</w:t>
      </w:r>
      <w:r w:rsidRPr="00056DFA">
        <w:rPr>
          <w:bCs/>
          <w:sz w:val="24"/>
          <w:szCs w:val="24"/>
        </w:rPr>
        <w:t xml:space="preserve"> млн. евро.</w:t>
      </w:r>
    </w:p>
    <w:p w:rsidR="00855A7E" w:rsidRPr="00056DFA" w:rsidRDefault="00855A7E" w:rsidP="002A1989">
      <w:pPr>
        <w:spacing w:before="0" w:after="0"/>
        <w:jc w:val="both"/>
        <w:rPr>
          <w:b/>
          <w:sz w:val="24"/>
          <w:szCs w:val="24"/>
        </w:rPr>
      </w:pPr>
      <w:r w:rsidRPr="00056DFA">
        <w:rPr>
          <w:b/>
          <w:sz w:val="24"/>
          <w:szCs w:val="24"/>
        </w:rPr>
        <w:t>Бюджетна програма „Насърчаване на инвестициите за повишаване на конкурентоспособността на икономиката”</w:t>
      </w:r>
    </w:p>
    <w:p w:rsidR="00855A7E" w:rsidRPr="00056DFA" w:rsidRDefault="00855A7E" w:rsidP="002A1989">
      <w:pPr>
        <w:tabs>
          <w:tab w:val="left" w:pos="709"/>
        </w:tabs>
        <w:spacing w:before="0" w:after="0"/>
        <w:jc w:val="both"/>
        <w:rPr>
          <w:sz w:val="24"/>
          <w:szCs w:val="24"/>
        </w:rPr>
      </w:pPr>
      <w:r w:rsidRPr="00056DFA">
        <w:rPr>
          <w:sz w:val="24"/>
          <w:szCs w:val="24"/>
        </w:rPr>
        <w:tab/>
        <w:t>Отчита се трайна тенденция за увеличаване на проектите в производството на местни и чуждестранни инвеститори. През 2017 г. по Закона за насърчаване на инвестициите (ЗНИ) са сертифицирани 31 проекта, с общ размер на планираните инвестиции от 311</w:t>
      </w:r>
      <w:r w:rsidR="00BE152A">
        <w:rPr>
          <w:sz w:val="24"/>
          <w:szCs w:val="24"/>
        </w:rPr>
        <w:t>,5</w:t>
      </w:r>
      <w:r w:rsidRPr="00056DFA">
        <w:rPr>
          <w:sz w:val="24"/>
          <w:szCs w:val="24"/>
        </w:rPr>
        <w:t xml:space="preserve"> млн. лв. и предвидено разкриване на 5848 нови работни места. Дванадесет проекта се осъществяват във високотехнологични производства и услуги. </w:t>
      </w:r>
    </w:p>
    <w:p w:rsidR="00855A7E" w:rsidRPr="00056DFA" w:rsidRDefault="00855A7E" w:rsidP="002A1989">
      <w:pPr>
        <w:tabs>
          <w:tab w:val="num" w:pos="426"/>
          <w:tab w:val="left" w:pos="709"/>
        </w:tabs>
        <w:spacing w:before="0" w:after="0"/>
        <w:jc w:val="both"/>
        <w:rPr>
          <w:sz w:val="24"/>
          <w:szCs w:val="24"/>
        </w:rPr>
      </w:pPr>
      <w:r w:rsidRPr="00056DFA">
        <w:rPr>
          <w:sz w:val="24"/>
          <w:szCs w:val="24"/>
        </w:rPr>
        <w:tab/>
        <w:t>По отношение прилагането на финансови насърчителни мерки по ЗНИ през 2017 г. са изплатени средства в общ размер на 7</w:t>
      </w:r>
      <w:r w:rsidR="00BE152A">
        <w:rPr>
          <w:sz w:val="24"/>
          <w:szCs w:val="24"/>
        </w:rPr>
        <w:t>,0</w:t>
      </w:r>
      <w:r w:rsidRPr="00056DFA">
        <w:rPr>
          <w:sz w:val="24"/>
          <w:szCs w:val="24"/>
        </w:rPr>
        <w:t xml:space="preserve"> млн. лв. за насърчаване на 14 сертифицирани инвестиционни проекта за възстановяване на реално извършените от инвеститорите разходи за задължителни осигурителни и здравни вноски за създадените работни места по сертифицирани проекти, за изграждане на довеждаща инфраструктура – на общините, в които се осъществяват проектите, както и за предоставяне на безвъзмездна помощ за приоритетен инвестиционен проект. </w:t>
      </w:r>
    </w:p>
    <w:p w:rsidR="00855A7E" w:rsidRPr="00056DFA" w:rsidRDefault="00855A7E" w:rsidP="002A1989">
      <w:pPr>
        <w:tabs>
          <w:tab w:val="left" w:pos="709"/>
        </w:tabs>
        <w:spacing w:before="0" w:after="0"/>
        <w:jc w:val="both"/>
        <w:rPr>
          <w:sz w:val="24"/>
          <w:szCs w:val="24"/>
        </w:rPr>
      </w:pPr>
      <w:r w:rsidRPr="00056DFA">
        <w:rPr>
          <w:sz w:val="24"/>
          <w:szCs w:val="24"/>
        </w:rPr>
        <w:tab/>
        <w:t>Отчетените показатели по програмата спрямо заложените годишни целеви стойности показват значително преизпълнение и способстват за постигане на заложените цели за повишаване на инвестиционната активност за създаване на нови предприятия или разширение на съществуващи с нови продукти и технологии, както и за нарастване на инвестициите в страната и подобряване на тяхната отраслова и регионална структура, създаване на нови работни места в производства и услуги с висока добавена стойност.</w:t>
      </w:r>
    </w:p>
    <w:p w:rsidR="00855A7E" w:rsidRPr="00056DFA" w:rsidRDefault="00855A7E" w:rsidP="002A1989">
      <w:pPr>
        <w:spacing w:before="0" w:after="0"/>
        <w:jc w:val="both"/>
        <w:rPr>
          <w:sz w:val="24"/>
          <w:szCs w:val="24"/>
        </w:rPr>
      </w:pPr>
      <w:r w:rsidRPr="00056DFA">
        <w:rPr>
          <w:b/>
          <w:sz w:val="24"/>
          <w:szCs w:val="24"/>
        </w:rPr>
        <w:t>Бюджетна програма „Преструктуриране и ефективно управление на държавната собственост"</w:t>
      </w:r>
    </w:p>
    <w:p w:rsidR="00855A7E" w:rsidRPr="00056DFA" w:rsidRDefault="00855A7E" w:rsidP="002A1989">
      <w:pPr>
        <w:spacing w:before="0" w:after="0"/>
        <w:jc w:val="both"/>
        <w:rPr>
          <w:sz w:val="24"/>
          <w:szCs w:val="24"/>
          <w:lang w:eastAsia="en-US"/>
        </w:rPr>
      </w:pPr>
      <w:r w:rsidRPr="00056DFA">
        <w:rPr>
          <w:sz w:val="24"/>
          <w:szCs w:val="24"/>
          <w:lang w:eastAsia="en-US"/>
        </w:rPr>
        <w:t xml:space="preserve">Програмата обхваща кръга от дейности, свързани с упражняване правата на държавата като собственик на капитала на търговските дружества с държавно участие в капитала, в т.ч. преструктуриране и управление на тези дружества, раздържавяване на държавното участие в тях, контрол върху изпълнението на поетите от купувачите по приватизационни сделки ангажименти и защита на държавния интерес, </w:t>
      </w:r>
      <w:r w:rsidRPr="00056DFA">
        <w:rPr>
          <w:sz w:val="24"/>
          <w:szCs w:val="24"/>
          <w:lang w:eastAsia="en-US"/>
        </w:rPr>
        <w:lastRenderedPageBreak/>
        <w:t>удовлетворяване на реституционни претенции, осъществяване на диалог с отрасловите работодателски и синдикални структури, както и на дейностите по управление на проекти за отстраняване на щетите, нанесени на околната среда от добива и преработката на природни ресурси.</w:t>
      </w:r>
    </w:p>
    <w:p w:rsidR="00855A7E" w:rsidRPr="00056DFA" w:rsidRDefault="00855A7E" w:rsidP="002A1989">
      <w:pPr>
        <w:spacing w:before="0" w:after="0"/>
        <w:jc w:val="both"/>
        <w:rPr>
          <w:sz w:val="24"/>
          <w:szCs w:val="24"/>
          <w:lang w:eastAsia="en-US"/>
        </w:rPr>
      </w:pPr>
      <w:r w:rsidRPr="00056DFA">
        <w:rPr>
          <w:sz w:val="24"/>
          <w:szCs w:val="24"/>
          <w:lang w:eastAsia="en-US"/>
        </w:rPr>
        <w:t xml:space="preserve">Като цяло може да се каже, че в преобладаващата си част заложените цели са постигнати, което се илюстрира от отчетените стойности по показателите, които характеризират дейностите свързани с преструктурирането, мониторинга и управлението на търговските дружества, както и тези, характеризиращи дейностите по управление на проекти за отстраняване на щетите, нанесени на околната среда от добива и преработката на природни ресурси и на следприватизационния контрол. Неблагоприятните фактори, които са затруднили постигането на целите в дейността по приватизация са: </w:t>
      </w:r>
    </w:p>
    <w:p w:rsidR="00855A7E" w:rsidRPr="00056DFA" w:rsidRDefault="00855A7E" w:rsidP="00855A7E">
      <w:pPr>
        <w:numPr>
          <w:ilvl w:val="0"/>
          <w:numId w:val="4"/>
        </w:numPr>
        <w:tabs>
          <w:tab w:val="left" w:pos="993"/>
        </w:tabs>
        <w:spacing w:before="0" w:after="0"/>
        <w:ind w:left="0" w:firstLine="567"/>
        <w:jc w:val="both"/>
        <w:rPr>
          <w:sz w:val="24"/>
          <w:szCs w:val="24"/>
          <w:lang w:eastAsia="en-US"/>
        </w:rPr>
      </w:pPr>
      <w:r w:rsidRPr="00056DFA">
        <w:rPr>
          <w:sz w:val="24"/>
          <w:szCs w:val="24"/>
          <w:lang w:eastAsia="en-US"/>
        </w:rPr>
        <w:t>промяната на нормативната уредба, съгласно която, възлагането на правни анализи, приватизационни оценки и информационни меморандуми следва да се извършва по реда на ЗОП;</w:t>
      </w:r>
    </w:p>
    <w:p w:rsidR="00855A7E" w:rsidRPr="00056DFA" w:rsidRDefault="00855A7E" w:rsidP="00855A7E">
      <w:pPr>
        <w:numPr>
          <w:ilvl w:val="0"/>
          <w:numId w:val="4"/>
        </w:numPr>
        <w:tabs>
          <w:tab w:val="left" w:pos="993"/>
        </w:tabs>
        <w:spacing w:before="0" w:after="0"/>
        <w:ind w:left="0" w:firstLine="567"/>
        <w:jc w:val="both"/>
        <w:rPr>
          <w:sz w:val="24"/>
          <w:szCs w:val="24"/>
          <w:lang w:eastAsia="en-US"/>
        </w:rPr>
      </w:pPr>
      <w:r w:rsidRPr="00056DFA">
        <w:rPr>
          <w:sz w:val="24"/>
          <w:szCs w:val="24"/>
          <w:lang w:eastAsia="en-US"/>
        </w:rPr>
        <w:t>взетото от Министерски съвет решение през м. май 2017 г. за изменение на ЗПСК, съгласно което се предвиждаше да бъде спряна приватизацията на акции и дялове, собственост на държавата в търговски дружества с държавно участие в капитала, както и на акции и дялове, собственост на търговски дружества с повече от 50 на сто държавно участие в капитала в други дружества, а продажбата на обособени части да се извършва след решение на Народното събрание, в резултат на което на практика от средата на 2017 г. приватизационния процес спря;</w:t>
      </w:r>
    </w:p>
    <w:p w:rsidR="00855A7E" w:rsidRPr="00056DFA" w:rsidRDefault="00855A7E" w:rsidP="00855A7E">
      <w:pPr>
        <w:numPr>
          <w:ilvl w:val="0"/>
          <w:numId w:val="4"/>
        </w:numPr>
        <w:tabs>
          <w:tab w:val="left" w:pos="993"/>
        </w:tabs>
        <w:spacing w:before="0" w:after="0"/>
        <w:ind w:left="0" w:firstLine="567"/>
        <w:jc w:val="both"/>
        <w:rPr>
          <w:sz w:val="24"/>
          <w:szCs w:val="24"/>
          <w:lang w:eastAsia="en-US"/>
        </w:rPr>
      </w:pPr>
      <w:r w:rsidRPr="00056DFA">
        <w:rPr>
          <w:sz w:val="24"/>
          <w:szCs w:val="24"/>
          <w:lang w:eastAsia="en-US"/>
        </w:rPr>
        <w:t>недостатъчен инвеститорски интерес към предлаганите за продажба имоти-частна държавна собственост и липса на инвеститорски интерес към предлаганите за продажба на ЦПТ миноритарни пакети, останали след приключила</w:t>
      </w:r>
      <w:r w:rsidR="00BE152A">
        <w:rPr>
          <w:sz w:val="24"/>
          <w:szCs w:val="24"/>
          <w:lang w:eastAsia="en-US"/>
        </w:rPr>
        <w:t>та</w:t>
      </w:r>
      <w:r w:rsidRPr="00056DFA">
        <w:rPr>
          <w:sz w:val="24"/>
          <w:szCs w:val="24"/>
          <w:lang w:eastAsia="en-US"/>
        </w:rPr>
        <w:t xml:space="preserve"> дълга процедура по обезщетяване на реституционните претенции. </w:t>
      </w:r>
    </w:p>
    <w:p w:rsidR="00855A7E" w:rsidRPr="00056DFA" w:rsidRDefault="00855A7E" w:rsidP="00855A7E">
      <w:pPr>
        <w:spacing w:before="0" w:after="0"/>
        <w:jc w:val="both"/>
        <w:rPr>
          <w:b/>
          <w:sz w:val="24"/>
          <w:szCs w:val="24"/>
        </w:rPr>
      </w:pPr>
      <w:r w:rsidRPr="00056DFA">
        <w:rPr>
          <w:sz w:val="24"/>
          <w:szCs w:val="24"/>
          <w:lang w:eastAsia="en-US"/>
        </w:rPr>
        <w:t xml:space="preserve"> </w:t>
      </w:r>
      <w:r w:rsidRPr="00056DFA">
        <w:rPr>
          <w:b/>
          <w:sz w:val="24"/>
          <w:szCs w:val="24"/>
        </w:rPr>
        <w:t>Бюджетна програма „Защита на потребителите”</w:t>
      </w:r>
    </w:p>
    <w:p w:rsidR="00855A7E" w:rsidRPr="00056DFA" w:rsidRDefault="00855A7E" w:rsidP="00855A7E">
      <w:pPr>
        <w:tabs>
          <w:tab w:val="num" w:pos="720"/>
        </w:tabs>
        <w:spacing w:before="0" w:after="0"/>
        <w:jc w:val="both"/>
        <w:rPr>
          <w:rFonts w:eastAsia="Calibri"/>
          <w:sz w:val="24"/>
          <w:szCs w:val="24"/>
        </w:rPr>
      </w:pPr>
      <w:r w:rsidRPr="00056DFA">
        <w:rPr>
          <w:sz w:val="24"/>
          <w:szCs w:val="24"/>
        </w:rPr>
        <w:tab/>
      </w:r>
      <w:r w:rsidRPr="00056DFA">
        <w:rPr>
          <w:rFonts w:eastAsia="Calibri"/>
          <w:sz w:val="24"/>
          <w:szCs w:val="24"/>
        </w:rPr>
        <w:t xml:space="preserve">Заложените по програмата основни цели свързани с </w:t>
      </w:r>
      <w:r w:rsidRPr="00056DFA">
        <w:rPr>
          <w:rFonts w:eastAsia="Calibri"/>
          <w:bCs/>
          <w:iCs/>
          <w:sz w:val="24"/>
          <w:szCs w:val="24"/>
        </w:rPr>
        <w:t xml:space="preserve">хармонизиране на българското законодателство за защита на потребителите с изискванията на европейското законодателство, ефективно прилагане на законодателството за защита на потребителите, постигане </w:t>
      </w:r>
      <w:r w:rsidRPr="00056DFA">
        <w:rPr>
          <w:rFonts w:eastAsia="Calibri"/>
          <w:sz w:val="24"/>
          <w:szCs w:val="24"/>
        </w:rPr>
        <w:t>високо ниво за защита на техните икономически и правни интереси на потребителите, е</w:t>
      </w:r>
      <w:r w:rsidRPr="00056DFA">
        <w:rPr>
          <w:rFonts w:eastAsia="Calibri"/>
          <w:bCs/>
          <w:iCs/>
          <w:sz w:val="24"/>
          <w:szCs w:val="24"/>
        </w:rPr>
        <w:t xml:space="preserve">фективно прилагане на изискванията за безопасност на стоките и услугите и </w:t>
      </w:r>
      <w:r w:rsidRPr="00056DFA">
        <w:rPr>
          <w:rFonts w:eastAsia="Calibri"/>
          <w:bCs/>
          <w:sz w:val="24"/>
          <w:szCs w:val="24"/>
        </w:rPr>
        <w:t>обезпечаване безопасността на стоките, предлагани на българския пазар, подобряване функционирането на системата за надзор на пазара и на системата за обмен на информация за опасни стоки са изпълнени в определените за това срокове</w:t>
      </w:r>
      <w:r w:rsidRPr="00056DFA">
        <w:rPr>
          <w:rFonts w:eastAsia="Calibri"/>
          <w:sz w:val="24"/>
          <w:szCs w:val="24"/>
        </w:rPr>
        <w:t>.</w:t>
      </w:r>
    </w:p>
    <w:p w:rsidR="00855A7E" w:rsidRPr="00056DFA" w:rsidRDefault="00855A7E" w:rsidP="00855A7E">
      <w:pPr>
        <w:tabs>
          <w:tab w:val="num" w:pos="720"/>
        </w:tabs>
        <w:jc w:val="both"/>
        <w:rPr>
          <w:rFonts w:eastAsia="Calibri"/>
          <w:sz w:val="24"/>
          <w:szCs w:val="24"/>
        </w:rPr>
      </w:pPr>
      <w:r w:rsidRPr="00056DFA">
        <w:rPr>
          <w:rFonts w:eastAsia="Calibri"/>
          <w:sz w:val="24"/>
          <w:szCs w:val="24"/>
        </w:rPr>
        <w:tab/>
        <w:t>Дейностите и мерките, подлежащи на изпълнение по програмата, осигуряват провеждането на държавната политика за защита на потребителите и нейното интегриране при провеждане на другите секторни и хоризонтални политики; защитата на основните права на потребителите; подпомагане на сдруженията на потребителите; осъществяване на проверки за контрол на пазара; работа по системата за бърз обмен на информация за опасни стоки; услугите, предоставени от Европейски потребителски център – България и дейностите по информиране на бизнеса за неговите задължения във връзка със законодателството за защита на потребителите.</w:t>
      </w:r>
      <w:r w:rsidRPr="00056DFA">
        <w:rPr>
          <w:rFonts w:eastAsia="Calibri"/>
          <w:sz w:val="24"/>
          <w:szCs w:val="24"/>
        </w:rPr>
        <w:tab/>
        <w:t>През 2017 г. по заложените в програмата цели и дейности, са изпълнени в определените за това срокове и параметри. Планираните целеви стойности заложени по продукти/услуги на програмата са постигнати и преизпълнени.</w:t>
      </w:r>
    </w:p>
    <w:p w:rsidR="00855A7E" w:rsidRDefault="00855A7E" w:rsidP="00855A7E">
      <w:pPr>
        <w:jc w:val="both"/>
        <w:rPr>
          <w:b/>
          <w:i/>
          <w:sz w:val="24"/>
          <w:szCs w:val="24"/>
        </w:rPr>
      </w:pPr>
      <w:r w:rsidRPr="00056DFA">
        <w:rPr>
          <w:b/>
          <w:i/>
          <w:sz w:val="24"/>
          <w:szCs w:val="24"/>
        </w:rPr>
        <w:t>Политика в областта на ефективното външноикономическо сътрудничество</w:t>
      </w:r>
    </w:p>
    <w:p w:rsidR="008747F0" w:rsidRPr="00056DFA" w:rsidRDefault="008747F0" w:rsidP="00855A7E">
      <w:pPr>
        <w:jc w:val="both"/>
        <w:rPr>
          <w:b/>
          <w:i/>
          <w:sz w:val="24"/>
          <w:szCs w:val="24"/>
        </w:rPr>
      </w:pPr>
    </w:p>
    <w:p w:rsidR="00855A7E" w:rsidRPr="00056DFA" w:rsidRDefault="00855A7E" w:rsidP="00855A7E">
      <w:pPr>
        <w:spacing w:before="0" w:after="0"/>
        <w:jc w:val="both"/>
        <w:rPr>
          <w:b/>
          <w:sz w:val="24"/>
          <w:szCs w:val="24"/>
        </w:rPr>
      </w:pPr>
      <w:r w:rsidRPr="00056DFA">
        <w:rPr>
          <w:b/>
          <w:sz w:val="24"/>
          <w:szCs w:val="24"/>
        </w:rPr>
        <w:lastRenderedPageBreak/>
        <w:t>Бюджетна програма „Реализация на експортния потенциал и участие в търговската политика на Европейския съюз”</w:t>
      </w:r>
    </w:p>
    <w:p w:rsidR="00855A7E" w:rsidRPr="00056DFA" w:rsidRDefault="00855A7E" w:rsidP="00855A7E">
      <w:pPr>
        <w:spacing w:before="0" w:after="0"/>
        <w:jc w:val="both"/>
        <w:rPr>
          <w:sz w:val="24"/>
          <w:szCs w:val="24"/>
        </w:rPr>
      </w:pPr>
      <w:r w:rsidRPr="00056DFA">
        <w:rPr>
          <w:sz w:val="24"/>
          <w:szCs w:val="24"/>
        </w:rPr>
        <w:t>През 2017 г. са осъществени множество мероприятия за разширяване на международното търговско–икономическо сътрудничество, подписани са и са съгласувани споразумения, меморандуми и други договори за търговско-икономическо сътрудничество.</w:t>
      </w:r>
    </w:p>
    <w:p w:rsidR="00855A7E" w:rsidRPr="00056DFA" w:rsidRDefault="00855A7E" w:rsidP="00855A7E">
      <w:pPr>
        <w:spacing w:before="0" w:after="0"/>
        <w:jc w:val="both"/>
        <w:rPr>
          <w:sz w:val="24"/>
          <w:szCs w:val="24"/>
        </w:rPr>
      </w:pPr>
      <w:r w:rsidRPr="00056DFA">
        <w:rPr>
          <w:sz w:val="24"/>
          <w:szCs w:val="24"/>
        </w:rPr>
        <w:t xml:space="preserve">Организирани са и информационни и </w:t>
      </w:r>
      <w:proofErr w:type="spellStart"/>
      <w:r w:rsidRPr="00056DFA">
        <w:rPr>
          <w:sz w:val="24"/>
          <w:szCs w:val="24"/>
        </w:rPr>
        <w:t>промоционални</w:t>
      </w:r>
      <w:proofErr w:type="spellEnd"/>
      <w:r w:rsidRPr="00056DFA">
        <w:rPr>
          <w:sz w:val="24"/>
          <w:szCs w:val="24"/>
        </w:rPr>
        <w:t xml:space="preserve"> кампании в Република България и в чужбина, както и са насърчавани контактите на бизнес ниво и е предоставяна богата информация на интернет страницата на министерството.</w:t>
      </w:r>
    </w:p>
    <w:p w:rsidR="00855A7E" w:rsidRPr="00056DFA" w:rsidRDefault="00855A7E" w:rsidP="00855A7E">
      <w:pPr>
        <w:spacing w:before="0" w:after="0"/>
        <w:jc w:val="both"/>
        <w:rPr>
          <w:sz w:val="24"/>
          <w:szCs w:val="24"/>
        </w:rPr>
      </w:pPr>
      <w:r w:rsidRPr="00056DFA">
        <w:rPr>
          <w:sz w:val="24"/>
          <w:szCs w:val="24"/>
        </w:rPr>
        <w:t>За периода 1 януари – 31 декември 2017 г. са реализирани редица дейности, насочени към повишаване конкурентоспособността на българските фирми и насърчаване на техния експортен потенциал.</w:t>
      </w:r>
    </w:p>
    <w:p w:rsidR="00855A7E" w:rsidRPr="00056DFA" w:rsidRDefault="00855A7E" w:rsidP="00855A7E">
      <w:pPr>
        <w:spacing w:before="0" w:after="0"/>
        <w:jc w:val="both"/>
        <w:rPr>
          <w:sz w:val="24"/>
          <w:szCs w:val="24"/>
        </w:rPr>
      </w:pPr>
      <w:r w:rsidRPr="00056DFA">
        <w:rPr>
          <w:sz w:val="24"/>
          <w:szCs w:val="24"/>
        </w:rPr>
        <w:t xml:space="preserve">През 2017 г. продължиха действията за по-доброто интегриране на българската икономика в международната търговска система, чрез прилагане на Общата търговска политика на Европейския съюз (ЕС) и координиране на изпълнението на задълженията на страната по сключените от ЕС международни споразумения и договорености. Република България участва в дейността на Световната търговска организация (СТО) и формирането на позицията на ЕС във връзка с провежданите в СТО многостранни търговски преговори, изпълнението на решенията на 10-та Министерска конференция, преговорите пост-Найроби, подготовката и провеждането на 11-та Министерска конференция на СТО. </w:t>
      </w:r>
    </w:p>
    <w:p w:rsidR="00855A7E" w:rsidRPr="00056DFA" w:rsidRDefault="00855A7E" w:rsidP="00855A7E">
      <w:pPr>
        <w:spacing w:before="0" w:after="0"/>
        <w:jc w:val="both"/>
        <w:rPr>
          <w:sz w:val="24"/>
          <w:szCs w:val="24"/>
        </w:rPr>
      </w:pPr>
      <w:r w:rsidRPr="00056DFA">
        <w:rPr>
          <w:sz w:val="24"/>
          <w:szCs w:val="24"/>
        </w:rPr>
        <w:t xml:space="preserve">През м. февруари 2017 г. влезе в сила Споразумението в СТО за улесняване на търговията. През м. декември 2017 г. се проведе 11-та Министерска конференция на СТО. Република България стриктно спазва своите задължения по сключените двустранни, </w:t>
      </w:r>
      <w:proofErr w:type="spellStart"/>
      <w:r w:rsidRPr="00056DFA">
        <w:rPr>
          <w:sz w:val="24"/>
          <w:szCs w:val="24"/>
        </w:rPr>
        <w:t>плурилатерални</w:t>
      </w:r>
      <w:proofErr w:type="spellEnd"/>
      <w:r w:rsidRPr="00056DFA">
        <w:rPr>
          <w:sz w:val="24"/>
          <w:szCs w:val="24"/>
        </w:rPr>
        <w:t xml:space="preserve"> и многостранни споразумения и участва в процеса на съгласуване на позиции в рамките на ЕС и провеждане на преговори за свободна търговия между ЕС и търговските му партньори</w:t>
      </w:r>
      <w:r w:rsidR="00BD470A">
        <w:rPr>
          <w:sz w:val="24"/>
          <w:szCs w:val="24"/>
        </w:rPr>
        <w:t xml:space="preserve">. </w:t>
      </w:r>
      <w:r w:rsidRPr="00056DFA">
        <w:rPr>
          <w:sz w:val="24"/>
          <w:szCs w:val="24"/>
        </w:rPr>
        <w:t>Разработени са анализи и оценки за прилагане на инструментите на търговската защита в Европейския съюз.</w:t>
      </w:r>
    </w:p>
    <w:p w:rsidR="00855A7E" w:rsidRPr="00056DFA" w:rsidRDefault="00855A7E" w:rsidP="00855A7E">
      <w:pPr>
        <w:spacing w:before="0" w:after="0"/>
        <w:jc w:val="both"/>
        <w:rPr>
          <w:sz w:val="24"/>
          <w:szCs w:val="24"/>
        </w:rPr>
      </w:pPr>
      <w:r w:rsidRPr="00056DFA">
        <w:rPr>
          <w:sz w:val="24"/>
          <w:szCs w:val="24"/>
        </w:rPr>
        <w:t>На национално ниво са реализирани и редица дейности, свързани с повишаване конкурентоспособността на българските фирми и насърчаване на техния експортен потенциал.</w:t>
      </w:r>
    </w:p>
    <w:p w:rsidR="00855A7E" w:rsidRPr="00056DFA" w:rsidRDefault="00855A7E" w:rsidP="00855A7E">
      <w:pPr>
        <w:spacing w:before="0" w:after="0"/>
        <w:jc w:val="both"/>
        <w:rPr>
          <w:sz w:val="24"/>
          <w:szCs w:val="24"/>
        </w:rPr>
      </w:pPr>
      <w:r w:rsidRPr="00056DFA">
        <w:rPr>
          <w:sz w:val="24"/>
          <w:szCs w:val="24"/>
        </w:rPr>
        <w:t>През 2017 г. „Българската агенция за експортно застраховане” ЕАД изпълнява заложените в Закона за експортно застраховане функции, като предоставя експортно застраховане както за своя сметка, така и за сметка на държавата.</w:t>
      </w:r>
    </w:p>
    <w:p w:rsidR="00855A7E" w:rsidRPr="00056DFA" w:rsidRDefault="00855A7E" w:rsidP="00855A7E">
      <w:pPr>
        <w:pStyle w:val="firstline"/>
        <w:spacing w:before="120" w:beforeAutospacing="0" w:after="0" w:afterAutospacing="0"/>
        <w:ind w:firstLine="567"/>
        <w:jc w:val="both"/>
      </w:pPr>
      <w:r w:rsidRPr="00056DFA">
        <w:rPr>
          <w:b/>
        </w:rPr>
        <w:t>Бюджетна програма „Администрация”</w:t>
      </w:r>
    </w:p>
    <w:p w:rsidR="00855A7E" w:rsidRPr="00056DFA" w:rsidRDefault="00855A7E" w:rsidP="00855A7E">
      <w:pPr>
        <w:pStyle w:val="NormalWeb"/>
        <w:spacing w:before="0" w:beforeAutospacing="0" w:after="0" w:afterAutospacing="0"/>
        <w:ind w:firstLine="567"/>
        <w:jc w:val="both"/>
        <w:rPr>
          <w:bCs/>
        </w:rPr>
      </w:pPr>
      <w:r w:rsidRPr="00056DFA">
        <w:t xml:space="preserve"> Програмата се изпълнява от дирекциите от общата администрация.</w:t>
      </w:r>
    </w:p>
    <w:p w:rsidR="00855A7E" w:rsidRPr="00056DFA" w:rsidRDefault="00855A7E" w:rsidP="00855A7E">
      <w:pPr>
        <w:spacing w:before="0" w:after="0"/>
        <w:jc w:val="both"/>
        <w:rPr>
          <w:sz w:val="24"/>
          <w:szCs w:val="24"/>
        </w:rPr>
      </w:pPr>
      <w:r w:rsidRPr="00056DFA">
        <w:rPr>
          <w:sz w:val="24"/>
          <w:szCs w:val="24"/>
        </w:rPr>
        <w:t xml:space="preserve"> Поставената цел за своевременното осигуряване дейностите по управление на човешките ресурси, управление при кризисни ситуации и правното, административното, информационно, финансово и материално-техническо обслужване на структурните звена на МИ и на служителите е изпълнена. </w:t>
      </w:r>
      <w:r w:rsidRPr="00056DFA">
        <w:rPr>
          <w:bCs/>
          <w:sz w:val="24"/>
          <w:szCs w:val="24"/>
        </w:rPr>
        <w:t>Стриктното изпълнение на дейностите възложени на служителите от общата администрация подпомага изпълнението на останалите програми и допринася за постигане на стратегическите цели на МИ във всички области на политики.</w:t>
      </w:r>
      <w:r w:rsidRPr="00056DFA">
        <w:rPr>
          <w:sz w:val="24"/>
          <w:szCs w:val="24"/>
        </w:rPr>
        <w:t xml:space="preserve"> </w:t>
      </w:r>
    </w:p>
    <w:p w:rsidR="00855A7E" w:rsidRDefault="00855A7E" w:rsidP="00855A7E">
      <w:pPr>
        <w:spacing w:before="0" w:after="0"/>
        <w:jc w:val="both"/>
        <w:rPr>
          <w:sz w:val="24"/>
          <w:szCs w:val="24"/>
        </w:rPr>
      </w:pPr>
    </w:p>
    <w:p w:rsidR="00855A7E" w:rsidRDefault="00855A7E" w:rsidP="00855A7E">
      <w:pPr>
        <w:spacing w:before="0" w:after="0"/>
        <w:jc w:val="both"/>
        <w:rPr>
          <w:sz w:val="24"/>
          <w:szCs w:val="24"/>
        </w:rPr>
      </w:pPr>
    </w:p>
    <w:p w:rsidR="00855A7E" w:rsidRPr="00880BF2" w:rsidRDefault="00855A7E" w:rsidP="00855A7E">
      <w:pPr>
        <w:pStyle w:val="ListParagraph"/>
        <w:keepNext/>
        <w:numPr>
          <w:ilvl w:val="0"/>
          <w:numId w:val="75"/>
        </w:numPr>
        <w:tabs>
          <w:tab w:val="num" w:pos="720"/>
        </w:tabs>
        <w:contextualSpacing w:val="0"/>
        <w:jc w:val="center"/>
        <w:outlineLvl w:val="0"/>
        <w:rPr>
          <w:rFonts w:ascii="Times New Roman" w:eastAsia="Batang" w:hAnsi="Times New Roman" w:cs="Times New Roman"/>
          <w:b/>
          <w:bCs/>
          <w:caps/>
          <w:lang w:val="bg-BG" w:eastAsia="ko-KR"/>
        </w:rPr>
      </w:pPr>
      <w:bookmarkStart w:id="22" w:name="_Toc523492636"/>
      <w:r w:rsidRPr="00880BF2">
        <w:rPr>
          <w:rFonts w:ascii="Times New Roman" w:eastAsia="Batang" w:hAnsi="Times New Roman" w:cs="Times New Roman"/>
          <w:b/>
          <w:bCs/>
          <w:caps/>
          <w:lang w:val="bg-BG" w:eastAsia="ko-KR"/>
        </w:rPr>
        <w:t>Министерство на туризма</w:t>
      </w:r>
      <w:bookmarkEnd w:id="22"/>
      <w:r w:rsidRPr="00880BF2">
        <w:rPr>
          <w:rFonts w:ascii="Times New Roman" w:eastAsia="Batang" w:hAnsi="Times New Roman" w:cs="Times New Roman"/>
          <w:b/>
          <w:bCs/>
          <w:caps/>
          <w:lang w:val="bg-BG" w:eastAsia="ko-KR"/>
        </w:rPr>
        <w:t xml:space="preserve"> </w:t>
      </w:r>
    </w:p>
    <w:p w:rsidR="00880BF2" w:rsidRPr="00880BF2" w:rsidRDefault="00880BF2" w:rsidP="00880BF2">
      <w:pPr>
        <w:spacing w:before="0" w:after="0"/>
        <w:jc w:val="both"/>
        <w:rPr>
          <w:rFonts w:eastAsiaTheme="minorHAnsi"/>
          <w:b/>
          <w:sz w:val="24"/>
          <w:szCs w:val="24"/>
          <w:lang w:eastAsia="en-US"/>
        </w:rPr>
      </w:pPr>
      <w:r w:rsidRPr="00880BF2">
        <w:rPr>
          <w:rFonts w:eastAsiaTheme="minorHAnsi"/>
          <w:b/>
          <w:sz w:val="24"/>
          <w:szCs w:val="24"/>
          <w:lang w:eastAsia="en-US"/>
        </w:rPr>
        <w:t>Бюджетна програма „Подобряване на политиките и регулациите в сектора на туризма”</w:t>
      </w:r>
    </w:p>
    <w:p w:rsidR="00880BF2" w:rsidRPr="00880BF2" w:rsidRDefault="00880BF2" w:rsidP="00880BF2">
      <w:pPr>
        <w:spacing w:before="0" w:after="0"/>
        <w:jc w:val="both"/>
        <w:rPr>
          <w:rFonts w:eastAsiaTheme="minorHAnsi"/>
          <w:b/>
          <w:sz w:val="24"/>
          <w:szCs w:val="24"/>
          <w:lang w:eastAsia="en-US"/>
        </w:rPr>
      </w:pPr>
      <w:r w:rsidRPr="00880BF2">
        <w:rPr>
          <w:rFonts w:eastAsiaTheme="minorHAnsi"/>
          <w:b/>
          <w:sz w:val="24"/>
          <w:szCs w:val="24"/>
          <w:lang w:eastAsia="en-US"/>
        </w:rPr>
        <w:t>Цели на програмата:</w:t>
      </w:r>
    </w:p>
    <w:p w:rsidR="00880BF2" w:rsidRPr="00880BF2" w:rsidRDefault="00880BF2" w:rsidP="00880BF2">
      <w:pPr>
        <w:tabs>
          <w:tab w:val="left" w:pos="993"/>
        </w:tabs>
        <w:spacing w:before="0" w:after="0"/>
        <w:jc w:val="both"/>
        <w:rPr>
          <w:rFonts w:eastAsiaTheme="minorHAnsi"/>
          <w:sz w:val="24"/>
          <w:szCs w:val="24"/>
          <w:lang w:eastAsia="en-US"/>
        </w:rPr>
      </w:pPr>
      <w:r w:rsidRPr="00880BF2">
        <w:rPr>
          <w:rFonts w:eastAsiaTheme="minorHAnsi"/>
          <w:sz w:val="24"/>
          <w:szCs w:val="24"/>
          <w:lang w:eastAsia="en-US"/>
        </w:rPr>
        <w:lastRenderedPageBreak/>
        <w:t xml:space="preserve">Приоритетните цели на програмата са съобразени с основните цели на провежданата правителствена политика в областта на туризма за създаване на условия за неговото развитие като приоритетен отрасъл за страната, а именно: </w:t>
      </w:r>
    </w:p>
    <w:p w:rsidR="00880BF2" w:rsidRPr="00880BF2" w:rsidRDefault="00880BF2" w:rsidP="00880BF2">
      <w:pPr>
        <w:tabs>
          <w:tab w:val="left" w:pos="426"/>
          <w:tab w:val="left" w:pos="851"/>
        </w:tabs>
        <w:spacing w:before="0" w:after="0"/>
        <w:jc w:val="both"/>
        <w:rPr>
          <w:rFonts w:eastAsiaTheme="minorHAnsi"/>
          <w:sz w:val="24"/>
          <w:szCs w:val="24"/>
        </w:rPr>
      </w:pPr>
      <w:r w:rsidRPr="00880BF2">
        <w:rPr>
          <w:rFonts w:eastAsiaTheme="minorHAnsi"/>
          <w:sz w:val="24"/>
          <w:szCs w:val="24"/>
        </w:rPr>
        <w:t>1. Диверсификация на националния туристически продукт, чрез развитие на интегрирани и специфични туристически продукти за различните категории туристи, изхождащи от естествените приоритети на България; насърчаване предоставянето на качествени услуги и защита правата и сигурността на потребителите.</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2. Постигане на ефективна координация между институциите и интегриране на туризма в свързаните с него секторни политики. Взаимодействие с туристическия бизнес.</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3. Създаване на система за ефективен контрол на качеството на предоставяните туристически услуги. Разработване въвеждането на единна информационна платформа за комуникация по защитени канали между вписаните в националния туристически регистър лица и заинтересованите такива от централни и териториални органи на изпълнителната власт.</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 xml:space="preserve">4. Стимулиране на устойчивото развитие на туризма и намаляване на регионалните различия чрез създаване на силни регионални </w:t>
      </w:r>
      <w:proofErr w:type="spellStart"/>
      <w:r w:rsidRPr="00880BF2">
        <w:rPr>
          <w:rFonts w:eastAsiaTheme="minorHAnsi"/>
          <w:sz w:val="24"/>
          <w:szCs w:val="24"/>
        </w:rPr>
        <w:t>брандове</w:t>
      </w:r>
      <w:proofErr w:type="spellEnd"/>
      <w:r w:rsidRPr="00880BF2">
        <w:rPr>
          <w:rFonts w:eastAsiaTheme="minorHAnsi"/>
          <w:sz w:val="24"/>
          <w:szCs w:val="24"/>
        </w:rPr>
        <w:t>.</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5. Изграждане и поддържане на необходимата за развитие на туризма инфраструктура.</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 xml:space="preserve">6. Подобряване на кредитния и инвестиционния климат в областта </w:t>
      </w:r>
      <w:r>
        <w:rPr>
          <w:rFonts w:eastAsiaTheme="minorHAnsi"/>
          <w:sz w:val="24"/>
          <w:szCs w:val="24"/>
        </w:rPr>
        <w:t>на туризма, както и привличане н</w:t>
      </w:r>
      <w:r w:rsidRPr="00880BF2">
        <w:rPr>
          <w:rFonts w:eastAsiaTheme="minorHAnsi"/>
          <w:sz w:val="24"/>
          <w:szCs w:val="24"/>
        </w:rPr>
        <w:t>а чуждестранни инвестиции в туризма.</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7. Увеличаване на трудовата заетост в туризма и осигуряване на целогодишна ангажираност на кадрите в туризма.</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8. Утвърждаване на България като лидер в туристическото развитие на ЕС и региона.</w:t>
      </w:r>
    </w:p>
    <w:p w:rsidR="00880BF2" w:rsidRPr="00880BF2" w:rsidRDefault="00880BF2" w:rsidP="00880BF2">
      <w:pPr>
        <w:tabs>
          <w:tab w:val="left" w:pos="426"/>
          <w:tab w:val="left" w:pos="993"/>
        </w:tabs>
        <w:spacing w:before="0" w:after="0"/>
        <w:jc w:val="both"/>
        <w:rPr>
          <w:rFonts w:eastAsiaTheme="minorHAnsi"/>
          <w:sz w:val="24"/>
          <w:szCs w:val="24"/>
        </w:rPr>
      </w:pPr>
      <w:r w:rsidRPr="00880BF2">
        <w:rPr>
          <w:rFonts w:eastAsiaTheme="minorHAnsi"/>
          <w:sz w:val="24"/>
          <w:szCs w:val="24"/>
        </w:rPr>
        <w:t xml:space="preserve">7. Организиране на процедурите по отдаване на морските плажове на концесия и под наем и </w:t>
      </w:r>
      <w:proofErr w:type="spellStart"/>
      <w:r w:rsidRPr="00880BF2">
        <w:rPr>
          <w:rFonts w:eastAsiaTheme="minorHAnsi"/>
          <w:sz w:val="24"/>
          <w:szCs w:val="24"/>
        </w:rPr>
        <w:t>последващ</w:t>
      </w:r>
      <w:proofErr w:type="spellEnd"/>
      <w:r w:rsidRPr="00880BF2">
        <w:rPr>
          <w:rFonts w:eastAsiaTheme="minorHAnsi"/>
          <w:sz w:val="24"/>
          <w:szCs w:val="24"/>
        </w:rPr>
        <w:t xml:space="preserve"> контрол по изпълнение на договорите.</w:t>
      </w:r>
    </w:p>
    <w:p w:rsidR="00880BF2" w:rsidRPr="00880BF2" w:rsidRDefault="00880BF2" w:rsidP="00880BF2">
      <w:pPr>
        <w:shd w:val="clear" w:color="auto" w:fill="FFFFFF" w:themeFill="background1"/>
        <w:autoSpaceDE w:val="0"/>
        <w:autoSpaceDN w:val="0"/>
        <w:adjustRightInd w:val="0"/>
        <w:spacing w:before="0" w:after="0"/>
        <w:jc w:val="both"/>
        <w:rPr>
          <w:rFonts w:eastAsia="Calibri"/>
          <w:bCs/>
          <w:color w:val="000000"/>
          <w:sz w:val="24"/>
          <w:szCs w:val="24"/>
          <w:lang w:eastAsia="en-US"/>
        </w:rPr>
      </w:pPr>
      <w:r w:rsidRPr="00880BF2">
        <w:rPr>
          <w:rFonts w:eastAsia="Calibri"/>
          <w:color w:val="000000"/>
          <w:sz w:val="24"/>
          <w:szCs w:val="24"/>
        </w:rPr>
        <w:t xml:space="preserve">В посока разработване, изпълнение, мониторинг, контрол и докладване по проекти по оперативните програми, изпълнявани от МТ като директен бенефициент се работи координирано с Управляващия орган на Оперативна програма „Иновации и конкурентоспособност“. В тази връзка, през 2017 г. Министерството на туризма, в качеството си на бенефициент, участва в актуализирането и редакцията на </w:t>
      </w:r>
      <w:r w:rsidRPr="00880BF2">
        <w:rPr>
          <w:rFonts w:eastAsia="Calibri"/>
          <w:color w:val="000000"/>
          <w:sz w:val="24"/>
          <w:szCs w:val="24"/>
          <w:lang w:eastAsia="en-US"/>
        </w:rPr>
        <w:t xml:space="preserve">Методологията и критерии за подбор на операции по процедура „Предоставяне на институционална подкрепа на Министерство на туризма за дейности, свързани с повишаване капацитета на МСП в областта на туризма“. </w:t>
      </w:r>
    </w:p>
    <w:p w:rsidR="00880BF2" w:rsidRPr="00880BF2" w:rsidRDefault="00880BF2" w:rsidP="00880BF2">
      <w:pPr>
        <w:tabs>
          <w:tab w:val="left" w:pos="993"/>
        </w:tabs>
        <w:spacing w:before="0" w:after="0"/>
        <w:jc w:val="both"/>
        <w:rPr>
          <w:rFonts w:eastAsiaTheme="minorHAnsi"/>
          <w:sz w:val="24"/>
          <w:szCs w:val="24"/>
        </w:rPr>
      </w:pPr>
      <w:r w:rsidRPr="00880BF2">
        <w:rPr>
          <w:rFonts w:eastAsiaTheme="minorHAnsi"/>
          <w:sz w:val="24"/>
          <w:szCs w:val="24"/>
        </w:rPr>
        <w:t xml:space="preserve">В посока участие в процеса на Разработване, изпълнение, мониторинг, контрол и докладване и партньорство по проекти и програми, финансирани от други външни източници, дирекция „Програми и проекти в туризма“ успешно участва в изпълнението на два проекта по програма „Дунав“, два проекта по програма COSME и по един проект по програмите за трансгранично сътрудничество с Румъния и Турция. Подадени са нови 2 проектни предложения- едно по програма „Дунав“ и едно по програма COSME. Изпълняваните проекти са насочени към провеждане на комуникационна кампания за популяризиране на ЕДЕН дестинациите в България и провеждане на Национален конкурс за избор на ЕДЕН дестинации на тема „Културен туризъм“. </w:t>
      </w:r>
    </w:p>
    <w:p w:rsidR="00880BF2" w:rsidRPr="00880BF2" w:rsidRDefault="00880BF2" w:rsidP="00880BF2">
      <w:pPr>
        <w:tabs>
          <w:tab w:val="left" w:pos="993"/>
        </w:tabs>
        <w:spacing w:before="0" w:after="0"/>
        <w:jc w:val="both"/>
        <w:rPr>
          <w:sz w:val="24"/>
          <w:szCs w:val="24"/>
        </w:rPr>
      </w:pPr>
      <w:r w:rsidRPr="00880BF2">
        <w:rPr>
          <w:sz w:val="24"/>
          <w:szCs w:val="24"/>
        </w:rPr>
        <w:t>За отчетният период</w:t>
      </w:r>
      <w:r w:rsidRPr="00880BF2">
        <w:rPr>
          <w:rFonts w:eastAsiaTheme="minorHAnsi"/>
          <w:sz w:val="24"/>
          <w:szCs w:val="24"/>
          <w:lang w:eastAsia="en-US"/>
        </w:rPr>
        <w:t xml:space="preserve"> за обезпечаване на летен сезон 2017 г. </w:t>
      </w:r>
      <w:r w:rsidRPr="00880BF2">
        <w:rPr>
          <w:sz w:val="24"/>
          <w:szCs w:val="24"/>
        </w:rPr>
        <w:t xml:space="preserve"> са</w:t>
      </w:r>
      <w:r w:rsidRPr="00880BF2">
        <w:rPr>
          <w:rFonts w:eastAsiaTheme="minorHAnsi"/>
          <w:sz w:val="24"/>
          <w:szCs w:val="24"/>
          <w:lang w:eastAsia="en-US"/>
        </w:rPr>
        <w:t xml:space="preserve"> сключени от министъра на туризма 22 нови договори за наем на морски плажове и 7 нови концесионни договора. </w:t>
      </w:r>
    </w:p>
    <w:p w:rsidR="00880BF2" w:rsidRPr="00880BF2" w:rsidRDefault="00880BF2" w:rsidP="00880BF2">
      <w:pPr>
        <w:tabs>
          <w:tab w:val="left" w:pos="993"/>
        </w:tabs>
        <w:spacing w:before="0" w:after="0"/>
        <w:jc w:val="both"/>
        <w:rPr>
          <w:rFonts w:eastAsiaTheme="minorHAnsi"/>
          <w:sz w:val="24"/>
          <w:szCs w:val="24"/>
        </w:rPr>
      </w:pPr>
      <w:r w:rsidRPr="00880BF2">
        <w:rPr>
          <w:rFonts w:eastAsiaTheme="minorHAnsi"/>
          <w:sz w:val="24"/>
          <w:szCs w:val="24"/>
        </w:rPr>
        <w:t>През летен сезон 2017 бяха извършени 328 проверки на място за изпълнение на договорните задължения на концесионери и наематели, бяха събрани средства от глоби, лихви, неустойки и санкции в размер на 0,2 млн.лв</w:t>
      </w:r>
      <w:r>
        <w:rPr>
          <w:rFonts w:eastAsiaTheme="minorHAnsi"/>
          <w:sz w:val="24"/>
          <w:szCs w:val="24"/>
        </w:rPr>
        <w:t>.</w:t>
      </w:r>
      <w:r w:rsidRPr="00880BF2">
        <w:rPr>
          <w:rFonts w:eastAsiaTheme="minorHAnsi"/>
          <w:sz w:val="24"/>
          <w:szCs w:val="24"/>
        </w:rPr>
        <w:t xml:space="preserve"> общо за концесии и наеми.</w:t>
      </w:r>
    </w:p>
    <w:p w:rsidR="00880BF2" w:rsidRPr="00880BF2" w:rsidRDefault="00880BF2" w:rsidP="00880BF2">
      <w:pPr>
        <w:spacing w:before="0" w:after="0"/>
        <w:jc w:val="both"/>
        <w:rPr>
          <w:sz w:val="24"/>
          <w:szCs w:val="24"/>
          <w:lang w:eastAsia="en-US"/>
        </w:rPr>
      </w:pPr>
      <w:r w:rsidRPr="00880BF2">
        <w:rPr>
          <w:sz w:val="24"/>
          <w:szCs w:val="24"/>
          <w:lang w:eastAsia="en-US"/>
        </w:rPr>
        <w:lastRenderedPageBreak/>
        <w:t>Към 31.12.2017 г. по програма „</w:t>
      </w:r>
      <w:r w:rsidRPr="00880BF2">
        <w:rPr>
          <w:rFonts w:eastAsiaTheme="minorHAnsi"/>
          <w:sz w:val="24"/>
          <w:szCs w:val="24"/>
          <w:lang w:eastAsia="en-US"/>
        </w:rPr>
        <w:t>Подобряване на политиките и регулациите в сектора на туризма</w:t>
      </w:r>
      <w:r w:rsidRPr="00880BF2">
        <w:rPr>
          <w:sz w:val="24"/>
          <w:szCs w:val="24"/>
          <w:lang w:eastAsia="en-US"/>
        </w:rPr>
        <w:t xml:space="preserve"> ” са отчетени разходи в размер на 2,0 млн.лв.</w:t>
      </w:r>
    </w:p>
    <w:p w:rsidR="00880BF2" w:rsidRPr="00880BF2" w:rsidRDefault="00880BF2" w:rsidP="00880BF2">
      <w:pPr>
        <w:spacing w:before="0" w:after="0"/>
        <w:jc w:val="both"/>
        <w:rPr>
          <w:rFonts w:eastAsiaTheme="minorHAnsi"/>
          <w:b/>
          <w:sz w:val="24"/>
          <w:szCs w:val="24"/>
          <w:lang w:eastAsia="en-US"/>
        </w:rPr>
      </w:pPr>
      <w:r w:rsidRPr="00880BF2">
        <w:rPr>
          <w:rFonts w:eastAsiaTheme="minorHAnsi"/>
          <w:b/>
          <w:sz w:val="24"/>
          <w:szCs w:val="24"/>
          <w:lang w:eastAsia="en-US"/>
        </w:rPr>
        <w:t>Бюджетна програма „Развитие на националната туристическа реклама и международно сътрудничество в областта на туризма“</w:t>
      </w:r>
    </w:p>
    <w:p w:rsidR="00880BF2" w:rsidRPr="00880BF2" w:rsidRDefault="00880BF2" w:rsidP="00880BF2">
      <w:pPr>
        <w:spacing w:before="0" w:after="0"/>
        <w:jc w:val="both"/>
        <w:rPr>
          <w:rFonts w:eastAsiaTheme="minorHAnsi"/>
          <w:b/>
          <w:sz w:val="24"/>
          <w:szCs w:val="24"/>
          <w:lang w:eastAsia="en-US"/>
        </w:rPr>
      </w:pPr>
      <w:r w:rsidRPr="00880BF2">
        <w:rPr>
          <w:rFonts w:eastAsiaTheme="minorHAnsi"/>
          <w:b/>
          <w:sz w:val="24"/>
          <w:szCs w:val="24"/>
          <w:lang w:eastAsia="en-US"/>
        </w:rPr>
        <w:t>Цели на програмата:</w:t>
      </w:r>
    </w:p>
    <w:p w:rsidR="00880BF2" w:rsidRPr="00880BF2" w:rsidRDefault="00880BF2" w:rsidP="00880BF2">
      <w:pPr>
        <w:spacing w:before="0" w:after="0"/>
        <w:jc w:val="both"/>
        <w:rPr>
          <w:rFonts w:eastAsiaTheme="minorHAnsi"/>
          <w:sz w:val="24"/>
          <w:szCs w:val="24"/>
          <w:lang w:eastAsia="en-US"/>
        </w:rPr>
      </w:pPr>
      <w:r w:rsidRPr="00880BF2">
        <w:rPr>
          <w:rFonts w:eastAsiaTheme="minorHAnsi"/>
          <w:sz w:val="24"/>
          <w:szCs w:val="24"/>
        </w:rPr>
        <w:t>1. Популяризиране на туристическата марка „България“ и утвърждаване на позитивен имидж на страната сред целевите групи.</w:t>
      </w:r>
      <w:r w:rsidRPr="00880BF2">
        <w:rPr>
          <w:rFonts w:eastAsiaTheme="minorHAnsi"/>
          <w:sz w:val="24"/>
          <w:szCs w:val="24"/>
          <w:lang w:eastAsia="en-US"/>
        </w:rPr>
        <w:t xml:space="preserve"> </w:t>
      </w:r>
    </w:p>
    <w:p w:rsidR="00880BF2" w:rsidRPr="00880BF2" w:rsidRDefault="00880BF2" w:rsidP="00880BF2">
      <w:pPr>
        <w:widowControl w:val="0"/>
        <w:tabs>
          <w:tab w:val="num" w:pos="720"/>
          <w:tab w:val="left" w:pos="851"/>
          <w:tab w:val="left" w:pos="993"/>
        </w:tabs>
        <w:spacing w:before="0" w:after="0"/>
        <w:jc w:val="both"/>
        <w:rPr>
          <w:rFonts w:eastAsiaTheme="minorHAnsi"/>
          <w:sz w:val="24"/>
          <w:szCs w:val="24"/>
        </w:rPr>
      </w:pPr>
      <w:r w:rsidRPr="00880BF2">
        <w:rPr>
          <w:rFonts w:eastAsiaTheme="minorHAnsi"/>
          <w:sz w:val="24"/>
          <w:szCs w:val="24"/>
        </w:rPr>
        <w:t>2. Засилване на информираността за България и интереса към разнообразните туристически продукти с цел да се превърне в целогодишна туристическа дестинация, която предлага богати възможности за лятна и зимна почивка, с древна култура, богата на исторически и архитектурни паметници, с минерални източници и красива и съхранена природа, като дестинация, предлагаща сигурност и спокойствие на своите гости.</w:t>
      </w:r>
    </w:p>
    <w:p w:rsidR="00880BF2" w:rsidRPr="00880BF2" w:rsidRDefault="00880BF2" w:rsidP="00880BF2">
      <w:pPr>
        <w:spacing w:before="0" w:after="0"/>
        <w:contextualSpacing/>
        <w:jc w:val="both"/>
        <w:rPr>
          <w:rFonts w:eastAsiaTheme="minorHAnsi"/>
          <w:sz w:val="24"/>
          <w:szCs w:val="24"/>
        </w:rPr>
      </w:pPr>
      <w:r w:rsidRPr="00880BF2">
        <w:rPr>
          <w:rFonts w:eastAsiaTheme="minorHAnsi"/>
          <w:sz w:val="24"/>
          <w:szCs w:val="24"/>
        </w:rPr>
        <w:t>3.</w:t>
      </w:r>
      <w:r>
        <w:rPr>
          <w:rFonts w:eastAsiaTheme="minorHAnsi"/>
          <w:sz w:val="24"/>
          <w:szCs w:val="24"/>
        </w:rPr>
        <w:t xml:space="preserve"> </w:t>
      </w:r>
      <w:r w:rsidRPr="00880BF2">
        <w:rPr>
          <w:rFonts w:eastAsiaTheme="minorHAnsi"/>
          <w:sz w:val="24"/>
          <w:szCs w:val="24"/>
        </w:rPr>
        <w:t xml:space="preserve">Прилагане на най-ефективните маркетинг инструменти за позициониране и промоция на България като атрактивна туристическа дестинация, съгласуван с браншовите организации и големите туроператори, работещи на целеви пазари за България чрез </w:t>
      </w:r>
      <w:proofErr w:type="spellStart"/>
      <w:r w:rsidRPr="00880BF2">
        <w:rPr>
          <w:rFonts w:eastAsiaTheme="minorHAnsi"/>
          <w:sz w:val="24"/>
          <w:szCs w:val="24"/>
        </w:rPr>
        <w:t>таргетирани</w:t>
      </w:r>
      <w:proofErr w:type="spellEnd"/>
      <w:r w:rsidRPr="00880BF2">
        <w:rPr>
          <w:rFonts w:eastAsiaTheme="minorHAnsi"/>
          <w:sz w:val="24"/>
          <w:szCs w:val="24"/>
        </w:rPr>
        <w:t xml:space="preserve"> послания на различните пазари, насочени към целевите групи в следствие на анализи от подробни проучвания.</w:t>
      </w:r>
    </w:p>
    <w:p w:rsidR="00880BF2" w:rsidRPr="00880BF2" w:rsidRDefault="00880BF2" w:rsidP="00880BF2">
      <w:pPr>
        <w:tabs>
          <w:tab w:val="left" w:pos="851"/>
          <w:tab w:val="left" w:pos="993"/>
        </w:tabs>
        <w:spacing w:before="0" w:after="0"/>
        <w:jc w:val="both"/>
        <w:rPr>
          <w:rFonts w:eastAsiaTheme="minorHAnsi"/>
          <w:sz w:val="24"/>
          <w:szCs w:val="24"/>
        </w:rPr>
      </w:pPr>
      <w:r w:rsidRPr="00880BF2">
        <w:rPr>
          <w:rFonts w:eastAsiaTheme="minorHAnsi"/>
          <w:sz w:val="24"/>
          <w:szCs w:val="24"/>
        </w:rPr>
        <w:t xml:space="preserve">4.Сътрудничество на Република България с международните органи и организации в областта на туризма. </w:t>
      </w:r>
    </w:p>
    <w:p w:rsidR="00880BF2" w:rsidRPr="00880BF2" w:rsidRDefault="00880BF2" w:rsidP="00880BF2">
      <w:pPr>
        <w:tabs>
          <w:tab w:val="left" w:pos="851"/>
          <w:tab w:val="left" w:pos="993"/>
        </w:tabs>
        <w:spacing w:before="0" w:after="0"/>
        <w:jc w:val="both"/>
        <w:rPr>
          <w:rFonts w:eastAsiaTheme="minorHAnsi"/>
          <w:sz w:val="24"/>
          <w:szCs w:val="24"/>
        </w:rPr>
      </w:pPr>
      <w:r w:rsidRPr="00880BF2">
        <w:rPr>
          <w:rFonts w:eastAsiaTheme="minorHAnsi"/>
          <w:sz w:val="24"/>
          <w:szCs w:val="24"/>
        </w:rPr>
        <w:t>5.Активна работа на място на националните туристически представителства на България на основни целеви пазари съвместно с държавни институции, мисии и посолства зад граница и неправителствени организации.</w:t>
      </w:r>
    </w:p>
    <w:p w:rsidR="00880BF2" w:rsidRPr="00880BF2" w:rsidRDefault="00880BF2" w:rsidP="00880BF2">
      <w:pPr>
        <w:spacing w:before="0" w:after="0"/>
        <w:jc w:val="both"/>
        <w:rPr>
          <w:rFonts w:eastAsiaTheme="minorHAnsi"/>
          <w:sz w:val="24"/>
          <w:szCs w:val="24"/>
        </w:rPr>
      </w:pPr>
      <w:r w:rsidRPr="00880BF2">
        <w:rPr>
          <w:rFonts w:eastAsiaTheme="minorHAnsi"/>
          <w:sz w:val="24"/>
          <w:szCs w:val="24"/>
        </w:rPr>
        <w:t>Дейностите по изпълнение на програмата за отчетния период са ориентирани към изграждане на имидж на България като целогодишна туристическа дестинация чрез пазарно позициониране на основни и нови пазари, както и чрез активно рекламно присъствие на вътрешния и външния пазар.</w:t>
      </w:r>
    </w:p>
    <w:p w:rsidR="00880BF2" w:rsidRPr="00880BF2" w:rsidRDefault="00880BF2" w:rsidP="00880BF2">
      <w:pPr>
        <w:spacing w:before="0" w:after="0"/>
        <w:jc w:val="both"/>
        <w:rPr>
          <w:rFonts w:eastAsiaTheme="minorHAnsi"/>
          <w:color w:val="FF0000"/>
          <w:sz w:val="24"/>
          <w:szCs w:val="24"/>
          <w:lang w:eastAsia="en-US"/>
        </w:rPr>
      </w:pPr>
      <w:r w:rsidRPr="00880BF2">
        <w:rPr>
          <w:rFonts w:eastAsiaTheme="minorHAnsi"/>
          <w:sz w:val="24"/>
          <w:szCs w:val="24"/>
        </w:rPr>
        <w:t xml:space="preserve">Осъществени са участия с национални и информационни щандове на 62 /шестдесет и две/ международни туристически борси и туристически изложения в България. </w:t>
      </w:r>
      <w:r w:rsidRPr="00880BF2">
        <w:rPr>
          <w:rFonts w:eastAsiaTheme="minorHAnsi"/>
          <w:sz w:val="24"/>
          <w:szCs w:val="24"/>
          <w:lang w:eastAsia="en-US"/>
        </w:rPr>
        <w:t xml:space="preserve">Проведени са 3 /три/ комуникационни кампании кампания </w:t>
      </w:r>
      <w:r w:rsidRPr="00880BF2">
        <w:rPr>
          <w:rFonts w:eastAsiaTheme="minorHAnsi"/>
          <w:color w:val="000000"/>
          <w:sz w:val="24"/>
          <w:szCs w:val="24"/>
          <w:lang w:eastAsia="en-US"/>
        </w:rPr>
        <w:t>на основни целеви пазари с цел утвърждаване на позитивния имидж на България като дестинация и насърчаване на избора й от целевите групи</w:t>
      </w:r>
      <w:r w:rsidRPr="00880BF2">
        <w:rPr>
          <w:rFonts w:eastAsiaTheme="minorHAnsi"/>
          <w:sz w:val="24"/>
          <w:szCs w:val="24"/>
          <w:lang w:eastAsia="en-US"/>
        </w:rPr>
        <w:t>.</w:t>
      </w:r>
      <w:r w:rsidRPr="00880BF2">
        <w:rPr>
          <w:rFonts w:eastAsiaTheme="minorHAnsi"/>
          <w:color w:val="FF0000"/>
          <w:sz w:val="24"/>
          <w:szCs w:val="24"/>
          <w:lang w:eastAsia="en-US"/>
        </w:rPr>
        <w:t xml:space="preserve"> </w:t>
      </w:r>
    </w:p>
    <w:p w:rsidR="00880BF2" w:rsidRPr="00880BF2" w:rsidRDefault="00880BF2" w:rsidP="00880BF2">
      <w:pPr>
        <w:spacing w:before="0" w:after="0"/>
        <w:jc w:val="both"/>
        <w:rPr>
          <w:rFonts w:eastAsiaTheme="minorHAnsi"/>
          <w:color w:val="FF0000"/>
          <w:sz w:val="24"/>
          <w:szCs w:val="24"/>
          <w:lang w:eastAsia="en-US"/>
        </w:rPr>
      </w:pPr>
      <w:r w:rsidRPr="00880BF2">
        <w:rPr>
          <w:rFonts w:eastAsiaTheme="minorHAnsi"/>
          <w:sz w:val="24"/>
          <w:szCs w:val="24"/>
        </w:rPr>
        <w:t>През 2017 г. са</w:t>
      </w:r>
      <w:r w:rsidRPr="00880BF2">
        <w:rPr>
          <w:rFonts w:eastAsiaTheme="minorHAnsi"/>
          <w:b/>
          <w:sz w:val="24"/>
          <w:szCs w:val="24"/>
        </w:rPr>
        <w:t xml:space="preserve"> </w:t>
      </w:r>
      <w:r w:rsidRPr="00880BF2">
        <w:rPr>
          <w:rFonts w:eastAsiaTheme="minorHAnsi"/>
          <w:sz w:val="24"/>
          <w:szCs w:val="24"/>
        </w:rPr>
        <w:t xml:space="preserve"> насочени усилия в посока развитие партньорството на България със международни организации като Световната организация по туризъм и Организацията за черноморско икономическо сътрудничество. Организирано е участие на Министерството на туризма в над 15 международни форума на високо равнище в областта на туризма в 5 европейски държави, както и работни посещения в Брюксел. Проведени са преговори за подписването на три международни споразумения в областта на туризма – с Египет, Сърбия и Уралската туристическа асоциация.</w:t>
      </w:r>
      <w:r w:rsidRPr="00880BF2">
        <w:rPr>
          <w:rFonts w:eastAsiaTheme="minorHAnsi"/>
          <w:color w:val="FF0000"/>
          <w:sz w:val="24"/>
          <w:szCs w:val="24"/>
          <w:lang w:eastAsia="en-US"/>
        </w:rPr>
        <w:t xml:space="preserve"> </w:t>
      </w:r>
      <w:r w:rsidRPr="00880BF2">
        <w:rPr>
          <w:rFonts w:eastAsiaTheme="minorHAnsi"/>
          <w:sz w:val="24"/>
          <w:szCs w:val="24"/>
        </w:rPr>
        <w:t>Подписаха се Меморандум за сътрудничество в областта на туризма с Уралската туристически асоциация и Протокол за намерение с Министерството на икономиката на Република Македония.</w:t>
      </w:r>
    </w:p>
    <w:p w:rsidR="00880BF2" w:rsidRPr="00880BF2" w:rsidRDefault="00880BF2" w:rsidP="00880BF2">
      <w:pPr>
        <w:tabs>
          <w:tab w:val="left" w:pos="993"/>
        </w:tabs>
        <w:spacing w:before="0" w:after="0"/>
        <w:jc w:val="both"/>
        <w:rPr>
          <w:rFonts w:eastAsiaTheme="minorHAnsi"/>
          <w:sz w:val="24"/>
          <w:szCs w:val="24"/>
          <w:lang w:eastAsia="en-US"/>
        </w:rPr>
      </w:pPr>
      <w:r w:rsidRPr="00880BF2">
        <w:rPr>
          <w:rFonts w:eastAsiaTheme="minorHAnsi"/>
          <w:sz w:val="24"/>
          <w:szCs w:val="24"/>
          <w:lang w:eastAsia="en-US"/>
        </w:rPr>
        <w:t>Министерството на туризма проучва възможностите за облекчаване процеса на издаване на туристически визи за България. Работи съвместно с други държавни структури в посока гарантиране сигурността на туристите в страната ни.</w:t>
      </w:r>
    </w:p>
    <w:p w:rsidR="00880BF2" w:rsidRPr="00880BF2" w:rsidRDefault="00880BF2" w:rsidP="00880BF2">
      <w:pPr>
        <w:tabs>
          <w:tab w:val="left" w:pos="993"/>
        </w:tabs>
        <w:spacing w:before="0" w:after="0"/>
        <w:jc w:val="both"/>
        <w:rPr>
          <w:rFonts w:eastAsiaTheme="minorHAnsi"/>
          <w:sz w:val="24"/>
          <w:szCs w:val="24"/>
          <w:lang w:eastAsia="en-US"/>
        </w:rPr>
      </w:pPr>
      <w:r w:rsidRPr="00880BF2">
        <w:rPr>
          <w:rFonts w:eastAsiaTheme="minorHAnsi"/>
          <w:sz w:val="24"/>
          <w:szCs w:val="24"/>
          <w:lang w:eastAsia="en-US"/>
        </w:rPr>
        <w:t>Активно организира участие на България в 22-рата сесия на Генералната асамблея на Световната организация по туризъм към ООН, на която бяха избрани новите членове на Изпълнителния съвет на Организацията и заместник-председателите на Регионална комисия „Европа“(РКЕ). България беше избрана за заместник-председател на РКЕ.</w:t>
      </w:r>
    </w:p>
    <w:p w:rsidR="00880BF2" w:rsidRPr="00880BF2" w:rsidRDefault="00880BF2" w:rsidP="00880BF2">
      <w:pPr>
        <w:spacing w:before="0" w:after="0"/>
        <w:jc w:val="both"/>
        <w:rPr>
          <w:sz w:val="24"/>
          <w:szCs w:val="24"/>
          <w:lang w:eastAsia="en-US"/>
        </w:rPr>
      </w:pPr>
      <w:r w:rsidRPr="00880BF2">
        <w:rPr>
          <w:sz w:val="24"/>
          <w:szCs w:val="24"/>
          <w:lang w:eastAsia="en-US"/>
        </w:rPr>
        <w:lastRenderedPageBreak/>
        <w:t xml:space="preserve">Към 31.12.2017 г. по бюджетна програма </w:t>
      </w:r>
      <w:r w:rsidRPr="00880BF2">
        <w:rPr>
          <w:sz w:val="24"/>
          <w:szCs w:val="24"/>
        </w:rPr>
        <w:t>„</w:t>
      </w:r>
      <w:r w:rsidRPr="00880BF2">
        <w:rPr>
          <w:rFonts w:eastAsiaTheme="minorHAnsi"/>
          <w:sz w:val="24"/>
          <w:szCs w:val="24"/>
          <w:lang w:eastAsia="en-US"/>
        </w:rPr>
        <w:t>Развитие на националната туристическа реклама и международно сътрудничество в областта на туризма</w:t>
      </w:r>
      <w:r w:rsidRPr="00880BF2">
        <w:rPr>
          <w:sz w:val="24"/>
          <w:szCs w:val="24"/>
        </w:rPr>
        <w:t xml:space="preserve">“ </w:t>
      </w:r>
      <w:r w:rsidRPr="00880BF2">
        <w:rPr>
          <w:sz w:val="24"/>
          <w:szCs w:val="24"/>
          <w:lang w:eastAsia="en-US"/>
        </w:rPr>
        <w:t xml:space="preserve">са отчетени разходи в размер на 12,5 млн.лв. </w:t>
      </w:r>
    </w:p>
    <w:p w:rsidR="00880BF2" w:rsidRPr="00056DFA" w:rsidRDefault="00880BF2" w:rsidP="00880BF2">
      <w:pPr>
        <w:pStyle w:val="firstline"/>
        <w:spacing w:before="120" w:beforeAutospacing="0" w:after="0" w:afterAutospacing="0"/>
        <w:ind w:firstLine="567"/>
        <w:jc w:val="both"/>
      </w:pPr>
      <w:r w:rsidRPr="00056DFA">
        <w:rPr>
          <w:b/>
        </w:rPr>
        <w:t>Бюджетна програма „Администрация”</w:t>
      </w:r>
    </w:p>
    <w:p w:rsidR="00880BF2" w:rsidRPr="00880BF2" w:rsidRDefault="00880BF2" w:rsidP="00880BF2">
      <w:pPr>
        <w:widowControl w:val="0"/>
        <w:tabs>
          <w:tab w:val="num" w:pos="720"/>
          <w:tab w:val="left" w:pos="993"/>
        </w:tabs>
        <w:spacing w:before="0" w:after="0"/>
        <w:jc w:val="both"/>
        <w:rPr>
          <w:rFonts w:eastAsiaTheme="minorHAnsi"/>
          <w:b/>
          <w:bCs/>
          <w:i/>
          <w:iCs/>
          <w:sz w:val="24"/>
          <w:szCs w:val="24"/>
        </w:rPr>
      </w:pPr>
      <w:r w:rsidRPr="00880BF2">
        <w:rPr>
          <w:rFonts w:eastAsiaTheme="minorHAnsi"/>
          <w:sz w:val="24"/>
          <w:szCs w:val="24"/>
        </w:rPr>
        <w:t>Програмата се изпълнява от дирекциите от общата администрация и ръководителите на административни структури на пряко подчинение на министъра на туризма, както и служители на пряко подчинение на министъра на туризма.</w:t>
      </w:r>
    </w:p>
    <w:p w:rsidR="00880BF2" w:rsidRPr="00880BF2" w:rsidRDefault="00880BF2" w:rsidP="00880BF2">
      <w:pPr>
        <w:spacing w:before="0" w:after="0"/>
        <w:jc w:val="both"/>
        <w:rPr>
          <w:rFonts w:eastAsiaTheme="minorHAnsi"/>
          <w:b/>
          <w:sz w:val="24"/>
          <w:szCs w:val="24"/>
          <w:lang w:eastAsia="en-US"/>
        </w:rPr>
      </w:pPr>
      <w:r w:rsidRPr="00880BF2">
        <w:rPr>
          <w:rFonts w:eastAsiaTheme="minorHAnsi"/>
          <w:b/>
          <w:sz w:val="24"/>
          <w:szCs w:val="24"/>
          <w:lang w:eastAsia="en-US"/>
        </w:rPr>
        <w:t>Цели на програмата</w:t>
      </w:r>
    </w:p>
    <w:p w:rsidR="00880BF2" w:rsidRPr="00880BF2" w:rsidRDefault="00880BF2" w:rsidP="00880BF2">
      <w:pPr>
        <w:widowControl w:val="0"/>
        <w:tabs>
          <w:tab w:val="num" w:pos="720"/>
          <w:tab w:val="left" w:pos="993"/>
        </w:tabs>
        <w:spacing w:before="0" w:after="0"/>
        <w:jc w:val="both"/>
        <w:rPr>
          <w:rFonts w:eastAsiaTheme="minorHAnsi"/>
          <w:b/>
          <w:bCs/>
          <w:i/>
          <w:iCs/>
          <w:sz w:val="24"/>
          <w:szCs w:val="24"/>
        </w:rPr>
      </w:pPr>
      <w:r w:rsidRPr="00880BF2">
        <w:rPr>
          <w:rFonts w:eastAsiaTheme="minorHAnsi"/>
          <w:sz w:val="24"/>
          <w:szCs w:val="24"/>
        </w:rPr>
        <w:t>Основна цел на програмата е подобряване държавното управление в областта на туризма  и повишаване професионалните умения на администрацията.</w:t>
      </w:r>
    </w:p>
    <w:p w:rsidR="00880BF2" w:rsidRPr="00880BF2" w:rsidRDefault="00880BF2" w:rsidP="00880BF2">
      <w:pPr>
        <w:spacing w:before="0" w:after="0"/>
        <w:jc w:val="both"/>
        <w:rPr>
          <w:sz w:val="24"/>
          <w:szCs w:val="24"/>
          <w:lang w:eastAsia="en-US"/>
        </w:rPr>
      </w:pPr>
      <w:r w:rsidRPr="00880BF2">
        <w:rPr>
          <w:sz w:val="24"/>
          <w:szCs w:val="24"/>
          <w:lang w:eastAsia="en-US"/>
        </w:rPr>
        <w:t xml:space="preserve">Към 31.12.2017 г. по програма </w:t>
      </w:r>
      <w:r w:rsidRPr="00880BF2">
        <w:rPr>
          <w:sz w:val="24"/>
          <w:szCs w:val="24"/>
        </w:rPr>
        <w:t xml:space="preserve">„Администрация“ </w:t>
      </w:r>
      <w:r w:rsidRPr="00880BF2">
        <w:rPr>
          <w:sz w:val="24"/>
          <w:szCs w:val="24"/>
          <w:lang w:eastAsia="en-US"/>
        </w:rPr>
        <w:t>са отчетени разходи в размер на 2,</w:t>
      </w:r>
      <w:proofErr w:type="spellStart"/>
      <w:r w:rsidRPr="00880BF2">
        <w:rPr>
          <w:sz w:val="24"/>
          <w:szCs w:val="24"/>
          <w:lang w:eastAsia="en-US"/>
        </w:rPr>
        <w:t>2</w:t>
      </w:r>
      <w:proofErr w:type="spellEnd"/>
      <w:r w:rsidRPr="00880BF2">
        <w:rPr>
          <w:sz w:val="24"/>
          <w:szCs w:val="24"/>
          <w:lang w:eastAsia="en-US"/>
        </w:rPr>
        <w:t xml:space="preserve"> млн.лв. </w:t>
      </w:r>
    </w:p>
    <w:p w:rsidR="00880BF2" w:rsidRDefault="00880BF2" w:rsidP="00855A7E">
      <w:pPr>
        <w:spacing w:before="0" w:after="0"/>
        <w:jc w:val="both"/>
        <w:rPr>
          <w:rFonts w:eastAsiaTheme="minorHAnsi"/>
          <w:b/>
          <w:sz w:val="24"/>
          <w:szCs w:val="24"/>
          <w:lang w:eastAsia="en-US"/>
        </w:rPr>
      </w:pPr>
    </w:p>
    <w:p w:rsidR="00855A7E" w:rsidRDefault="00855A7E" w:rsidP="00855A7E">
      <w:pPr>
        <w:spacing w:before="0" w:after="0"/>
        <w:jc w:val="both"/>
        <w:rPr>
          <w:sz w:val="24"/>
          <w:szCs w:val="24"/>
        </w:rPr>
      </w:pPr>
    </w:p>
    <w:p w:rsidR="00D86C17" w:rsidRPr="00477C0D" w:rsidRDefault="00D86C17" w:rsidP="00D86C17">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3" w:name="_Toc523492637"/>
      <w:r w:rsidRPr="00477C0D">
        <w:rPr>
          <w:rFonts w:ascii="Times New Roman" w:eastAsia="Batang" w:hAnsi="Times New Roman" w:cs="Times New Roman"/>
          <w:b/>
          <w:bCs/>
          <w:caps/>
          <w:lang w:val="bg-BG" w:eastAsia="ko-KR"/>
        </w:rPr>
        <w:t>Министерството на земеделието, храните и горите</w:t>
      </w:r>
      <w:bookmarkEnd w:id="23"/>
    </w:p>
    <w:p w:rsidR="00952728" w:rsidRPr="00952728" w:rsidRDefault="00952728" w:rsidP="00952728">
      <w:pPr>
        <w:tabs>
          <w:tab w:val="left" w:pos="8787"/>
        </w:tabs>
        <w:spacing w:before="0" w:after="0"/>
        <w:jc w:val="both"/>
        <w:rPr>
          <w:sz w:val="24"/>
          <w:szCs w:val="24"/>
        </w:rPr>
      </w:pPr>
      <w:r w:rsidRPr="00952728">
        <w:rPr>
          <w:sz w:val="24"/>
          <w:szCs w:val="24"/>
        </w:rPr>
        <w:t xml:space="preserve">Министерството на земеделието, храните и горите осъществява държавната политика в областта на земеделието, селските райони, горите, риболова и </w:t>
      </w:r>
      <w:proofErr w:type="spellStart"/>
      <w:r w:rsidRPr="00952728">
        <w:rPr>
          <w:sz w:val="24"/>
          <w:szCs w:val="24"/>
        </w:rPr>
        <w:t>аквакултурите</w:t>
      </w:r>
      <w:proofErr w:type="spellEnd"/>
      <w:r w:rsidRPr="00952728">
        <w:rPr>
          <w:sz w:val="24"/>
          <w:szCs w:val="24"/>
        </w:rPr>
        <w:t>. Неговата дейност е насочена към повишаване на конкурентоспособността и разширяване на експортния капацитет на българското селско стопанство при спазване на строги стандарти за опазване на околната среда; осъществяване на единен контрол по хранителната верига за осигуряване на безопасност на храните и хуманно отношение към животните; разнообразяване на икономиката и подобряване на условията на живот в селските райони; създаване на условия за устойчиво развитие на рибарския  и горския сектори.</w:t>
      </w:r>
    </w:p>
    <w:p w:rsidR="00952728" w:rsidRPr="00952728" w:rsidRDefault="00952728" w:rsidP="00952728">
      <w:pPr>
        <w:spacing w:before="0" w:after="0"/>
        <w:ind w:right="-54"/>
        <w:jc w:val="both"/>
        <w:rPr>
          <w:b/>
          <w:sz w:val="24"/>
          <w:szCs w:val="24"/>
        </w:rPr>
      </w:pPr>
      <w:r w:rsidRPr="00952728">
        <w:rPr>
          <w:b/>
          <w:sz w:val="24"/>
          <w:szCs w:val="24"/>
        </w:rPr>
        <w:t>Основните приоритети в тази насока са: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Развитие на балансирано, конкурентоспособно, устойчиво и адаптирано към климатичните промени селско стопанство;</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на приемствеността между поколенията в селското стопанство, развитието на дребните стопанства и стопанствата, създаващи по-висока добавена стойност;</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на пазарната ориентация и стабилизиране на пазарните позиции на земеделските производители;</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Уреждане на поземлените отношения, гарантиращи устойчивост и защита правата на собствениците и на ползвателите на земеделски земи и стимулиране окрупняването на земеделските площи;</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Провеждане на целенасочена маркетингова и рекламна държавна политика, насочена към популяризиране на българската селскостопанска продукция и нарастване на износа;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Осигуряване на качествено образование, отговарящо на потребностите на сектора, на по-висока професионална квалификация и информираност на земеделските производители;</w:t>
      </w:r>
    </w:p>
    <w:p w:rsidR="00952728" w:rsidRPr="00952728" w:rsidRDefault="00952728" w:rsidP="00952728">
      <w:pPr>
        <w:numPr>
          <w:ilvl w:val="0"/>
          <w:numId w:val="40"/>
        </w:numPr>
        <w:overflowPunct w:val="0"/>
        <w:autoSpaceDE w:val="0"/>
        <w:autoSpaceDN w:val="0"/>
        <w:adjustRightInd w:val="0"/>
        <w:spacing w:before="0" w:after="0"/>
        <w:ind w:left="0" w:firstLine="567"/>
        <w:jc w:val="both"/>
        <w:textAlignment w:val="baseline"/>
        <w:rPr>
          <w:sz w:val="24"/>
          <w:szCs w:val="24"/>
        </w:rPr>
      </w:pPr>
      <w:r w:rsidRPr="00952728">
        <w:rPr>
          <w:sz w:val="24"/>
          <w:szCs w:val="24"/>
        </w:rPr>
        <w:t xml:space="preserve">Насърчаване на устойчиво в екологично отношение, иновативно, конкурентоспособно и основано на знания рибарство и </w:t>
      </w:r>
      <w:proofErr w:type="spellStart"/>
      <w:r w:rsidRPr="00952728">
        <w:rPr>
          <w:sz w:val="24"/>
          <w:szCs w:val="24"/>
        </w:rPr>
        <w:t>аквакултури</w:t>
      </w:r>
      <w:proofErr w:type="spellEnd"/>
      <w:r w:rsidRPr="00952728">
        <w:rPr>
          <w:sz w:val="24"/>
          <w:szCs w:val="24"/>
        </w:rPr>
        <w:t>, характеризиращо се с ефективно използване на ресурсите;</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 xml:space="preserve">Осигуряване на условия за икономическа жизнеспособност на риболовната, </w:t>
      </w:r>
      <w:proofErr w:type="spellStart"/>
      <w:r w:rsidRPr="00952728">
        <w:rPr>
          <w:sz w:val="24"/>
          <w:szCs w:val="24"/>
        </w:rPr>
        <w:t>аквакултурна</w:t>
      </w:r>
      <w:proofErr w:type="spellEnd"/>
      <w:r w:rsidRPr="00952728">
        <w:rPr>
          <w:sz w:val="24"/>
          <w:szCs w:val="24"/>
        </w:rPr>
        <w:t xml:space="preserve"> и рибопреработвателната промишленост, създаване на по-добри условия за живот в рибарските райони;</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Устойчиво и многофункционално управление на горите;</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Предоставяне на качествени административни услуги в аграрния сектор;</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lastRenderedPageBreak/>
        <w:t xml:space="preserve">Осигуряване на качествени и безопасни храни за потребителите; </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Гарантиране на здравословния статус на животните, подобряване на надзора на заболяванията по животните и намаляване на заболеваемостта, гарантиране на хуманно отношение към тях;</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b/>
          <w:i/>
          <w:sz w:val="24"/>
          <w:szCs w:val="24"/>
        </w:rPr>
      </w:pPr>
      <w:r w:rsidRPr="00952728">
        <w:rPr>
          <w:sz w:val="24"/>
          <w:szCs w:val="24"/>
        </w:rPr>
        <w:t>Запазване жизнеността на селските райони чрез привличане на инвестиции, разнообразяване на икономическите дейности, развитие на основните услуги за селското население; изграждане на необходимата инфраструктура.</w:t>
      </w:r>
    </w:p>
    <w:p w:rsidR="00952728" w:rsidRPr="00952728" w:rsidRDefault="00952728" w:rsidP="00952728">
      <w:pPr>
        <w:spacing w:before="0" w:after="0"/>
        <w:ind w:right="-54"/>
        <w:jc w:val="both"/>
        <w:rPr>
          <w:b/>
          <w:sz w:val="24"/>
          <w:szCs w:val="24"/>
        </w:rPr>
      </w:pPr>
      <w:r w:rsidRPr="00952728">
        <w:rPr>
          <w:b/>
          <w:sz w:val="24"/>
          <w:szCs w:val="24"/>
        </w:rPr>
        <w:t>Мерките, с които се гарантира изпълнението на заложените цели в политиката са свързани с:</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 xml:space="preserve">Оптимизиране на поземлените отношения, гарантиращи ефективността на </w:t>
      </w:r>
      <w:proofErr w:type="spellStart"/>
      <w:r w:rsidRPr="00952728">
        <w:rPr>
          <w:sz w:val="24"/>
          <w:szCs w:val="24"/>
        </w:rPr>
        <w:t>земеползването</w:t>
      </w:r>
      <w:proofErr w:type="spellEnd"/>
      <w:r w:rsidRPr="00952728">
        <w:rPr>
          <w:sz w:val="24"/>
          <w:szCs w:val="24"/>
        </w:rPr>
        <w:t xml:space="preserve"> и увеличаване на доходите от земеделска дейност чрез разработване на нова правна уредба, насърчаване на доброволната поземлена </w:t>
      </w:r>
      <w:proofErr w:type="spellStart"/>
      <w:r w:rsidRPr="00952728">
        <w:rPr>
          <w:sz w:val="24"/>
          <w:szCs w:val="24"/>
        </w:rPr>
        <w:t>комасация</w:t>
      </w:r>
      <w:proofErr w:type="spellEnd"/>
      <w:r w:rsidRPr="00952728">
        <w:rPr>
          <w:sz w:val="24"/>
          <w:szCs w:val="24"/>
        </w:rPr>
        <w:t xml:space="preserve"> и ефективно управление на държавния поземлен фонд;</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Приоритетна подкрепа за реализация на потенциала на подсектори Животновъдство,  Плодове и зеленчуци, Биологично производство и други подсектори, изпитващи затруднения;</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на инвестиции в материални и нематериални активи и внедряване на иновативни решения и практики в земеделското производство;</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Възстановяване и модернизиране на хидромелиоративната инфраструктура;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Осигуряване на адекватно професионално образование и обучение, съобразени с изискванията на съвременните практики в аграрния сектор и потребностите на бизнеса;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Повишаване на професионалната квалификация и знания на заетите в аграрния отрасъл;</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Предоставяне на консултантски услуги на заетите в отрасъла;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Подкрепа на доходите на земеделските производители чрез прилагане на системата за директни плащания;</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сдружаването на производителите и кооперирането на участниците във веригата за предлагане на земеделски продукти и храни;</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Ефективно управление на рисковете в земеделието;</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развитието на биологичното земеделие;</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 xml:space="preserve">Прилагане на  програми за </w:t>
      </w:r>
      <w:proofErr w:type="spellStart"/>
      <w:r w:rsidRPr="00952728">
        <w:rPr>
          <w:sz w:val="24"/>
          <w:szCs w:val="24"/>
        </w:rPr>
        <w:t>промотиране</w:t>
      </w:r>
      <w:proofErr w:type="spellEnd"/>
      <w:r w:rsidRPr="00952728">
        <w:rPr>
          <w:sz w:val="24"/>
          <w:szCs w:val="24"/>
        </w:rPr>
        <w:t xml:space="preserve"> на земеделски и хранителни продукти на пазарите на Европейския съюз и трети страни;</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Насърчаване на земеделските производители да предоставят екологични услуги и услуги, свързани с климата;</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Поддържане на земеделските дейности в райони с природни или други специфични ограничения;</w:t>
      </w:r>
    </w:p>
    <w:p w:rsidR="00952728" w:rsidRPr="00952728" w:rsidRDefault="00952728" w:rsidP="00952728">
      <w:pPr>
        <w:numPr>
          <w:ilvl w:val="0"/>
          <w:numId w:val="40"/>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Поддържане и съхраняване на горските ресурси;</w:t>
      </w:r>
    </w:p>
    <w:p w:rsidR="00952728" w:rsidRPr="00952728" w:rsidRDefault="00952728" w:rsidP="00952728">
      <w:pPr>
        <w:numPr>
          <w:ilvl w:val="0"/>
          <w:numId w:val="41"/>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 xml:space="preserve">Прилагане на </w:t>
      </w:r>
      <w:proofErr w:type="spellStart"/>
      <w:r w:rsidRPr="00952728">
        <w:rPr>
          <w:sz w:val="24"/>
          <w:szCs w:val="24"/>
        </w:rPr>
        <w:t>екосистемен</w:t>
      </w:r>
      <w:proofErr w:type="spellEnd"/>
      <w:r w:rsidRPr="00952728">
        <w:rPr>
          <w:sz w:val="24"/>
          <w:szCs w:val="24"/>
        </w:rPr>
        <w:t xml:space="preserve"> подход към управлението на рибарството, в това число ограничаване на въздействието на риболовните дейности върху околната среда, намаляване и избягване на нежелания </w:t>
      </w:r>
      <w:proofErr w:type="spellStart"/>
      <w:r w:rsidRPr="00952728">
        <w:rPr>
          <w:sz w:val="24"/>
          <w:szCs w:val="24"/>
        </w:rPr>
        <w:t>улов</w:t>
      </w:r>
      <w:proofErr w:type="spellEnd"/>
      <w:r w:rsidRPr="00952728">
        <w:rPr>
          <w:sz w:val="24"/>
          <w:szCs w:val="24"/>
        </w:rPr>
        <w:t>;</w:t>
      </w:r>
    </w:p>
    <w:p w:rsidR="00952728" w:rsidRPr="00952728" w:rsidRDefault="00952728" w:rsidP="00952728">
      <w:pPr>
        <w:numPr>
          <w:ilvl w:val="0"/>
          <w:numId w:val="41"/>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Контрол по опазване на рибните ресурси и спазване на правилата за отговорен риболов;</w:t>
      </w:r>
    </w:p>
    <w:p w:rsidR="00952728" w:rsidRPr="00952728" w:rsidRDefault="00952728" w:rsidP="00952728">
      <w:pPr>
        <w:numPr>
          <w:ilvl w:val="0"/>
          <w:numId w:val="41"/>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Подкрепа на производителите в сектор „Рибарство”;</w:t>
      </w:r>
    </w:p>
    <w:p w:rsidR="00952728" w:rsidRPr="00952728" w:rsidRDefault="00952728" w:rsidP="00952728">
      <w:pPr>
        <w:numPr>
          <w:ilvl w:val="0"/>
          <w:numId w:val="41"/>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Осъществяване на интегриран контрол по безопасността и качеството на храните, обхващащ всички звена и етапи от хранителната верига;</w:t>
      </w:r>
    </w:p>
    <w:p w:rsidR="00952728" w:rsidRDefault="00952728" w:rsidP="00952728">
      <w:pPr>
        <w:numPr>
          <w:ilvl w:val="0"/>
          <w:numId w:val="41"/>
        </w:numPr>
        <w:overflowPunct w:val="0"/>
        <w:autoSpaceDE w:val="0"/>
        <w:autoSpaceDN w:val="0"/>
        <w:adjustRightInd w:val="0"/>
        <w:spacing w:before="0" w:after="0"/>
        <w:ind w:left="0" w:right="-54" w:firstLine="567"/>
        <w:jc w:val="both"/>
        <w:textAlignment w:val="baseline"/>
        <w:rPr>
          <w:sz w:val="24"/>
          <w:szCs w:val="24"/>
        </w:rPr>
      </w:pPr>
      <w:r w:rsidRPr="00952728">
        <w:rPr>
          <w:sz w:val="24"/>
          <w:szCs w:val="24"/>
        </w:rPr>
        <w:t>Гарантиране на здравословния статус на животните и хуманно отношение към тях.</w:t>
      </w:r>
    </w:p>
    <w:p w:rsidR="008747F0" w:rsidRDefault="008747F0" w:rsidP="008747F0">
      <w:pPr>
        <w:overflowPunct w:val="0"/>
        <w:autoSpaceDE w:val="0"/>
        <w:autoSpaceDN w:val="0"/>
        <w:adjustRightInd w:val="0"/>
        <w:spacing w:before="0" w:after="0"/>
        <w:ind w:right="-54"/>
        <w:jc w:val="both"/>
        <w:textAlignment w:val="baseline"/>
        <w:rPr>
          <w:sz w:val="24"/>
          <w:szCs w:val="24"/>
        </w:rPr>
      </w:pPr>
    </w:p>
    <w:p w:rsidR="008747F0" w:rsidRPr="00952728" w:rsidRDefault="008747F0" w:rsidP="008747F0">
      <w:pPr>
        <w:overflowPunct w:val="0"/>
        <w:autoSpaceDE w:val="0"/>
        <w:autoSpaceDN w:val="0"/>
        <w:adjustRightInd w:val="0"/>
        <w:spacing w:before="0" w:after="0"/>
        <w:ind w:right="-54"/>
        <w:jc w:val="both"/>
        <w:textAlignment w:val="baseline"/>
        <w:rPr>
          <w:sz w:val="24"/>
          <w:szCs w:val="24"/>
        </w:rPr>
      </w:pPr>
    </w:p>
    <w:p w:rsidR="00952728" w:rsidRPr="00952728" w:rsidRDefault="00952728" w:rsidP="00952728">
      <w:pPr>
        <w:spacing w:before="0" w:after="0"/>
        <w:jc w:val="both"/>
        <w:rPr>
          <w:b/>
          <w:sz w:val="24"/>
          <w:szCs w:val="24"/>
        </w:rPr>
      </w:pPr>
      <w:r w:rsidRPr="00952728">
        <w:rPr>
          <w:b/>
          <w:sz w:val="24"/>
          <w:szCs w:val="24"/>
        </w:rPr>
        <w:lastRenderedPageBreak/>
        <w:t xml:space="preserve">Област на политика земеделие и селски райони </w:t>
      </w:r>
    </w:p>
    <w:p w:rsidR="00952728" w:rsidRPr="00952728" w:rsidRDefault="00952728" w:rsidP="00952728">
      <w:pPr>
        <w:spacing w:before="0" w:after="0"/>
        <w:jc w:val="both"/>
        <w:rPr>
          <w:sz w:val="24"/>
          <w:szCs w:val="24"/>
        </w:rPr>
      </w:pPr>
      <w:r w:rsidRPr="00952728">
        <w:rPr>
          <w:sz w:val="24"/>
          <w:szCs w:val="24"/>
        </w:rPr>
        <w:t xml:space="preserve">Съвременното селско стопанство е изправено пред редица предизвикателства като нарастваща нестабилност на цените, все по-видими прояви на екстремни </w:t>
      </w:r>
      <w:proofErr w:type="spellStart"/>
      <w:r w:rsidRPr="00952728">
        <w:rPr>
          <w:sz w:val="24"/>
          <w:szCs w:val="24"/>
        </w:rPr>
        <w:t>метеорологимни</w:t>
      </w:r>
      <w:proofErr w:type="spellEnd"/>
      <w:r w:rsidRPr="00952728">
        <w:rPr>
          <w:sz w:val="24"/>
          <w:szCs w:val="24"/>
        </w:rPr>
        <w:t xml:space="preserve"> явления, увеличени изисквания и очаквания на потребителите за консумация на безопасни продукти и храни, задълбочаващи се социални и демографски проблеми. Това налага засилване на аграрната политика в посока на повишаване на ефективността и </w:t>
      </w:r>
      <w:proofErr w:type="spellStart"/>
      <w:r w:rsidRPr="00952728">
        <w:rPr>
          <w:sz w:val="24"/>
          <w:szCs w:val="24"/>
        </w:rPr>
        <w:t>конкурентноспособността</w:t>
      </w:r>
      <w:proofErr w:type="spellEnd"/>
      <w:r w:rsidRPr="00952728">
        <w:rPr>
          <w:sz w:val="24"/>
          <w:szCs w:val="24"/>
        </w:rPr>
        <w:t xml:space="preserve"> на земеделското производство, целенасочено използване на ресурсите, увеличаване на икономическата активност и нарастване на заетостта в селските райони.</w:t>
      </w:r>
    </w:p>
    <w:p w:rsidR="00952728" w:rsidRPr="00952728" w:rsidRDefault="00952728" w:rsidP="00952728">
      <w:pPr>
        <w:spacing w:before="0" w:after="0"/>
        <w:rPr>
          <w:sz w:val="24"/>
          <w:szCs w:val="24"/>
          <w:u w:val="single"/>
          <w:lang w:eastAsia="en-US"/>
        </w:rPr>
      </w:pPr>
      <w:r w:rsidRPr="00952728">
        <w:rPr>
          <w:sz w:val="24"/>
          <w:szCs w:val="24"/>
          <w:u w:val="single"/>
          <w:lang w:eastAsia="en-US"/>
        </w:rPr>
        <w:t>Стратегически и оперативни цели</w:t>
      </w:r>
    </w:p>
    <w:p w:rsidR="00952728" w:rsidRPr="00952728" w:rsidRDefault="00952728" w:rsidP="00952728">
      <w:pPr>
        <w:spacing w:before="0" w:after="0"/>
        <w:jc w:val="both"/>
        <w:rPr>
          <w:b/>
          <w:sz w:val="24"/>
          <w:szCs w:val="24"/>
        </w:rPr>
      </w:pPr>
      <w:r w:rsidRPr="00952728">
        <w:rPr>
          <w:b/>
          <w:sz w:val="24"/>
          <w:szCs w:val="24"/>
        </w:rPr>
        <w:t>Стратегическите цели на политиката са:</w:t>
      </w:r>
    </w:p>
    <w:p w:rsidR="00952728" w:rsidRPr="00952728" w:rsidRDefault="00952728" w:rsidP="00952728">
      <w:pPr>
        <w:spacing w:before="0" w:after="0"/>
        <w:jc w:val="both"/>
        <w:rPr>
          <w:sz w:val="24"/>
          <w:szCs w:val="24"/>
        </w:rPr>
      </w:pPr>
      <w:r w:rsidRPr="00952728">
        <w:rPr>
          <w:sz w:val="24"/>
          <w:szCs w:val="24"/>
        </w:rPr>
        <w:t>Развитие на аграрния отрасъл за осигуряване на хранителна сигурност и за производство на продукти с висока добавена стойност при устойчиво управление на природните ресурси;</w:t>
      </w:r>
    </w:p>
    <w:p w:rsidR="00952728" w:rsidRPr="00952728" w:rsidRDefault="00952728" w:rsidP="00952728">
      <w:pPr>
        <w:spacing w:before="0" w:after="0"/>
        <w:jc w:val="both"/>
        <w:rPr>
          <w:sz w:val="24"/>
          <w:szCs w:val="24"/>
        </w:rPr>
      </w:pPr>
      <w:r w:rsidRPr="00952728">
        <w:rPr>
          <w:sz w:val="24"/>
          <w:szCs w:val="24"/>
        </w:rPr>
        <w:t>Мобилизиране на потенциала на селските райони за постигане на балансирано социално и териториално развитие.</w:t>
      </w:r>
    </w:p>
    <w:p w:rsidR="00952728" w:rsidRPr="00952728" w:rsidRDefault="00952728" w:rsidP="00952728">
      <w:pPr>
        <w:spacing w:before="0" w:after="0"/>
        <w:jc w:val="both"/>
        <w:rPr>
          <w:b/>
          <w:sz w:val="24"/>
          <w:szCs w:val="24"/>
        </w:rPr>
      </w:pPr>
      <w:r w:rsidRPr="00952728">
        <w:rPr>
          <w:b/>
          <w:sz w:val="24"/>
          <w:szCs w:val="24"/>
        </w:rPr>
        <w:t>Оперативни цели:</w:t>
      </w:r>
    </w:p>
    <w:p w:rsidR="00952728" w:rsidRPr="00952728" w:rsidRDefault="00952728" w:rsidP="00952728">
      <w:pPr>
        <w:spacing w:before="0" w:after="0"/>
        <w:jc w:val="both"/>
        <w:rPr>
          <w:sz w:val="24"/>
          <w:szCs w:val="24"/>
        </w:rPr>
      </w:pPr>
      <w:r w:rsidRPr="00952728">
        <w:rPr>
          <w:sz w:val="24"/>
          <w:szCs w:val="24"/>
        </w:rPr>
        <w:t>Балансирано секторно и структурно развитие на отрасъла;</w:t>
      </w:r>
    </w:p>
    <w:p w:rsidR="00952728" w:rsidRPr="00952728" w:rsidRDefault="00952728" w:rsidP="00952728">
      <w:pPr>
        <w:spacing w:before="0" w:after="0"/>
        <w:jc w:val="both"/>
        <w:rPr>
          <w:sz w:val="24"/>
          <w:szCs w:val="24"/>
        </w:rPr>
      </w:pPr>
      <w:r w:rsidRPr="00952728">
        <w:rPr>
          <w:sz w:val="24"/>
          <w:szCs w:val="24"/>
        </w:rPr>
        <w:t>Модернизация и технологично обновление на стопанствата и инфраструктурата, съчетани с ускореното въвеждане на иновациите в земеделската практика;</w:t>
      </w:r>
    </w:p>
    <w:p w:rsidR="00952728" w:rsidRPr="00952728" w:rsidRDefault="00952728" w:rsidP="00952728">
      <w:pPr>
        <w:spacing w:before="0" w:after="0"/>
        <w:jc w:val="both"/>
        <w:rPr>
          <w:sz w:val="24"/>
          <w:szCs w:val="24"/>
        </w:rPr>
      </w:pPr>
      <w:r w:rsidRPr="00952728">
        <w:rPr>
          <w:sz w:val="24"/>
          <w:szCs w:val="24"/>
        </w:rPr>
        <w:t xml:space="preserve">Постигане на по-висока професионална квалификация и информираност на земеделските производители; </w:t>
      </w:r>
    </w:p>
    <w:p w:rsidR="00952728" w:rsidRPr="00952728" w:rsidRDefault="00952728" w:rsidP="00952728">
      <w:pPr>
        <w:spacing w:before="0" w:after="0"/>
        <w:jc w:val="both"/>
        <w:rPr>
          <w:sz w:val="24"/>
          <w:szCs w:val="24"/>
        </w:rPr>
      </w:pPr>
      <w:r w:rsidRPr="00952728">
        <w:rPr>
          <w:sz w:val="24"/>
          <w:szCs w:val="24"/>
        </w:rPr>
        <w:t>Превръщане на земеделското производство в привлекателен бизнес, осигуряващ стабилни и справедливи доходи на заетите в него;</w:t>
      </w:r>
    </w:p>
    <w:p w:rsidR="00952728" w:rsidRPr="00952728" w:rsidRDefault="00952728" w:rsidP="00952728">
      <w:pPr>
        <w:spacing w:before="0" w:after="0"/>
        <w:jc w:val="both"/>
        <w:rPr>
          <w:sz w:val="24"/>
          <w:szCs w:val="24"/>
        </w:rPr>
      </w:pPr>
      <w:r w:rsidRPr="00952728">
        <w:rPr>
          <w:sz w:val="24"/>
          <w:szCs w:val="24"/>
        </w:rPr>
        <w:t>Устойчиво използване и управление на природните ресурси;</w:t>
      </w:r>
    </w:p>
    <w:p w:rsidR="00952728" w:rsidRPr="00952728" w:rsidRDefault="00952728" w:rsidP="00952728">
      <w:pPr>
        <w:spacing w:before="0" w:after="0"/>
        <w:jc w:val="both"/>
        <w:rPr>
          <w:sz w:val="24"/>
          <w:szCs w:val="24"/>
        </w:rPr>
      </w:pPr>
      <w:r w:rsidRPr="00952728">
        <w:rPr>
          <w:sz w:val="24"/>
          <w:szCs w:val="24"/>
        </w:rPr>
        <w:t xml:space="preserve">Конкурентоспособен рибарски сектор, осигуряващ устойчиво управление на рибарството и </w:t>
      </w:r>
      <w:proofErr w:type="spellStart"/>
      <w:r w:rsidRPr="00952728">
        <w:rPr>
          <w:sz w:val="24"/>
          <w:szCs w:val="24"/>
        </w:rPr>
        <w:t>аквакултурите</w:t>
      </w:r>
      <w:proofErr w:type="spellEnd"/>
      <w:r w:rsidRPr="00952728">
        <w:rPr>
          <w:sz w:val="24"/>
          <w:szCs w:val="24"/>
        </w:rPr>
        <w:t xml:space="preserve">; </w:t>
      </w:r>
    </w:p>
    <w:p w:rsidR="00952728" w:rsidRPr="00952728" w:rsidRDefault="00952728" w:rsidP="00952728">
      <w:pPr>
        <w:spacing w:before="0" w:after="0"/>
        <w:jc w:val="both"/>
        <w:rPr>
          <w:sz w:val="24"/>
          <w:szCs w:val="24"/>
        </w:rPr>
      </w:pPr>
      <w:r w:rsidRPr="00952728">
        <w:rPr>
          <w:sz w:val="24"/>
          <w:szCs w:val="24"/>
        </w:rPr>
        <w:t>Високо ниво на защита на човешкото здраве и интересите на потребителите по отношение на храните.</w:t>
      </w:r>
    </w:p>
    <w:p w:rsidR="00952728" w:rsidRPr="00952728" w:rsidRDefault="00952728" w:rsidP="00952728">
      <w:pPr>
        <w:spacing w:before="0" w:after="0"/>
        <w:jc w:val="both"/>
        <w:rPr>
          <w:sz w:val="24"/>
          <w:szCs w:val="24"/>
        </w:rPr>
      </w:pPr>
      <w:r w:rsidRPr="00952728">
        <w:rPr>
          <w:sz w:val="24"/>
          <w:szCs w:val="24"/>
        </w:rPr>
        <w:t xml:space="preserve">Съгласно политиката на ЕС средствата за подпомагане на развитието на селските райони както за приключилия вече период 2007-2013 г., така и за периода 2014-2020, са отделени в самостоятелен фонд - Европейски земеделски фонд за развитие на селските райони. Регламент на Съвета (ЕС) № 1305/2013 задава правната рамка на подкрепата за развитието на селските райони. </w:t>
      </w:r>
    </w:p>
    <w:p w:rsidR="00952728" w:rsidRPr="00952728" w:rsidRDefault="00952728" w:rsidP="00952728">
      <w:pPr>
        <w:spacing w:before="0" w:after="0"/>
        <w:jc w:val="both"/>
        <w:rPr>
          <w:sz w:val="24"/>
          <w:szCs w:val="24"/>
        </w:rPr>
      </w:pPr>
      <w:r w:rsidRPr="00952728">
        <w:rPr>
          <w:sz w:val="24"/>
          <w:szCs w:val="24"/>
        </w:rPr>
        <w:t xml:space="preserve">След приключването на ПРСР 2007-2013 на 31.12.2015 г., от съществено значение за българското земеделие и селски райони към момента е текущият програмен период - 2014-2020 г., като едно от най-важните събития е официалното одобрение от Европейската комисия (ЕК) с Решение C (2015) 3480 от 26 май 2015 г., на ПРСР 2014-2020 г. Програмата е изготвена в съответствие с чл. 8 на Регламент 1305/2013 г. </w:t>
      </w:r>
    </w:p>
    <w:p w:rsidR="00952728" w:rsidRPr="00952728" w:rsidRDefault="00952728" w:rsidP="00952728">
      <w:pPr>
        <w:spacing w:before="0" w:after="0"/>
        <w:jc w:val="both"/>
        <w:rPr>
          <w:sz w:val="24"/>
          <w:szCs w:val="24"/>
        </w:rPr>
      </w:pPr>
      <w:r w:rsidRPr="00952728">
        <w:rPr>
          <w:sz w:val="24"/>
          <w:szCs w:val="24"/>
        </w:rPr>
        <w:t xml:space="preserve">Общият бюджет на ПРСР 2014-2020 г. е в размер на 2 917,8 млн. евро, в т.ч. принос от Европейския земеделски фонд за развитие на селските райони в размер на 2 366,7 млн. евро и национално </w:t>
      </w:r>
      <w:proofErr w:type="spellStart"/>
      <w:r w:rsidRPr="00952728">
        <w:rPr>
          <w:sz w:val="24"/>
          <w:szCs w:val="24"/>
        </w:rPr>
        <w:t>съфинансиране</w:t>
      </w:r>
      <w:proofErr w:type="spellEnd"/>
      <w:r w:rsidRPr="00952728">
        <w:rPr>
          <w:sz w:val="24"/>
          <w:szCs w:val="24"/>
        </w:rPr>
        <w:t xml:space="preserve"> – 551,1 млн. евро. В съответствие с целите на политиката на ЕС за развитие на селските райони ПРСР 2014 – 2020 г. има три цели:</w:t>
      </w:r>
    </w:p>
    <w:p w:rsidR="00952728" w:rsidRPr="00952728" w:rsidRDefault="00952728" w:rsidP="00952728">
      <w:pPr>
        <w:spacing w:before="0" w:after="0"/>
        <w:jc w:val="both"/>
        <w:rPr>
          <w:sz w:val="24"/>
          <w:szCs w:val="24"/>
        </w:rPr>
      </w:pPr>
      <w:r w:rsidRPr="00952728">
        <w:rPr>
          <w:sz w:val="24"/>
          <w:szCs w:val="24"/>
        </w:rPr>
        <w:t>•</w:t>
      </w:r>
      <w:r w:rsidRPr="00952728">
        <w:rPr>
          <w:sz w:val="24"/>
          <w:szCs w:val="24"/>
        </w:rPr>
        <w:tab/>
        <w:t>Първа цел: Повишаване на конкурентоспособността и балансирано развитие на селското и горското стопанство и преработваща промишленост;</w:t>
      </w:r>
    </w:p>
    <w:p w:rsidR="00952728" w:rsidRPr="00952728" w:rsidRDefault="00952728" w:rsidP="00952728">
      <w:pPr>
        <w:spacing w:before="0" w:after="0"/>
        <w:jc w:val="both"/>
        <w:rPr>
          <w:sz w:val="24"/>
          <w:szCs w:val="24"/>
        </w:rPr>
      </w:pPr>
      <w:r w:rsidRPr="00952728">
        <w:rPr>
          <w:sz w:val="24"/>
          <w:szCs w:val="24"/>
        </w:rPr>
        <w:t>•</w:t>
      </w:r>
      <w:r w:rsidRPr="00952728">
        <w:rPr>
          <w:sz w:val="24"/>
          <w:szCs w:val="24"/>
        </w:rPr>
        <w:tab/>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952728" w:rsidRPr="00952728" w:rsidRDefault="00952728" w:rsidP="00952728">
      <w:pPr>
        <w:spacing w:before="0" w:after="0"/>
        <w:jc w:val="both"/>
        <w:rPr>
          <w:sz w:val="24"/>
          <w:szCs w:val="24"/>
        </w:rPr>
      </w:pPr>
      <w:r w:rsidRPr="00952728">
        <w:rPr>
          <w:sz w:val="24"/>
          <w:szCs w:val="24"/>
        </w:rPr>
        <w:lastRenderedPageBreak/>
        <w:t>•</w:t>
      </w:r>
      <w:r w:rsidRPr="00952728">
        <w:rPr>
          <w:sz w:val="24"/>
          <w:szCs w:val="24"/>
        </w:rPr>
        <w:tab/>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952728" w:rsidRPr="00952728" w:rsidRDefault="00952728" w:rsidP="00952728">
      <w:pPr>
        <w:spacing w:before="0" w:after="0"/>
        <w:jc w:val="both"/>
        <w:rPr>
          <w:sz w:val="24"/>
          <w:szCs w:val="24"/>
        </w:rPr>
      </w:pPr>
      <w:r w:rsidRPr="00952728">
        <w:rPr>
          <w:sz w:val="24"/>
          <w:szCs w:val="24"/>
        </w:rPr>
        <w:t>Програмата е структурирана около 5 тематични приоритета + 1 хоризонтален и 16 приоритетни области на политиката за развитие на селските райони:</w:t>
      </w:r>
    </w:p>
    <w:p w:rsidR="00952728" w:rsidRPr="00952728" w:rsidRDefault="00952728" w:rsidP="00952728">
      <w:pPr>
        <w:spacing w:before="0" w:after="0"/>
        <w:jc w:val="both"/>
        <w:rPr>
          <w:sz w:val="24"/>
          <w:szCs w:val="24"/>
        </w:rPr>
      </w:pPr>
      <w:r w:rsidRPr="00952728">
        <w:rPr>
          <w:sz w:val="24"/>
          <w:szCs w:val="24"/>
        </w:rPr>
        <w:t>Приоритет 1 (хоризонтален, допринася за трите цели): Стимулиране на трансфера на знания и иновациите в областта на селското и горското стопанство и селските райони;</w:t>
      </w:r>
    </w:p>
    <w:p w:rsidR="00952728" w:rsidRPr="00952728" w:rsidRDefault="00952728" w:rsidP="00952728">
      <w:pPr>
        <w:spacing w:before="0" w:after="0"/>
        <w:jc w:val="both"/>
        <w:rPr>
          <w:sz w:val="24"/>
          <w:szCs w:val="24"/>
        </w:rPr>
      </w:pPr>
      <w:r w:rsidRPr="00952728">
        <w:rPr>
          <w:sz w:val="24"/>
          <w:szCs w:val="24"/>
        </w:rPr>
        <w:t xml:space="preserve">Приоритет 2 (допринася за 1-ва цел): 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 заделен бюджет в размер на 372 млн. евро публични средства (12,7% от всички средства по ПРСР); </w:t>
      </w:r>
    </w:p>
    <w:p w:rsidR="00952728" w:rsidRPr="00952728" w:rsidRDefault="00952728" w:rsidP="00952728">
      <w:pPr>
        <w:spacing w:before="0" w:after="0"/>
        <w:jc w:val="both"/>
        <w:rPr>
          <w:sz w:val="24"/>
          <w:szCs w:val="24"/>
        </w:rPr>
      </w:pPr>
      <w:r w:rsidRPr="00952728">
        <w:rPr>
          <w:sz w:val="24"/>
          <w:szCs w:val="24"/>
        </w:rPr>
        <w:t xml:space="preserve">Приоритет 3 (допринася за 1-ва цел): Насърчаване на организацията на хранителната верига, включително преработката и предлагането на пазара на селскостопански продукти, на хуманното отношение към животните и управлението на риска в селското стопанство – заделен бюджет в размер на 273 млн. евро публични средства (9,4% от всички средства по ПРСР); </w:t>
      </w:r>
    </w:p>
    <w:p w:rsidR="00952728" w:rsidRPr="00952728" w:rsidRDefault="00952728" w:rsidP="00952728">
      <w:pPr>
        <w:spacing w:before="0" w:after="0"/>
        <w:jc w:val="both"/>
        <w:rPr>
          <w:sz w:val="24"/>
          <w:szCs w:val="24"/>
        </w:rPr>
      </w:pPr>
      <w:r w:rsidRPr="00952728">
        <w:rPr>
          <w:sz w:val="24"/>
          <w:szCs w:val="24"/>
        </w:rPr>
        <w:t xml:space="preserve">Приоритет 4 (допринася за 2-ра цел): Възстановяване, опазване и укрепване на екосистемите, свързани със селското и горското стопанство – заделен бюджет в размер на 983 млн. евро публични средства (33,7% от всички средства по ПРСР); </w:t>
      </w:r>
    </w:p>
    <w:p w:rsidR="00952728" w:rsidRPr="00952728" w:rsidRDefault="00952728" w:rsidP="00952728">
      <w:pPr>
        <w:spacing w:before="0" w:after="0"/>
        <w:jc w:val="both"/>
        <w:rPr>
          <w:sz w:val="24"/>
          <w:szCs w:val="24"/>
        </w:rPr>
      </w:pPr>
      <w:r w:rsidRPr="00952728">
        <w:rPr>
          <w:sz w:val="24"/>
          <w:szCs w:val="24"/>
        </w:rPr>
        <w:t xml:space="preserve">Приоритет 5 (допринася за 2-ра цел): Насърчаване на ефективното използване на ресурсите и подпомагане на прехода към </w:t>
      </w:r>
      <w:proofErr w:type="spellStart"/>
      <w:r w:rsidRPr="00952728">
        <w:rPr>
          <w:sz w:val="24"/>
          <w:szCs w:val="24"/>
        </w:rPr>
        <w:t>нисковъглеродна</w:t>
      </w:r>
      <w:proofErr w:type="spellEnd"/>
      <w:r w:rsidRPr="00952728">
        <w:rPr>
          <w:sz w:val="24"/>
          <w:szCs w:val="24"/>
        </w:rPr>
        <w:t xml:space="preserve"> и устойчива на изменението на климата икономика в селското стопанство, сектора на храните и горското стопанство – заделен бюджет в размер на 430,6 млн. евро публични средства (14,8% от всички средства по ПРСР); </w:t>
      </w:r>
    </w:p>
    <w:p w:rsidR="00952728" w:rsidRPr="00952728" w:rsidRDefault="00952728" w:rsidP="00952728">
      <w:pPr>
        <w:spacing w:before="0" w:after="0"/>
        <w:jc w:val="both"/>
        <w:rPr>
          <w:sz w:val="24"/>
          <w:szCs w:val="24"/>
        </w:rPr>
      </w:pPr>
      <w:r w:rsidRPr="00952728">
        <w:rPr>
          <w:sz w:val="24"/>
          <w:szCs w:val="24"/>
        </w:rPr>
        <w:t xml:space="preserve">Приоритет 6 (допринася за 3-та цел): Насърчаване на социалното приобщаване, намаляването на бедността и икономическо развитие в селските райони – заделен бюджет в размер на 815,2 млн. евро публични средства (27,9% от всички средства по ПРСР); </w:t>
      </w:r>
    </w:p>
    <w:p w:rsidR="00952728" w:rsidRPr="00952728" w:rsidRDefault="00952728" w:rsidP="00952728">
      <w:pPr>
        <w:spacing w:before="0" w:after="0"/>
        <w:jc w:val="both"/>
        <w:rPr>
          <w:sz w:val="24"/>
          <w:szCs w:val="24"/>
        </w:rPr>
      </w:pPr>
      <w:r w:rsidRPr="00952728">
        <w:rPr>
          <w:sz w:val="24"/>
          <w:szCs w:val="24"/>
        </w:rPr>
        <w:t>Техническа помощ – заделен бюджет в размер на 44,1 млн. евро публични средства (1,5% от всички средства по ПРСР).</w:t>
      </w:r>
    </w:p>
    <w:p w:rsidR="00952728" w:rsidRPr="00952728" w:rsidRDefault="00952728" w:rsidP="00952728">
      <w:pPr>
        <w:spacing w:before="0" w:after="0"/>
        <w:jc w:val="both"/>
        <w:rPr>
          <w:sz w:val="24"/>
          <w:szCs w:val="24"/>
        </w:rPr>
      </w:pPr>
      <w:r w:rsidRPr="00952728">
        <w:rPr>
          <w:sz w:val="24"/>
          <w:szCs w:val="24"/>
        </w:rPr>
        <w:t>Съобразно посочените по-горе приоритети е направено разпределение на бюджета и индикаторите за изпълнение в общо 17 мерки и една Тематична подпрограма за развитие на малките стопанства, като е предвидено определени под-мерки и мерки да стартират на по-късен етап, предвид необходимостта от извършване на допълнителни анализи, както и съобразяването с приемането на национални стратегически документи.</w:t>
      </w:r>
    </w:p>
    <w:p w:rsidR="00952728" w:rsidRPr="00952728" w:rsidRDefault="00952728" w:rsidP="00952728">
      <w:pPr>
        <w:spacing w:before="0" w:after="0"/>
        <w:jc w:val="both"/>
        <w:rPr>
          <w:sz w:val="24"/>
          <w:szCs w:val="24"/>
        </w:rPr>
      </w:pPr>
      <w:r w:rsidRPr="00952728">
        <w:rPr>
          <w:sz w:val="24"/>
          <w:szCs w:val="24"/>
        </w:rPr>
        <w:t xml:space="preserve">Към 31.12.2017  г. са обнародвани 18 наредби за прилагане на различни мерки и </w:t>
      </w:r>
      <w:proofErr w:type="spellStart"/>
      <w:r w:rsidRPr="00952728">
        <w:rPr>
          <w:sz w:val="24"/>
          <w:szCs w:val="24"/>
        </w:rPr>
        <w:t>подмерки</w:t>
      </w:r>
      <w:proofErr w:type="spellEnd"/>
      <w:r w:rsidRPr="00952728">
        <w:rPr>
          <w:sz w:val="24"/>
          <w:szCs w:val="24"/>
        </w:rPr>
        <w:t xml:space="preserve"> от ПРСР 2014-2020.</w:t>
      </w:r>
    </w:p>
    <w:p w:rsidR="00952728" w:rsidRDefault="00952728" w:rsidP="00952728">
      <w:pPr>
        <w:spacing w:before="0"/>
        <w:jc w:val="both"/>
        <w:rPr>
          <w:color w:val="000000"/>
          <w:sz w:val="24"/>
          <w:szCs w:val="24"/>
        </w:rPr>
      </w:pPr>
      <w:r w:rsidRPr="00952728">
        <w:rPr>
          <w:color w:val="000000"/>
          <w:sz w:val="24"/>
          <w:szCs w:val="24"/>
        </w:rPr>
        <w:t>Съгласно обобщените данни за напредъка на ПРСР 2014-2020, към 31.12.2017  г. са регистрирани общо 15 100 заявления за подпомагане (без мерките, свързани с плащане на площ). Тези заявления са на стойност 6 400,0 млн. лв. Сключени са 4 900 договора по инвестиционни мерки и техническа помощ, на обща стойност 1,600,0 млн. лв., от които:</w:t>
      </w:r>
    </w:p>
    <w:p w:rsidR="008747F0" w:rsidRDefault="008747F0" w:rsidP="00952728">
      <w:pPr>
        <w:spacing w:before="0"/>
        <w:jc w:val="both"/>
        <w:rPr>
          <w:color w:val="000000"/>
          <w:sz w:val="24"/>
          <w:szCs w:val="24"/>
        </w:rPr>
      </w:pPr>
    </w:p>
    <w:p w:rsidR="008747F0" w:rsidRDefault="008747F0" w:rsidP="00952728">
      <w:pPr>
        <w:spacing w:before="0"/>
        <w:jc w:val="both"/>
        <w:rPr>
          <w:color w:val="000000"/>
          <w:sz w:val="24"/>
          <w:szCs w:val="24"/>
        </w:rPr>
      </w:pPr>
    </w:p>
    <w:p w:rsidR="008747F0" w:rsidRPr="00952728" w:rsidRDefault="008747F0" w:rsidP="00952728">
      <w:pPr>
        <w:spacing w:before="0"/>
        <w:jc w:val="both"/>
        <w:rPr>
          <w:color w:val="000000"/>
          <w:sz w:val="24"/>
          <w:szCs w:val="24"/>
        </w:rPr>
      </w:pPr>
    </w:p>
    <w:tbl>
      <w:tblPr>
        <w:tblW w:w="10707" w:type="dxa"/>
        <w:jc w:val="center"/>
        <w:tblCellMar>
          <w:left w:w="70" w:type="dxa"/>
          <w:right w:w="70" w:type="dxa"/>
        </w:tblCellMar>
        <w:tblLook w:val="04A0" w:firstRow="1" w:lastRow="0" w:firstColumn="1" w:lastColumn="0" w:noHBand="0" w:noVBand="1"/>
      </w:tblPr>
      <w:tblGrid>
        <w:gridCol w:w="392"/>
        <w:gridCol w:w="4268"/>
        <w:gridCol w:w="1154"/>
        <w:gridCol w:w="1685"/>
        <w:gridCol w:w="1701"/>
        <w:gridCol w:w="160"/>
        <w:gridCol w:w="1347"/>
      </w:tblGrid>
      <w:tr w:rsidR="00952728" w:rsidRPr="00952728" w:rsidTr="00952728">
        <w:trPr>
          <w:trHeight w:val="300"/>
          <w:jc w:val="center"/>
        </w:trPr>
        <w:tc>
          <w:tcPr>
            <w:tcW w:w="10707" w:type="dxa"/>
            <w:gridSpan w:val="7"/>
            <w:tcBorders>
              <w:top w:val="nil"/>
              <w:left w:val="nil"/>
              <w:bottom w:val="nil"/>
              <w:right w:val="nil"/>
            </w:tcBorders>
            <w:shd w:val="clear" w:color="auto" w:fill="auto"/>
            <w:noWrap/>
            <w:vAlign w:val="bottom"/>
            <w:hideMark/>
          </w:tcPr>
          <w:p w:rsidR="00952728" w:rsidRPr="00952728" w:rsidRDefault="00952728" w:rsidP="00952728">
            <w:pPr>
              <w:spacing w:before="0" w:after="0"/>
              <w:rPr>
                <w:b/>
                <w:bCs/>
                <w:color w:val="000000"/>
                <w:sz w:val="24"/>
                <w:szCs w:val="24"/>
              </w:rPr>
            </w:pPr>
            <w:r w:rsidRPr="00952728">
              <w:rPr>
                <w:b/>
                <w:bCs/>
                <w:color w:val="000000"/>
                <w:sz w:val="24"/>
                <w:szCs w:val="24"/>
              </w:rPr>
              <w:lastRenderedPageBreak/>
              <w:t>Мерки от ПРСР 2014-2020, информация към 31.12.2017  г.</w:t>
            </w:r>
          </w:p>
          <w:p w:rsidR="00952728" w:rsidRPr="00952728" w:rsidRDefault="00952728" w:rsidP="00952728">
            <w:pPr>
              <w:spacing w:before="0" w:after="0"/>
              <w:rPr>
                <w:b/>
                <w:bCs/>
                <w:color w:val="000000"/>
                <w:sz w:val="24"/>
                <w:szCs w:val="24"/>
              </w:rPr>
            </w:pPr>
          </w:p>
        </w:tc>
      </w:tr>
      <w:tr w:rsidR="00952728" w:rsidRPr="00952728" w:rsidTr="00952728">
        <w:trPr>
          <w:gridBefore w:val="1"/>
          <w:gridAfter w:val="1"/>
          <w:wBefore w:w="392" w:type="dxa"/>
          <w:wAfter w:w="1347" w:type="dxa"/>
          <w:trHeight w:val="311"/>
          <w:jc w:val="center"/>
        </w:trPr>
        <w:tc>
          <w:tcPr>
            <w:tcW w:w="4268"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rsidR="00952728" w:rsidRPr="00952728" w:rsidRDefault="00952728" w:rsidP="00952728">
            <w:pPr>
              <w:spacing w:before="0" w:after="0"/>
              <w:jc w:val="center"/>
              <w:rPr>
                <w:b/>
                <w:bCs/>
                <w:color w:val="000000"/>
                <w:sz w:val="24"/>
                <w:szCs w:val="24"/>
              </w:rPr>
            </w:pPr>
            <w:r w:rsidRPr="00952728">
              <w:rPr>
                <w:b/>
                <w:bCs/>
                <w:color w:val="000000"/>
                <w:sz w:val="24"/>
                <w:szCs w:val="24"/>
              </w:rPr>
              <w:t xml:space="preserve">Мерки и </w:t>
            </w:r>
            <w:proofErr w:type="spellStart"/>
            <w:r w:rsidRPr="00952728">
              <w:rPr>
                <w:b/>
                <w:bCs/>
                <w:color w:val="000000"/>
                <w:sz w:val="24"/>
                <w:szCs w:val="24"/>
              </w:rPr>
              <w:t>подмерки</w:t>
            </w:r>
            <w:proofErr w:type="spellEnd"/>
          </w:p>
        </w:tc>
        <w:tc>
          <w:tcPr>
            <w:tcW w:w="4540" w:type="dxa"/>
            <w:gridSpan w:val="3"/>
            <w:tcBorders>
              <w:top w:val="single" w:sz="4" w:space="0" w:color="auto"/>
              <w:left w:val="nil"/>
              <w:bottom w:val="single" w:sz="4" w:space="0" w:color="auto"/>
              <w:right w:val="single" w:sz="4" w:space="0" w:color="000000"/>
            </w:tcBorders>
            <w:shd w:val="clear" w:color="000000" w:fill="EBF1DE"/>
            <w:vAlign w:val="center"/>
            <w:hideMark/>
          </w:tcPr>
          <w:p w:rsidR="00952728" w:rsidRPr="00952728" w:rsidRDefault="00952728" w:rsidP="00952728">
            <w:pPr>
              <w:spacing w:before="0" w:after="0"/>
              <w:jc w:val="center"/>
              <w:rPr>
                <w:b/>
                <w:bCs/>
                <w:color w:val="000000"/>
                <w:sz w:val="24"/>
                <w:szCs w:val="24"/>
              </w:rPr>
            </w:pPr>
            <w:r w:rsidRPr="00952728">
              <w:rPr>
                <w:b/>
                <w:bCs/>
                <w:color w:val="000000"/>
                <w:sz w:val="24"/>
                <w:szCs w:val="24"/>
              </w:rPr>
              <w:t>Сключени договори</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vMerge/>
            <w:tcBorders>
              <w:top w:val="single" w:sz="4" w:space="0" w:color="auto"/>
              <w:left w:val="single" w:sz="4" w:space="0" w:color="auto"/>
              <w:bottom w:val="single" w:sz="4" w:space="0" w:color="auto"/>
              <w:right w:val="single" w:sz="4" w:space="0" w:color="auto"/>
            </w:tcBorders>
            <w:vAlign w:val="center"/>
            <w:hideMark/>
          </w:tcPr>
          <w:p w:rsidR="00952728" w:rsidRPr="00952728" w:rsidRDefault="00952728" w:rsidP="00952728">
            <w:pPr>
              <w:spacing w:before="0" w:after="0"/>
              <w:rPr>
                <w:b/>
                <w:bCs/>
                <w:color w:val="000000"/>
                <w:sz w:val="24"/>
                <w:szCs w:val="24"/>
              </w:rPr>
            </w:pPr>
          </w:p>
        </w:tc>
        <w:tc>
          <w:tcPr>
            <w:tcW w:w="1154" w:type="dxa"/>
            <w:tcBorders>
              <w:top w:val="nil"/>
              <w:left w:val="nil"/>
              <w:bottom w:val="single" w:sz="4" w:space="0" w:color="auto"/>
              <w:right w:val="single" w:sz="4" w:space="0" w:color="auto"/>
            </w:tcBorders>
            <w:shd w:val="clear" w:color="000000" w:fill="EBF1DE"/>
            <w:vAlign w:val="center"/>
            <w:hideMark/>
          </w:tcPr>
          <w:p w:rsidR="00952728" w:rsidRPr="00952728" w:rsidRDefault="00952728" w:rsidP="00477C0D">
            <w:pPr>
              <w:spacing w:before="0" w:after="0"/>
              <w:ind w:firstLine="0"/>
              <w:jc w:val="center"/>
              <w:rPr>
                <w:color w:val="000000"/>
                <w:sz w:val="24"/>
                <w:szCs w:val="24"/>
              </w:rPr>
            </w:pPr>
            <w:r w:rsidRPr="00952728">
              <w:rPr>
                <w:color w:val="000000"/>
                <w:sz w:val="24"/>
                <w:szCs w:val="24"/>
              </w:rPr>
              <w:t>№</w:t>
            </w:r>
          </w:p>
        </w:tc>
        <w:tc>
          <w:tcPr>
            <w:tcW w:w="1685" w:type="dxa"/>
            <w:tcBorders>
              <w:top w:val="nil"/>
              <w:left w:val="nil"/>
              <w:bottom w:val="single" w:sz="4" w:space="0" w:color="auto"/>
              <w:right w:val="single" w:sz="4" w:space="0" w:color="auto"/>
            </w:tcBorders>
            <w:shd w:val="clear" w:color="000000" w:fill="EBF1DE"/>
            <w:vAlign w:val="center"/>
            <w:hideMark/>
          </w:tcPr>
          <w:p w:rsidR="00477C0D" w:rsidRDefault="00952728" w:rsidP="00477C0D">
            <w:pPr>
              <w:spacing w:before="0" w:after="0"/>
              <w:ind w:firstLine="0"/>
              <w:jc w:val="center"/>
              <w:rPr>
                <w:color w:val="000000"/>
                <w:sz w:val="24"/>
                <w:szCs w:val="24"/>
              </w:rPr>
            </w:pPr>
            <w:r w:rsidRPr="00952728">
              <w:rPr>
                <w:color w:val="000000"/>
                <w:sz w:val="24"/>
                <w:szCs w:val="24"/>
              </w:rPr>
              <w:t xml:space="preserve">Одобрени разходи </w:t>
            </w:r>
          </w:p>
          <w:p w:rsidR="00952728" w:rsidRPr="00952728" w:rsidRDefault="00952728" w:rsidP="00477C0D">
            <w:pPr>
              <w:spacing w:before="0" w:after="0"/>
              <w:ind w:firstLine="0"/>
              <w:jc w:val="center"/>
              <w:rPr>
                <w:color w:val="000000"/>
                <w:sz w:val="24"/>
                <w:szCs w:val="24"/>
              </w:rPr>
            </w:pPr>
            <w:r w:rsidRPr="00952728">
              <w:rPr>
                <w:color w:val="000000"/>
                <w:sz w:val="24"/>
                <w:szCs w:val="24"/>
              </w:rPr>
              <w:t>(в млн. лв.)</w:t>
            </w:r>
          </w:p>
        </w:tc>
        <w:tc>
          <w:tcPr>
            <w:tcW w:w="1701" w:type="dxa"/>
            <w:tcBorders>
              <w:top w:val="nil"/>
              <w:left w:val="nil"/>
              <w:bottom w:val="single" w:sz="4" w:space="0" w:color="auto"/>
              <w:right w:val="single" w:sz="4" w:space="0" w:color="auto"/>
            </w:tcBorders>
            <w:shd w:val="clear" w:color="000000" w:fill="EBF1DE"/>
            <w:vAlign w:val="center"/>
            <w:hideMark/>
          </w:tcPr>
          <w:p w:rsidR="00477C0D" w:rsidRDefault="00952728" w:rsidP="00477C0D">
            <w:pPr>
              <w:spacing w:before="0" w:after="0"/>
              <w:ind w:firstLine="0"/>
              <w:jc w:val="center"/>
              <w:rPr>
                <w:color w:val="000000"/>
                <w:sz w:val="24"/>
                <w:szCs w:val="24"/>
              </w:rPr>
            </w:pPr>
            <w:r w:rsidRPr="00952728">
              <w:rPr>
                <w:color w:val="000000"/>
                <w:sz w:val="24"/>
                <w:szCs w:val="24"/>
              </w:rPr>
              <w:t xml:space="preserve">Общо публични разходи </w:t>
            </w:r>
          </w:p>
          <w:p w:rsidR="00952728" w:rsidRPr="00952728" w:rsidRDefault="00952728" w:rsidP="00477C0D">
            <w:pPr>
              <w:spacing w:before="0" w:after="0"/>
              <w:ind w:firstLine="0"/>
              <w:jc w:val="center"/>
              <w:rPr>
                <w:color w:val="000000"/>
                <w:sz w:val="24"/>
                <w:szCs w:val="24"/>
              </w:rPr>
            </w:pPr>
            <w:r w:rsidRPr="00952728">
              <w:rPr>
                <w:color w:val="000000"/>
                <w:sz w:val="24"/>
                <w:szCs w:val="24"/>
              </w:rPr>
              <w:t>(в млн.лв</w:t>
            </w:r>
            <w:r w:rsidR="00477C0D">
              <w:rPr>
                <w:color w:val="000000"/>
                <w:sz w:val="24"/>
                <w:szCs w:val="24"/>
              </w:rPr>
              <w:t>.</w:t>
            </w:r>
            <w:r w:rsidRPr="00952728">
              <w:rPr>
                <w:color w:val="000000"/>
                <w:sz w:val="24"/>
                <w:szCs w:val="24"/>
              </w:rPr>
              <w:t>)</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r w:rsidRPr="00952728">
              <w:rPr>
                <w:sz w:val="24"/>
                <w:szCs w:val="24"/>
              </w:rPr>
              <w:t>Мярка 4-Инвестиции в материални активи.</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1 560</w:t>
            </w:r>
          </w:p>
        </w:tc>
        <w:tc>
          <w:tcPr>
            <w:tcW w:w="1685"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1 768,7</w:t>
            </w:r>
          </w:p>
        </w:tc>
        <w:tc>
          <w:tcPr>
            <w:tcW w:w="1701"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981,1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4.1 „Инвестиции в земеделски стопанства“</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1 367</w:t>
            </w:r>
          </w:p>
        </w:tc>
        <w:tc>
          <w:tcPr>
            <w:tcW w:w="1685"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1 193,1 </w:t>
            </w:r>
          </w:p>
        </w:tc>
        <w:tc>
          <w:tcPr>
            <w:tcW w:w="1701"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695,6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274"/>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4.2 „Инвестиции в преработка/маркетинг на селскостопански продукти“</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193</w:t>
            </w:r>
          </w:p>
        </w:tc>
        <w:tc>
          <w:tcPr>
            <w:tcW w:w="1685"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575,6 </w:t>
            </w:r>
          </w:p>
        </w:tc>
        <w:tc>
          <w:tcPr>
            <w:tcW w:w="1701"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285,5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r w:rsidRPr="00952728">
              <w:rPr>
                <w:sz w:val="24"/>
                <w:szCs w:val="24"/>
              </w:rPr>
              <w:t>Мярка 6-Развитие на стопанството и стопанската дейност.</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2 902</w:t>
            </w:r>
          </w:p>
        </w:tc>
        <w:tc>
          <w:tcPr>
            <w:tcW w:w="1685"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111,8 </w:t>
            </w:r>
          </w:p>
        </w:tc>
        <w:tc>
          <w:tcPr>
            <w:tcW w:w="1701"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111,8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6.1 Стартова помощ за млади земеделски производители</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1 362</w:t>
            </w:r>
          </w:p>
        </w:tc>
        <w:tc>
          <w:tcPr>
            <w:tcW w:w="1685"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66,6 </w:t>
            </w:r>
          </w:p>
        </w:tc>
        <w:tc>
          <w:tcPr>
            <w:tcW w:w="1701"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66,6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450"/>
          <w:jc w:val="center"/>
        </w:trPr>
        <w:tc>
          <w:tcPr>
            <w:tcW w:w="4268" w:type="dxa"/>
            <w:tcBorders>
              <w:top w:val="nil"/>
              <w:left w:val="single" w:sz="4" w:space="0" w:color="auto"/>
              <w:bottom w:val="single" w:sz="4" w:space="0" w:color="auto"/>
              <w:right w:val="single" w:sz="4" w:space="0" w:color="auto"/>
            </w:tcBorders>
            <w:shd w:val="clear" w:color="auto" w:fill="auto"/>
            <w:hideMark/>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6.3 „Стартова помощ за развитието на малки стопанства“(ТПП)</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1 540</w:t>
            </w:r>
          </w:p>
        </w:tc>
        <w:tc>
          <w:tcPr>
            <w:tcW w:w="1685"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45,2 </w:t>
            </w:r>
          </w:p>
        </w:tc>
        <w:tc>
          <w:tcPr>
            <w:tcW w:w="1701" w:type="dxa"/>
            <w:tcBorders>
              <w:top w:val="nil"/>
              <w:left w:val="nil"/>
              <w:bottom w:val="single" w:sz="4" w:space="0" w:color="auto"/>
              <w:right w:val="single" w:sz="4" w:space="0" w:color="auto"/>
            </w:tcBorders>
            <w:shd w:val="clear" w:color="auto" w:fill="auto"/>
            <w:hideMark/>
          </w:tcPr>
          <w:p w:rsidR="00952728" w:rsidRPr="00952728" w:rsidRDefault="00952728" w:rsidP="00477C0D">
            <w:pPr>
              <w:spacing w:before="0" w:after="0"/>
              <w:ind w:firstLine="0"/>
              <w:jc w:val="right"/>
              <w:rPr>
                <w:b/>
                <w:sz w:val="24"/>
                <w:szCs w:val="24"/>
              </w:rPr>
            </w:pPr>
            <w:r w:rsidRPr="00952728">
              <w:rPr>
                <w:b/>
                <w:sz w:val="24"/>
                <w:szCs w:val="24"/>
              </w:rPr>
              <w:t xml:space="preserve">45,2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450"/>
          <w:jc w:val="center"/>
        </w:trPr>
        <w:tc>
          <w:tcPr>
            <w:tcW w:w="4268" w:type="dxa"/>
            <w:tcBorders>
              <w:top w:val="nil"/>
              <w:left w:val="single" w:sz="4" w:space="0" w:color="auto"/>
              <w:bottom w:val="single" w:sz="4" w:space="0" w:color="auto"/>
              <w:right w:val="single" w:sz="4" w:space="0" w:color="auto"/>
            </w:tcBorders>
            <w:shd w:val="clear" w:color="auto" w:fill="auto"/>
          </w:tcPr>
          <w:p w:rsidR="00952728" w:rsidRPr="00952728" w:rsidRDefault="00952728" w:rsidP="00952728">
            <w:pPr>
              <w:spacing w:before="0" w:after="0"/>
              <w:rPr>
                <w:sz w:val="24"/>
                <w:szCs w:val="24"/>
              </w:rPr>
            </w:pPr>
            <w:r w:rsidRPr="00952728">
              <w:rPr>
                <w:sz w:val="24"/>
                <w:szCs w:val="24"/>
              </w:rPr>
              <w:t>Мярка 7-Основни услуги и обновяване на селата в селските райони.</w:t>
            </w:r>
          </w:p>
        </w:tc>
        <w:tc>
          <w:tcPr>
            <w:tcW w:w="1154" w:type="dxa"/>
            <w:tcBorders>
              <w:top w:val="nil"/>
              <w:left w:val="nil"/>
              <w:bottom w:val="single" w:sz="4" w:space="0" w:color="auto"/>
              <w:right w:val="single" w:sz="4" w:space="0" w:color="auto"/>
            </w:tcBorders>
            <w:shd w:val="clear" w:color="000000" w:fill="EBF1DE"/>
          </w:tcPr>
          <w:p w:rsidR="00952728" w:rsidRPr="00952728" w:rsidRDefault="00952728" w:rsidP="00477C0D">
            <w:pPr>
              <w:spacing w:before="0" w:after="0"/>
              <w:ind w:firstLine="0"/>
              <w:jc w:val="right"/>
              <w:rPr>
                <w:b/>
                <w:sz w:val="24"/>
                <w:szCs w:val="24"/>
              </w:rPr>
            </w:pPr>
            <w:r w:rsidRPr="00952728">
              <w:rPr>
                <w:b/>
                <w:sz w:val="24"/>
                <w:szCs w:val="24"/>
              </w:rPr>
              <w:t>230</w:t>
            </w:r>
          </w:p>
        </w:tc>
        <w:tc>
          <w:tcPr>
            <w:tcW w:w="1685"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319,6 </w:t>
            </w:r>
          </w:p>
        </w:tc>
        <w:tc>
          <w:tcPr>
            <w:tcW w:w="1701"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319,6 </w:t>
            </w:r>
          </w:p>
        </w:tc>
        <w:tc>
          <w:tcPr>
            <w:tcW w:w="160" w:type="dxa"/>
            <w:vAlign w:val="center"/>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450"/>
          <w:jc w:val="center"/>
        </w:trPr>
        <w:tc>
          <w:tcPr>
            <w:tcW w:w="4268" w:type="dxa"/>
            <w:tcBorders>
              <w:top w:val="nil"/>
              <w:left w:val="single" w:sz="4" w:space="0" w:color="auto"/>
              <w:bottom w:val="single" w:sz="4" w:space="0" w:color="auto"/>
              <w:right w:val="single" w:sz="4" w:space="0" w:color="auto"/>
            </w:tcBorders>
            <w:shd w:val="clear" w:color="auto" w:fill="auto"/>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7.2. Инвестиции в създаването, подобряването или разширяването на всички видове малка по мащаби инфраструктура.</w:t>
            </w:r>
          </w:p>
        </w:tc>
        <w:tc>
          <w:tcPr>
            <w:tcW w:w="1154" w:type="dxa"/>
            <w:tcBorders>
              <w:top w:val="nil"/>
              <w:left w:val="nil"/>
              <w:bottom w:val="single" w:sz="4" w:space="0" w:color="auto"/>
              <w:right w:val="single" w:sz="4" w:space="0" w:color="auto"/>
            </w:tcBorders>
            <w:shd w:val="clear" w:color="000000" w:fill="EBF1DE"/>
          </w:tcPr>
          <w:p w:rsidR="00952728" w:rsidRPr="00952728" w:rsidRDefault="00952728" w:rsidP="00477C0D">
            <w:pPr>
              <w:spacing w:before="0" w:after="0"/>
              <w:ind w:firstLine="0"/>
              <w:jc w:val="right"/>
              <w:rPr>
                <w:b/>
                <w:sz w:val="24"/>
                <w:szCs w:val="24"/>
              </w:rPr>
            </w:pPr>
            <w:r w:rsidRPr="00952728">
              <w:rPr>
                <w:b/>
                <w:sz w:val="24"/>
                <w:szCs w:val="24"/>
              </w:rPr>
              <w:t>158</w:t>
            </w:r>
          </w:p>
        </w:tc>
        <w:tc>
          <w:tcPr>
            <w:tcW w:w="1685"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279,5 </w:t>
            </w:r>
          </w:p>
        </w:tc>
        <w:tc>
          <w:tcPr>
            <w:tcW w:w="1701"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279,5 </w:t>
            </w:r>
          </w:p>
        </w:tc>
        <w:tc>
          <w:tcPr>
            <w:tcW w:w="160" w:type="dxa"/>
            <w:vAlign w:val="center"/>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450"/>
          <w:jc w:val="center"/>
        </w:trPr>
        <w:tc>
          <w:tcPr>
            <w:tcW w:w="4268" w:type="dxa"/>
            <w:tcBorders>
              <w:top w:val="nil"/>
              <w:left w:val="single" w:sz="4" w:space="0" w:color="auto"/>
              <w:bottom w:val="single" w:sz="4" w:space="0" w:color="auto"/>
              <w:right w:val="single" w:sz="4" w:space="0" w:color="auto"/>
            </w:tcBorders>
            <w:shd w:val="clear" w:color="auto" w:fill="auto"/>
          </w:tcPr>
          <w:p w:rsidR="00952728" w:rsidRPr="00952728" w:rsidRDefault="00952728" w:rsidP="00952728">
            <w:pPr>
              <w:spacing w:before="0" w:after="0"/>
              <w:rPr>
                <w:sz w:val="24"/>
                <w:szCs w:val="24"/>
              </w:rPr>
            </w:pPr>
            <w:proofErr w:type="spellStart"/>
            <w:r w:rsidRPr="00952728">
              <w:rPr>
                <w:sz w:val="24"/>
                <w:szCs w:val="24"/>
              </w:rPr>
              <w:t>Подмярка</w:t>
            </w:r>
            <w:proofErr w:type="spellEnd"/>
            <w:r w:rsidRPr="00952728">
              <w:rPr>
                <w:sz w:val="24"/>
                <w:szCs w:val="24"/>
              </w:rPr>
              <w:t xml:space="preserve"> 7.6. Проучвания и инвестиции, свързани с поддържане, възстановяване и на културното и природното наследство на селата.</w:t>
            </w:r>
          </w:p>
        </w:tc>
        <w:tc>
          <w:tcPr>
            <w:tcW w:w="1154" w:type="dxa"/>
            <w:tcBorders>
              <w:top w:val="nil"/>
              <w:left w:val="nil"/>
              <w:bottom w:val="single" w:sz="4" w:space="0" w:color="auto"/>
              <w:right w:val="single" w:sz="4" w:space="0" w:color="auto"/>
            </w:tcBorders>
            <w:shd w:val="clear" w:color="000000" w:fill="EBF1DE"/>
          </w:tcPr>
          <w:p w:rsidR="00952728" w:rsidRPr="00952728" w:rsidRDefault="00952728" w:rsidP="00477C0D">
            <w:pPr>
              <w:spacing w:before="0" w:after="0"/>
              <w:ind w:firstLine="0"/>
              <w:jc w:val="right"/>
              <w:rPr>
                <w:b/>
                <w:sz w:val="24"/>
                <w:szCs w:val="24"/>
              </w:rPr>
            </w:pPr>
            <w:r w:rsidRPr="00952728">
              <w:rPr>
                <w:b/>
                <w:sz w:val="24"/>
                <w:szCs w:val="24"/>
              </w:rPr>
              <w:t>72</w:t>
            </w:r>
          </w:p>
        </w:tc>
        <w:tc>
          <w:tcPr>
            <w:tcW w:w="1685"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40,0 </w:t>
            </w:r>
          </w:p>
        </w:tc>
        <w:tc>
          <w:tcPr>
            <w:tcW w:w="1701" w:type="dxa"/>
            <w:tcBorders>
              <w:top w:val="nil"/>
              <w:left w:val="nil"/>
              <w:bottom w:val="single" w:sz="4" w:space="0" w:color="auto"/>
              <w:right w:val="single" w:sz="4" w:space="0" w:color="auto"/>
            </w:tcBorders>
            <w:shd w:val="clear" w:color="auto" w:fill="auto"/>
          </w:tcPr>
          <w:p w:rsidR="00952728" w:rsidRPr="00952728" w:rsidRDefault="00952728" w:rsidP="00477C0D">
            <w:pPr>
              <w:spacing w:before="0" w:after="0"/>
              <w:ind w:firstLine="0"/>
              <w:jc w:val="right"/>
              <w:rPr>
                <w:b/>
                <w:sz w:val="24"/>
                <w:szCs w:val="24"/>
              </w:rPr>
            </w:pPr>
            <w:r w:rsidRPr="00952728">
              <w:rPr>
                <w:b/>
                <w:sz w:val="24"/>
                <w:szCs w:val="24"/>
              </w:rPr>
              <w:t xml:space="preserve">40,0 </w:t>
            </w:r>
          </w:p>
        </w:tc>
        <w:tc>
          <w:tcPr>
            <w:tcW w:w="160" w:type="dxa"/>
            <w:vAlign w:val="center"/>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952728" w:rsidRPr="00952728" w:rsidRDefault="00952728" w:rsidP="00952728">
            <w:pPr>
              <w:spacing w:before="0" w:after="0"/>
              <w:rPr>
                <w:b/>
                <w:bCs/>
                <w:color w:val="000000"/>
                <w:sz w:val="24"/>
                <w:szCs w:val="24"/>
              </w:rPr>
            </w:pPr>
            <w:r w:rsidRPr="00952728">
              <w:rPr>
                <w:b/>
                <w:bCs/>
                <w:color w:val="000000"/>
                <w:sz w:val="24"/>
                <w:szCs w:val="24"/>
              </w:rPr>
              <w:t>ВОМР (ЛИДЕР)</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181</w:t>
            </w:r>
          </w:p>
        </w:tc>
        <w:tc>
          <w:tcPr>
            <w:tcW w:w="1685"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154,3 </w:t>
            </w:r>
          </w:p>
        </w:tc>
        <w:tc>
          <w:tcPr>
            <w:tcW w:w="1701"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154,3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952728" w:rsidRPr="00952728" w:rsidRDefault="00952728" w:rsidP="00952728">
            <w:pPr>
              <w:spacing w:before="0" w:after="0"/>
              <w:rPr>
                <w:b/>
                <w:bCs/>
                <w:color w:val="000000"/>
                <w:sz w:val="24"/>
                <w:szCs w:val="24"/>
              </w:rPr>
            </w:pPr>
            <w:r w:rsidRPr="00952728">
              <w:rPr>
                <w:b/>
                <w:bCs/>
                <w:color w:val="000000"/>
                <w:sz w:val="24"/>
                <w:szCs w:val="24"/>
              </w:rPr>
              <w:t>Техническа помощ</w:t>
            </w:r>
          </w:p>
        </w:tc>
        <w:tc>
          <w:tcPr>
            <w:tcW w:w="1154"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94</w:t>
            </w:r>
          </w:p>
        </w:tc>
        <w:tc>
          <w:tcPr>
            <w:tcW w:w="1685"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25,8 </w:t>
            </w:r>
          </w:p>
        </w:tc>
        <w:tc>
          <w:tcPr>
            <w:tcW w:w="1701" w:type="dxa"/>
            <w:tcBorders>
              <w:top w:val="nil"/>
              <w:left w:val="nil"/>
              <w:bottom w:val="single" w:sz="4" w:space="0" w:color="auto"/>
              <w:right w:val="single" w:sz="4" w:space="0" w:color="auto"/>
            </w:tcBorders>
            <w:shd w:val="clear" w:color="000000" w:fill="EBF1DE"/>
            <w:hideMark/>
          </w:tcPr>
          <w:p w:rsidR="00952728" w:rsidRPr="00952728" w:rsidRDefault="00952728" w:rsidP="00477C0D">
            <w:pPr>
              <w:spacing w:before="0" w:after="0"/>
              <w:ind w:firstLine="0"/>
              <w:jc w:val="right"/>
              <w:rPr>
                <w:b/>
                <w:sz w:val="24"/>
                <w:szCs w:val="24"/>
              </w:rPr>
            </w:pPr>
            <w:r w:rsidRPr="00952728">
              <w:rPr>
                <w:b/>
                <w:sz w:val="24"/>
                <w:szCs w:val="24"/>
              </w:rPr>
              <w:t xml:space="preserve">25,8 </w:t>
            </w:r>
          </w:p>
        </w:tc>
        <w:tc>
          <w:tcPr>
            <w:tcW w:w="160" w:type="dxa"/>
            <w:vAlign w:val="center"/>
            <w:hideMark/>
          </w:tcPr>
          <w:p w:rsidR="00952728" w:rsidRPr="00952728" w:rsidRDefault="00952728" w:rsidP="00952728">
            <w:pPr>
              <w:spacing w:before="0" w:after="0"/>
              <w:rPr>
                <w:color w:val="000000"/>
                <w:sz w:val="24"/>
                <w:szCs w:val="24"/>
              </w:rPr>
            </w:pPr>
          </w:p>
        </w:tc>
      </w:tr>
      <w:tr w:rsidR="00952728" w:rsidRPr="00952728" w:rsidTr="00952728">
        <w:trPr>
          <w:gridBefore w:val="1"/>
          <w:gridAfter w:val="1"/>
          <w:wBefore w:w="392" w:type="dxa"/>
          <w:wAfter w:w="1347" w:type="dxa"/>
          <w:trHeight w:val="70"/>
          <w:jc w:val="center"/>
        </w:trPr>
        <w:tc>
          <w:tcPr>
            <w:tcW w:w="4268" w:type="dxa"/>
            <w:tcBorders>
              <w:top w:val="nil"/>
              <w:left w:val="single" w:sz="4" w:space="0" w:color="auto"/>
              <w:bottom w:val="single" w:sz="4" w:space="0" w:color="auto"/>
              <w:right w:val="single" w:sz="4" w:space="0" w:color="auto"/>
            </w:tcBorders>
            <w:shd w:val="clear" w:color="000000" w:fill="EBF1DE"/>
            <w:vAlign w:val="center"/>
            <w:hideMark/>
          </w:tcPr>
          <w:p w:rsidR="00952728" w:rsidRPr="00952728" w:rsidRDefault="00952728" w:rsidP="00952728">
            <w:pPr>
              <w:spacing w:before="0" w:after="0"/>
              <w:rPr>
                <w:b/>
                <w:bCs/>
                <w:color w:val="000000"/>
                <w:sz w:val="24"/>
                <w:szCs w:val="24"/>
              </w:rPr>
            </w:pPr>
            <w:r w:rsidRPr="00952728">
              <w:rPr>
                <w:b/>
                <w:bCs/>
                <w:color w:val="000000"/>
                <w:sz w:val="24"/>
                <w:szCs w:val="24"/>
              </w:rPr>
              <w:t>ОБЩО</w:t>
            </w:r>
          </w:p>
        </w:tc>
        <w:tc>
          <w:tcPr>
            <w:tcW w:w="1154" w:type="dxa"/>
            <w:tcBorders>
              <w:top w:val="nil"/>
              <w:left w:val="nil"/>
              <w:bottom w:val="single" w:sz="4" w:space="0" w:color="auto"/>
              <w:right w:val="single" w:sz="4" w:space="0" w:color="auto"/>
            </w:tcBorders>
            <w:shd w:val="clear" w:color="000000" w:fill="D8E4BC"/>
            <w:hideMark/>
          </w:tcPr>
          <w:p w:rsidR="00952728" w:rsidRPr="00952728" w:rsidRDefault="00952728" w:rsidP="00477C0D">
            <w:pPr>
              <w:spacing w:before="0" w:after="0"/>
              <w:ind w:firstLine="0"/>
              <w:jc w:val="right"/>
              <w:rPr>
                <w:b/>
                <w:sz w:val="24"/>
                <w:szCs w:val="24"/>
              </w:rPr>
            </w:pPr>
            <w:r w:rsidRPr="00952728">
              <w:rPr>
                <w:b/>
                <w:sz w:val="24"/>
                <w:szCs w:val="24"/>
              </w:rPr>
              <w:t>4 967</w:t>
            </w:r>
          </w:p>
        </w:tc>
        <w:tc>
          <w:tcPr>
            <w:tcW w:w="1685" w:type="dxa"/>
            <w:tcBorders>
              <w:top w:val="nil"/>
              <w:left w:val="nil"/>
              <w:bottom w:val="single" w:sz="4" w:space="0" w:color="auto"/>
              <w:right w:val="single" w:sz="4" w:space="0" w:color="auto"/>
            </w:tcBorders>
            <w:shd w:val="clear" w:color="000000" w:fill="D8E4BC"/>
            <w:hideMark/>
          </w:tcPr>
          <w:p w:rsidR="00952728" w:rsidRPr="00952728" w:rsidRDefault="00952728" w:rsidP="00477C0D">
            <w:pPr>
              <w:spacing w:before="0" w:after="0"/>
              <w:ind w:firstLine="0"/>
              <w:jc w:val="right"/>
              <w:rPr>
                <w:b/>
                <w:sz w:val="24"/>
                <w:szCs w:val="24"/>
              </w:rPr>
            </w:pPr>
            <w:r w:rsidRPr="00952728">
              <w:rPr>
                <w:b/>
                <w:sz w:val="24"/>
                <w:szCs w:val="24"/>
              </w:rPr>
              <w:t xml:space="preserve">2 380,1 </w:t>
            </w:r>
          </w:p>
        </w:tc>
        <w:tc>
          <w:tcPr>
            <w:tcW w:w="1701" w:type="dxa"/>
            <w:tcBorders>
              <w:top w:val="nil"/>
              <w:left w:val="nil"/>
              <w:bottom w:val="single" w:sz="4" w:space="0" w:color="auto"/>
              <w:right w:val="single" w:sz="4" w:space="0" w:color="auto"/>
            </w:tcBorders>
            <w:shd w:val="clear" w:color="000000" w:fill="D8E4BC"/>
            <w:hideMark/>
          </w:tcPr>
          <w:p w:rsidR="00952728" w:rsidRPr="00952728" w:rsidRDefault="00952728" w:rsidP="00477C0D">
            <w:pPr>
              <w:spacing w:before="0" w:after="0"/>
              <w:ind w:firstLine="0"/>
              <w:jc w:val="right"/>
              <w:rPr>
                <w:b/>
                <w:sz w:val="24"/>
                <w:szCs w:val="24"/>
              </w:rPr>
            </w:pPr>
            <w:r w:rsidRPr="00952728">
              <w:rPr>
                <w:b/>
                <w:sz w:val="24"/>
                <w:szCs w:val="24"/>
              </w:rPr>
              <w:t xml:space="preserve">1 592,6 </w:t>
            </w:r>
          </w:p>
        </w:tc>
        <w:tc>
          <w:tcPr>
            <w:tcW w:w="160" w:type="dxa"/>
            <w:vAlign w:val="center"/>
            <w:hideMark/>
          </w:tcPr>
          <w:p w:rsidR="00952728" w:rsidRPr="00952728" w:rsidRDefault="00952728" w:rsidP="00952728">
            <w:pPr>
              <w:spacing w:before="0" w:after="0"/>
              <w:rPr>
                <w:color w:val="000000"/>
                <w:sz w:val="24"/>
                <w:szCs w:val="24"/>
              </w:rPr>
            </w:pPr>
          </w:p>
        </w:tc>
      </w:tr>
    </w:tbl>
    <w:p w:rsidR="00952728" w:rsidRPr="00952728" w:rsidRDefault="00952728" w:rsidP="00952728">
      <w:pPr>
        <w:spacing w:before="0" w:after="0"/>
        <w:jc w:val="both"/>
        <w:rPr>
          <w:color w:val="000000"/>
          <w:sz w:val="24"/>
          <w:szCs w:val="24"/>
        </w:rPr>
      </w:pPr>
    </w:p>
    <w:p w:rsidR="00952728" w:rsidRPr="00952728" w:rsidRDefault="00952728" w:rsidP="00952728">
      <w:pPr>
        <w:spacing w:before="0" w:after="0"/>
        <w:jc w:val="both"/>
        <w:rPr>
          <w:color w:val="000000"/>
          <w:sz w:val="24"/>
          <w:szCs w:val="24"/>
        </w:rPr>
      </w:pPr>
      <w:r w:rsidRPr="00952728">
        <w:rPr>
          <w:color w:val="000000"/>
          <w:sz w:val="24"/>
          <w:szCs w:val="24"/>
        </w:rPr>
        <w:t>Разплатените към 31.12.2017  г. субсидии по ПРСР 2014-2020 представляват  14.9 % от целия наличен бюджет на ПРСР, или 852,6 млн.лв. публични средства (</w:t>
      </w:r>
      <w:proofErr w:type="spellStart"/>
      <w:r w:rsidRPr="00952728">
        <w:rPr>
          <w:color w:val="000000"/>
          <w:sz w:val="24"/>
          <w:szCs w:val="24"/>
        </w:rPr>
        <w:t>средства</w:t>
      </w:r>
      <w:proofErr w:type="spellEnd"/>
      <w:r w:rsidRPr="00952728">
        <w:rPr>
          <w:color w:val="000000"/>
          <w:sz w:val="24"/>
          <w:szCs w:val="24"/>
        </w:rPr>
        <w:t xml:space="preserve"> от ЕЗФРСР + такива от национален бюджет). Договорените средства (с отчитане на оторизираните суми, но без отчитане на поети бъдещи +преходни задължения по мерките с 5 годишен ангажимент от ПРСР) представляват 36,8% спрямо целия бюджет на ПРСР, или 2 102,1 млн.лв. публични средства.</w:t>
      </w:r>
    </w:p>
    <w:p w:rsidR="00952728" w:rsidRPr="00952728" w:rsidRDefault="00952728" w:rsidP="00952728">
      <w:pPr>
        <w:spacing w:before="0" w:after="0"/>
        <w:jc w:val="both"/>
        <w:rPr>
          <w:b/>
          <w:sz w:val="24"/>
          <w:szCs w:val="24"/>
        </w:rPr>
      </w:pPr>
      <w:r w:rsidRPr="00952728">
        <w:rPr>
          <w:b/>
          <w:sz w:val="24"/>
          <w:szCs w:val="24"/>
        </w:rPr>
        <w:t xml:space="preserve">Област на политика рибарство и </w:t>
      </w:r>
      <w:proofErr w:type="spellStart"/>
      <w:r w:rsidRPr="00952728">
        <w:rPr>
          <w:b/>
          <w:sz w:val="24"/>
          <w:szCs w:val="24"/>
        </w:rPr>
        <w:t>аквакултури</w:t>
      </w:r>
      <w:proofErr w:type="spellEnd"/>
      <w:r w:rsidRPr="00952728">
        <w:rPr>
          <w:b/>
          <w:sz w:val="24"/>
          <w:szCs w:val="24"/>
        </w:rPr>
        <w:t xml:space="preserve"> </w:t>
      </w:r>
    </w:p>
    <w:p w:rsidR="00952728" w:rsidRPr="00952728" w:rsidRDefault="00952728" w:rsidP="00952728">
      <w:pPr>
        <w:spacing w:before="0" w:after="0"/>
        <w:jc w:val="both"/>
        <w:rPr>
          <w:sz w:val="24"/>
          <w:szCs w:val="24"/>
        </w:rPr>
      </w:pPr>
      <w:r w:rsidRPr="00952728">
        <w:rPr>
          <w:sz w:val="24"/>
          <w:szCs w:val="24"/>
        </w:rPr>
        <w:t xml:space="preserve">Политиката в сектор „Рибарство” (сектор „Рибарство” включва дейностите, свързани с риболов с цел търговия, любителски риболов, </w:t>
      </w:r>
      <w:proofErr w:type="spellStart"/>
      <w:r w:rsidRPr="00952728">
        <w:rPr>
          <w:sz w:val="24"/>
          <w:szCs w:val="24"/>
        </w:rPr>
        <w:t>аквакултури</w:t>
      </w:r>
      <w:proofErr w:type="spellEnd"/>
      <w:r w:rsidRPr="00952728">
        <w:rPr>
          <w:sz w:val="24"/>
          <w:szCs w:val="24"/>
        </w:rPr>
        <w:t xml:space="preserve"> и рибопреработвателната промишленост) следва да допринася за поддържане и възстановяване на </w:t>
      </w:r>
      <w:proofErr w:type="spellStart"/>
      <w:r w:rsidRPr="00952728">
        <w:rPr>
          <w:sz w:val="24"/>
          <w:szCs w:val="24"/>
        </w:rPr>
        <w:t>биооразнообразието</w:t>
      </w:r>
      <w:proofErr w:type="spellEnd"/>
      <w:r w:rsidRPr="00952728">
        <w:rPr>
          <w:sz w:val="24"/>
          <w:szCs w:val="24"/>
        </w:rPr>
        <w:t xml:space="preserve"> във водните екосистеми, чрез: </w:t>
      </w:r>
    </w:p>
    <w:p w:rsidR="00952728" w:rsidRPr="00952728" w:rsidRDefault="00952728" w:rsidP="00952728">
      <w:pPr>
        <w:numPr>
          <w:ilvl w:val="0"/>
          <w:numId w:val="43"/>
        </w:numPr>
        <w:overflowPunct w:val="0"/>
        <w:autoSpaceDE w:val="0"/>
        <w:autoSpaceDN w:val="0"/>
        <w:adjustRightInd w:val="0"/>
        <w:spacing w:before="0" w:after="0"/>
        <w:ind w:left="0" w:firstLine="567"/>
        <w:jc w:val="both"/>
        <w:textAlignment w:val="baseline"/>
        <w:rPr>
          <w:sz w:val="24"/>
          <w:szCs w:val="24"/>
        </w:rPr>
      </w:pPr>
      <w:r w:rsidRPr="00952728">
        <w:rPr>
          <w:sz w:val="24"/>
          <w:szCs w:val="24"/>
        </w:rPr>
        <w:t xml:space="preserve">прилагане на </w:t>
      </w:r>
      <w:proofErr w:type="spellStart"/>
      <w:r w:rsidRPr="00952728">
        <w:rPr>
          <w:sz w:val="24"/>
          <w:szCs w:val="24"/>
        </w:rPr>
        <w:t>екосистемен</w:t>
      </w:r>
      <w:proofErr w:type="spellEnd"/>
      <w:r w:rsidRPr="00952728">
        <w:rPr>
          <w:sz w:val="24"/>
          <w:szCs w:val="24"/>
        </w:rPr>
        <w:t xml:space="preserve"> подход към управлението на рибарството и </w:t>
      </w:r>
      <w:proofErr w:type="spellStart"/>
      <w:r w:rsidRPr="00952728">
        <w:rPr>
          <w:sz w:val="24"/>
          <w:szCs w:val="24"/>
        </w:rPr>
        <w:t>аквакултурите</w:t>
      </w:r>
      <w:proofErr w:type="spellEnd"/>
      <w:r w:rsidRPr="00952728">
        <w:rPr>
          <w:sz w:val="24"/>
          <w:szCs w:val="24"/>
        </w:rPr>
        <w:t>;</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lastRenderedPageBreak/>
        <w:t>осигуряване на условия за устойчива експлоатация на морските биологични ресурси, основаваща се на подхода на предпазливост;</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създаване на достъпна храна за населението, популяризираща здравословен модел на хранене;</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 xml:space="preserve">прилагане на европейските стандарти по отношение на производство, преработка и маркетинг на риба от стопански риболов и </w:t>
      </w:r>
      <w:proofErr w:type="spellStart"/>
      <w:r w:rsidRPr="00952728">
        <w:rPr>
          <w:sz w:val="24"/>
          <w:szCs w:val="24"/>
        </w:rPr>
        <w:t>аквакултури</w:t>
      </w:r>
      <w:proofErr w:type="spellEnd"/>
      <w:r w:rsidRPr="00952728">
        <w:rPr>
          <w:sz w:val="24"/>
          <w:szCs w:val="24"/>
        </w:rPr>
        <w:t>;</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превръщане на сектор „Рибарство” в модерен и конкурентоспособен сектор, с помощта на прилагането на иновационни дейности, подпомогнати от научни разработки;</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превръщане в гъвкав, саморегулиращ се икономически сектор, в резултат на изградено партньорство и съвместни дейности между частните предприятия, организации и съответните национални институции и европейски структури;</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 xml:space="preserve">превръщане на сектор „Рибарство” в икономически стабилен сектор, посредством повишаване на асортимента, качеството и количеството на произведената продукция от риба, носеща значителни приходи на лицата, ангажирани с риболова и </w:t>
      </w:r>
      <w:proofErr w:type="spellStart"/>
      <w:r w:rsidRPr="00952728">
        <w:rPr>
          <w:sz w:val="24"/>
          <w:szCs w:val="24"/>
        </w:rPr>
        <w:t>аквакултурите</w:t>
      </w:r>
      <w:proofErr w:type="spellEnd"/>
      <w:r w:rsidRPr="00952728">
        <w:rPr>
          <w:sz w:val="24"/>
          <w:szCs w:val="24"/>
        </w:rPr>
        <w:t>;</w:t>
      </w:r>
    </w:p>
    <w:p w:rsidR="00952728" w:rsidRPr="00952728" w:rsidRDefault="00952728" w:rsidP="00952728">
      <w:pPr>
        <w:numPr>
          <w:ilvl w:val="0"/>
          <w:numId w:val="42"/>
        </w:numPr>
        <w:overflowPunct w:val="0"/>
        <w:autoSpaceDE w:val="0"/>
        <w:autoSpaceDN w:val="0"/>
        <w:adjustRightInd w:val="0"/>
        <w:spacing w:before="0" w:after="0"/>
        <w:ind w:left="0" w:firstLine="567"/>
        <w:jc w:val="both"/>
        <w:textAlignment w:val="baseline"/>
        <w:rPr>
          <w:sz w:val="24"/>
          <w:szCs w:val="24"/>
        </w:rPr>
      </w:pPr>
      <w:r w:rsidRPr="00952728">
        <w:rPr>
          <w:sz w:val="24"/>
          <w:szCs w:val="24"/>
        </w:rPr>
        <w:t xml:space="preserve">по-добро интегриране с другите сектори на икономиката (туризъм, услуги и др.). </w:t>
      </w:r>
    </w:p>
    <w:p w:rsidR="00952728" w:rsidRPr="00952728" w:rsidRDefault="00952728" w:rsidP="00952728">
      <w:pPr>
        <w:spacing w:before="0" w:after="0"/>
        <w:rPr>
          <w:i/>
          <w:sz w:val="24"/>
          <w:szCs w:val="24"/>
          <w:u w:val="single"/>
          <w:lang w:eastAsia="en-US"/>
        </w:rPr>
      </w:pPr>
      <w:r w:rsidRPr="00952728">
        <w:rPr>
          <w:i/>
          <w:sz w:val="24"/>
          <w:szCs w:val="24"/>
          <w:u w:val="single"/>
          <w:lang w:eastAsia="en-US"/>
        </w:rPr>
        <w:t>Стратегически и оперативни цели</w:t>
      </w:r>
    </w:p>
    <w:p w:rsidR="00952728" w:rsidRPr="00952728" w:rsidRDefault="00952728" w:rsidP="00952728">
      <w:pPr>
        <w:spacing w:before="0" w:after="0"/>
        <w:jc w:val="both"/>
        <w:rPr>
          <w:b/>
          <w:sz w:val="24"/>
          <w:szCs w:val="24"/>
        </w:rPr>
      </w:pPr>
      <w:r w:rsidRPr="00952728">
        <w:rPr>
          <w:b/>
          <w:sz w:val="24"/>
          <w:szCs w:val="24"/>
        </w:rPr>
        <w:t>Стратегическа цел на политиката е:</w:t>
      </w:r>
    </w:p>
    <w:p w:rsidR="00952728" w:rsidRPr="00952728" w:rsidRDefault="00952728" w:rsidP="00952728">
      <w:pPr>
        <w:spacing w:before="0" w:after="0"/>
        <w:jc w:val="both"/>
        <w:rPr>
          <w:sz w:val="24"/>
          <w:szCs w:val="24"/>
        </w:rPr>
      </w:pPr>
      <w:r w:rsidRPr="00952728">
        <w:rPr>
          <w:sz w:val="24"/>
          <w:szCs w:val="24"/>
        </w:rPr>
        <w:t xml:space="preserve">Устойчиво развитие на сектор „Рибарство”. </w:t>
      </w:r>
    </w:p>
    <w:p w:rsidR="00952728" w:rsidRPr="00952728" w:rsidRDefault="00952728" w:rsidP="00952728">
      <w:pPr>
        <w:spacing w:before="0" w:after="0"/>
        <w:jc w:val="both"/>
        <w:rPr>
          <w:b/>
          <w:sz w:val="24"/>
          <w:szCs w:val="24"/>
        </w:rPr>
      </w:pPr>
      <w:r w:rsidRPr="00952728">
        <w:rPr>
          <w:b/>
          <w:sz w:val="24"/>
          <w:szCs w:val="24"/>
        </w:rPr>
        <w:t>Оперативни цели:</w:t>
      </w:r>
    </w:p>
    <w:p w:rsidR="00952728" w:rsidRPr="00952728" w:rsidRDefault="00952728" w:rsidP="00952728">
      <w:pPr>
        <w:spacing w:before="0" w:after="0"/>
        <w:jc w:val="both"/>
        <w:rPr>
          <w:sz w:val="24"/>
          <w:szCs w:val="24"/>
        </w:rPr>
      </w:pPr>
      <w:r w:rsidRPr="00952728">
        <w:rPr>
          <w:sz w:val="24"/>
          <w:szCs w:val="24"/>
        </w:rPr>
        <w:t xml:space="preserve">Развитие на стопанския и любителски риболов, на производството на </w:t>
      </w:r>
      <w:proofErr w:type="spellStart"/>
      <w:r w:rsidRPr="00952728">
        <w:rPr>
          <w:sz w:val="24"/>
          <w:szCs w:val="24"/>
        </w:rPr>
        <w:t>аквакултури</w:t>
      </w:r>
      <w:proofErr w:type="spellEnd"/>
      <w:r w:rsidRPr="00952728">
        <w:rPr>
          <w:sz w:val="24"/>
          <w:szCs w:val="24"/>
        </w:rPr>
        <w:t xml:space="preserve"> и на преработвателната промишленост;</w:t>
      </w:r>
    </w:p>
    <w:p w:rsidR="00952728" w:rsidRPr="00952728" w:rsidRDefault="00952728" w:rsidP="00952728">
      <w:pPr>
        <w:spacing w:before="0" w:after="0"/>
        <w:jc w:val="both"/>
        <w:rPr>
          <w:sz w:val="24"/>
          <w:szCs w:val="24"/>
        </w:rPr>
      </w:pPr>
      <w:r w:rsidRPr="00952728">
        <w:rPr>
          <w:sz w:val="24"/>
          <w:szCs w:val="24"/>
        </w:rPr>
        <w:t>Устойчиво развитие на рибните ресурси;</w:t>
      </w:r>
    </w:p>
    <w:p w:rsidR="00952728" w:rsidRPr="00952728" w:rsidRDefault="00952728" w:rsidP="00952728">
      <w:pPr>
        <w:spacing w:before="0" w:after="0"/>
        <w:jc w:val="both"/>
        <w:rPr>
          <w:sz w:val="24"/>
          <w:szCs w:val="24"/>
        </w:rPr>
      </w:pPr>
      <w:r w:rsidRPr="00952728">
        <w:rPr>
          <w:sz w:val="24"/>
          <w:szCs w:val="24"/>
        </w:rPr>
        <w:t xml:space="preserve">Опазване и възстановяване на биологичното разнообразие. </w:t>
      </w:r>
    </w:p>
    <w:p w:rsidR="00952728" w:rsidRPr="00952728" w:rsidRDefault="00952728" w:rsidP="00952728">
      <w:pPr>
        <w:spacing w:before="0" w:after="0"/>
        <w:jc w:val="both"/>
        <w:rPr>
          <w:b/>
          <w:sz w:val="24"/>
          <w:szCs w:val="24"/>
        </w:rPr>
      </w:pPr>
      <w:r w:rsidRPr="00952728">
        <w:rPr>
          <w:b/>
          <w:sz w:val="24"/>
          <w:szCs w:val="24"/>
        </w:rPr>
        <w:t xml:space="preserve">Област на политика съхраняване и увеличаване на горите и дивеча </w:t>
      </w:r>
    </w:p>
    <w:p w:rsidR="00952728" w:rsidRPr="00952728" w:rsidRDefault="00952728" w:rsidP="00952728">
      <w:pPr>
        <w:autoSpaceDE w:val="0"/>
        <w:autoSpaceDN w:val="0"/>
        <w:adjustRightInd w:val="0"/>
        <w:spacing w:before="0" w:after="0"/>
        <w:ind w:right="44"/>
        <w:jc w:val="both"/>
        <w:rPr>
          <w:sz w:val="24"/>
          <w:szCs w:val="24"/>
        </w:rPr>
      </w:pPr>
      <w:r w:rsidRPr="00952728">
        <w:rPr>
          <w:bCs/>
          <w:iCs/>
          <w:noProof/>
          <w:sz w:val="24"/>
          <w:szCs w:val="24"/>
        </w:rPr>
        <w:t>Контрол върху изпълнението на Закона за горите, ЗЛОД и подзаконовата нормативна уредба. Изготвяне на национални, областни и местни стратегии, планове и програми за развитие на горския сектор и горските територии и контрол върху изпълнението им.</w:t>
      </w:r>
    </w:p>
    <w:p w:rsidR="00952728" w:rsidRPr="00952728" w:rsidRDefault="00952728" w:rsidP="00952728">
      <w:pPr>
        <w:spacing w:before="0" w:after="0"/>
        <w:rPr>
          <w:sz w:val="24"/>
          <w:szCs w:val="24"/>
          <w:u w:val="single"/>
          <w:lang w:eastAsia="en-US"/>
        </w:rPr>
      </w:pPr>
      <w:r w:rsidRPr="00952728">
        <w:rPr>
          <w:sz w:val="24"/>
          <w:szCs w:val="24"/>
          <w:u w:val="single"/>
          <w:lang w:eastAsia="en-US"/>
        </w:rPr>
        <w:t xml:space="preserve">Стратегически и оперативни цели: </w:t>
      </w:r>
    </w:p>
    <w:p w:rsidR="00952728" w:rsidRPr="00952728" w:rsidRDefault="00952728" w:rsidP="00952728">
      <w:pPr>
        <w:spacing w:before="0" w:after="0"/>
        <w:jc w:val="both"/>
        <w:rPr>
          <w:sz w:val="24"/>
          <w:szCs w:val="24"/>
        </w:rPr>
      </w:pPr>
      <w:r w:rsidRPr="00952728">
        <w:rPr>
          <w:sz w:val="24"/>
          <w:szCs w:val="24"/>
        </w:rPr>
        <w:t xml:space="preserve"> Правилното планиране на национално, областно и местно ниво на дейностите в горския сектор и горските територии и контролът върху изпълнението на нормативната уредба от високо квалифицирани експерти ще доведат до опазване на горите и дивеча за българското общество;</w:t>
      </w:r>
    </w:p>
    <w:p w:rsidR="00952728" w:rsidRPr="00952728" w:rsidRDefault="00952728" w:rsidP="00952728">
      <w:pPr>
        <w:spacing w:before="0" w:after="0"/>
        <w:jc w:val="both"/>
        <w:rPr>
          <w:sz w:val="24"/>
          <w:szCs w:val="24"/>
        </w:rPr>
      </w:pPr>
      <w:r w:rsidRPr="00952728">
        <w:rPr>
          <w:sz w:val="24"/>
          <w:szCs w:val="24"/>
        </w:rPr>
        <w:t xml:space="preserve"> Контрол и планиране;</w:t>
      </w:r>
    </w:p>
    <w:p w:rsidR="00952728" w:rsidRPr="00952728" w:rsidRDefault="00952728" w:rsidP="00952728">
      <w:pPr>
        <w:spacing w:before="0" w:after="0"/>
        <w:jc w:val="both"/>
        <w:rPr>
          <w:sz w:val="24"/>
          <w:szCs w:val="24"/>
        </w:rPr>
      </w:pPr>
      <w:r w:rsidRPr="00952728">
        <w:rPr>
          <w:sz w:val="24"/>
          <w:szCs w:val="24"/>
        </w:rPr>
        <w:t xml:space="preserve"> Изпълнение на международни и национални програми и проекти в областта на горското стопанство и участие в работата на помощните органи на Европейската комисия, подпомагащи дейността й в областта на горското стопанство, както и осигуряване на международното сътрудничество по проблемите на горите;</w:t>
      </w:r>
    </w:p>
    <w:p w:rsidR="00952728" w:rsidRPr="00952728" w:rsidRDefault="00952728" w:rsidP="00952728">
      <w:pPr>
        <w:spacing w:before="0" w:after="0"/>
        <w:ind w:right="2"/>
        <w:jc w:val="both"/>
        <w:rPr>
          <w:bCs/>
          <w:iCs/>
          <w:noProof/>
          <w:sz w:val="24"/>
          <w:szCs w:val="24"/>
        </w:rPr>
      </w:pPr>
      <w:r w:rsidRPr="00952728">
        <w:rPr>
          <w:sz w:val="24"/>
          <w:szCs w:val="24"/>
        </w:rPr>
        <w:t xml:space="preserve"> Предоставяне на информация, извършване на административни и  консултантски услуги  на граждани и собственици на гори, на юридически лица и органи на държавната власт по въпроси, свързани с горското стопанство.</w:t>
      </w:r>
    </w:p>
    <w:p w:rsidR="00952728" w:rsidRPr="00952728" w:rsidRDefault="00952728" w:rsidP="00952728">
      <w:pPr>
        <w:spacing w:before="0" w:after="0"/>
        <w:jc w:val="both"/>
        <w:rPr>
          <w:b/>
          <w:sz w:val="24"/>
          <w:szCs w:val="24"/>
        </w:rPr>
      </w:pPr>
      <w:r w:rsidRPr="00952728">
        <w:rPr>
          <w:b/>
          <w:sz w:val="24"/>
          <w:szCs w:val="24"/>
        </w:rPr>
        <w:t>Бюджетна програма „Администрация“</w:t>
      </w:r>
    </w:p>
    <w:p w:rsidR="00952728" w:rsidRPr="00952728" w:rsidRDefault="00952728" w:rsidP="00952728">
      <w:pPr>
        <w:overflowPunct w:val="0"/>
        <w:autoSpaceDE w:val="0"/>
        <w:autoSpaceDN w:val="0"/>
        <w:adjustRightInd w:val="0"/>
        <w:spacing w:before="0" w:after="0"/>
        <w:jc w:val="both"/>
        <w:textAlignment w:val="baseline"/>
        <w:rPr>
          <w:b/>
          <w:bCs/>
          <w:sz w:val="24"/>
          <w:szCs w:val="24"/>
          <w:lang w:eastAsia="en-US"/>
        </w:rPr>
      </w:pPr>
      <w:r w:rsidRPr="00952728">
        <w:rPr>
          <w:b/>
          <w:bCs/>
          <w:sz w:val="24"/>
          <w:szCs w:val="24"/>
          <w:lang w:eastAsia="en-US"/>
        </w:rPr>
        <w:t>Описание на степента на изпълнение на заложените в програмата цели</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По програмата се отчитат дейности, които подпомагат изпълнението на всички останали програми, изграждащи структурата на бюджета, както и звената на пряко подчинение на министъра.</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 xml:space="preserve">В сферата на човешките ресурси в МЗХГ са проведени  конкурсни процедури за набиране служители. Проведени са и няколко десетки процедури по мобилност – </w:t>
      </w:r>
      <w:r w:rsidRPr="00952728">
        <w:rPr>
          <w:bCs/>
          <w:sz w:val="24"/>
          <w:szCs w:val="24"/>
          <w:lang w:eastAsia="en-US"/>
        </w:rPr>
        <w:lastRenderedPageBreak/>
        <w:t xml:space="preserve">постоянна и временна. Назначават се служители по програмата „Старт на кариерата”; провеждат се краткосрочни стажове на студенти. </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 xml:space="preserve">Съгласно Стратегическия и Годишния план за дейността по вътрешен одит в МЗХГ, през отчетния период се извършиха </w:t>
      </w:r>
      <w:proofErr w:type="spellStart"/>
      <w:r w:rsidRPr="00952728">
        <w:rPr>
          <w:bCs/>
          <w:sz w:val="24"/>
          <w:szCs w:val="24"/>
          <w:lang w:eastAsia="en-US"/>
        </w:rPr>
        <w:t>одитни</w:t>
      </w:r>
      <w:proofErr w:type="spellEnd"/>
      <w:r w:rsidRPr="00952728">
        <w:rPr>
          <w:bCs/>
          <w:sz w:val="24"/>
          <w:szCs w:val="24"/>
          <w:lang w:eastAsia="en-US"/>
        </w:rPr>
        <w:t xml:space="preserve"> ангажименти, класифицирани  като високо и средно рискови, насочени към оценки за законосъобразност и спазване на принципите за добро финансово управление. </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 xml:space="preserve">Изпълнени са поставените цели, свързани с предотвратяване и отстраняване на нарушения при функционирането на администрацията; извършени са цялостни, тематични и други проверки в администрацията на МЗХГ, във ВРБ и от по-ниска степен, търговски дружества и други по заповед на министъра. </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 xml:space="preserve">За периода в Инспектората са постъпили множество сигнали от граждани, организации, фирми, от НС и МС и др., които своевременно са разгледани и са предприети мерки за проверка на изнесеното. За резултатите от одитите се изготвят отговори до подателите. </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 xml:space="preserve">Организирани са успешно редица участия в международни изложения, конференции, кръгли маси и форуми и др. подобни протоколни мероприятия на МЗХГ. </w:t>
      </w:r>
    </w:p>
    <w:p w:rsidR="00952728" w:rsidRPr="00952728" w:rsidRDefault="00952728" w:rsidP="00952728">
      <w:pPr>
        <w:overflowPunct w:val="0"/>
        <w:autoSpaceDE w:val="0"/>
        <w:autoSpaceDN w:val="0"/>
        <w:adjustRightInd w:val="0"/>
        <w:spacing w:before="0" w:after="0"/>
        <w:jc w:val="both"/>
        <w:textAlignment w:val="baseline"/>
        <w:rPr>
          <w:bCs/>
          <w:sz w:val="24"/>
          <w:szCs w:val="24"/>
          <w:lang w:eastAsia="en-US"/>
        </w:rPr>
      </w:pPr>
      <w:r w:rsidRPr="00952728">
        <w:rPr>
          <w:bCs/>
          <w:sz w:val="24"/>
          <w:szCs w:val="24"/>
          <w:lang w:eastAsia="en-US"/>
        </w:rPr>
        <w:t>Извършен е мониторинг на изпълнението на ангажиментите на Република България в областта на земеделието като държава членка - подготовка на отчети, информации и доклади за изпълнението на плана за действие за съответната година с мерките, произтичащи от членството на Република България в ЕС.</w:t>
      </w:r>
    </w:p>
    <w:p w:rsidR="00952728" w:rsidRPr="00952728" w:rsidRDefault="00952728" w:rsidP="00952728">
      <w:pPr>
        <w:overflowPunct w:val="0"/>
        <w:autoSpaceDE w:val="0"/>
        <w:autoSpaceDN w:val="0"/>
        <w:adjustRightInd w:val="0"/>
        <w:spacing w:before="0" w:after="0"/>
        <w:textAlignment w:val="baseline"/>
        <w:rPr>
          <w:sz w:val="24"/>
          <w:szCs w:val="24"/>
          <w:lang w:eastAsia="en-US"/>
        </w:rPr>
      </w:pPr>
    </w:p>
    <w:tbl>
      <w:tblPr>
        <w:tblW w:w="9498" w:type="dxa"/>
        <w:jc w:val="center"/>
        <w:tblLayout w:type="fixed"/>
        <w:tblLook w:val="04A0" w:firstRow="1" w:lastRow="0" w:firstColumn="1" w:lastColumn="0" w:noHBand="0" w:noVBand="1"/>
      </w:tblPr>
      <w:tblGrid>
        <w:gridCol w:w="4852"/>
        <w:gridCol w:w="1527"/>
        <w:gridCol w:w="1559"/>
        <w:gridCol w:w="1560"/>
      </w:tblGrid>
      <w:tr w:rsidR="00952728" w:rsidRPr="00952728" w:rsidTr="00952728">
        <w:trPr>
          <w:trHeight w:val="1905"/>
          <w:jc w:val="center"/>
        </w:trPr>
        <w:tc>
          <w:tcPr>
            <w:tcW w:w="9498" w:type="dxa"/>
            <w:gridSpan w:val="4"/>
            <w:tcBorders>
              <w:top w:val="nil"/>
              <w:left w:val="nil"/>
              <w:bottom w:val="nil"/>
              <w:right w:val="nil"/>
            </w:tcBorders>
            <w:shd w:val="clear" w:color="000000" w:fill="E6E6E6"/>
            <w:vAlign w:val="center"/>
            <w:hideMark/>
          </w:tcPr>
          <w:p w:rsidR="00952728" w:rsidRPr="00952728" w:rsidRDefault="00952728" w:rsidP="00952728">
            <w:pPr>
              <w:spacing w:before="0" w:after="0"/>
              <w:jc w:val="center"/>
              <w:rPr>
                <w:b/>
                <w:bCs/>
                <w:color w:val="000000"/>
                <w:sz w:val="24"/>
                <w:szCs w:val="24"/>
                <w:lang w:eastAsia="en-US"/>
              </w:rPr>
            </w:pPr>
            <w:r w:rsidRPr="00952728">
              <w:rPr>
                <w:b/>
                <w:bCs/>
                <w:color w:val="000000"/>
                <w:sz w:val="24"/>
                <w:szCs w:val="24"/>
                <w:lang w:eastAsia="en-US"/>
              </w:rPr>
              <w:t>Справка за извършените разходи към 31.12.2017 г. по бюджета на Министерство на земеделието, храните и горите по области на политики и бюджетни програми, утвърдени със ЗДБРБ за 2017 г.</w:t>
            </w:r>
          </w:p>
        </w:tc>
      </w:tr>
      <w:tr w:rsidR="00952728" w:rsidRPr="00952728" w:rsidTr="00952728">
        <w:trPr>
          <w:trHeight w:val="330"/>
          <w:jc w:val="center"/>
        </w:trPr>
        <w:tc>
          <w:tcPr>
            <w:tcW w:w="4852" w:type="dxa"/>
            <w:tcBorders>
              <w:top w:val="nil"/>
              <w:left w:val="nil"/>
              <w:bottom w:val="nil"/>
              <w:right w:val="nil"/>
            </w:tcBorders>
            <w:shd w:val="clear" w:color="auto" w:fill="auto"/>
            <w:noWrap/>
            <w:vAlign w:val="bottom"/>
            <w:hideMark/>
          </w:tcPr>
          <w:p w:rsidR="00952728" w:rsidRPr="00952728" w:rsidRDefault="00952728" w:rsidP="00952728">
            <w:pPr>
              <w:spacing w:before="0" w:after="0"/>
              <w:rPr>
                <w:color w:val="000000"/>
                <w:sz w:val="24"/>
                <w:szCs w:val="24"/>
                <w:lang w:eastAsia="en-US"/>
              </w:rPr>
            </w:pPr>
          </w:p>
        </w:tc>
        <w:tc>
          <w:tcPr>
            <w:tcW w:w="1527" w:type="dxa"/>
            <w:tcBorders>
              <w:top w:val="nil"/>
              <w:left w:val="nil"/>
              <w:bottom w:val="nil"/>
              <w:right w:val="nil"/>
            </w:tcBorders>
            <w:shd w:val="clear" w:color="auto" w:fill="auto"/>
            <w:noWrap/>
            <w:vAlign w:val="bottom"/>
            <w:hideMark/>
          </w:tcPr>
          <w:p w:rsidR="00952728" w:rsidRPr="00952728" w:rsidRDefault="00952728" w:rsidP="00952728">
            <w:pPr>
              <w:spacing w:before="0" w:after="0"/>
              <w:rPr>
                <w:color w:val="000000"/>
                <w:sz w:val="24"/>
                <w:szCs w:val="24"/>
                <w:lang w:eastAsia="en-US"/>
              </w:rPr>
            </w:pPr>
          </w:p>
        </w:tc>
        <w:tc>
          <w:tcPr>
            <w:tcW w:w="1559" w:type="dxa"/>
            <w:tcBorders>
              <w:top w:val="nil"/>
              <w:left w:val="nil"/>
              <w:bottom w:val="nil"/>
              <w:right w:val="nil"/>
            </w:tcBorders>
            <w:shd w:val="clear" w:color="auto" w:fill="auto"/>
            <w:noWrap/>
            <w:vAlign w:val="bottom"/>
            <w:hideMark/>
          </w:tcPr>
          <w:p w:rsidR="00952728" w:rsidRPr="00952728" w:rsidRDefault="00952728" w:rsidP="00952728">
            <w:pPr>
              <w:spacing w:before="0" w:after="0"/>
              <w:rPr>
                <w:color w:val="000000"/>
                <w:sz w:val="24"/>
                <w:szCs w:val="24"/>
                <w:lang w:eastAsia="en-US"/>
              </w:rPr>
            </w:pPr>
          </w:p>
        </w:tc>
        <w:tc>
          <w:tcPr>
            <w:tcW w:w="1560" w:type="dxa"/>
            <w:tcBorders>
              <w:top w:val="nil"/>
              <w:left w:val="nil"/>
              <w:bottom w:val="nil"/>
              <w:right w:val="nil"/>
            </w:tcBorders>
            <w:shd w:val="clear" w:color="auto" w:fill="auto"/>
            <w:noWrap/>
            <w:vAlign w:val="bottom"/>
            <w:hideMark/>
          </w:tcPr>
          <w:p w:rsidR="00952728" w:rsidRPr="00952728" w:rsidRDefault="00952728" w:rsidP="00952728">
            <w:pPr>
              <w:spacing w:before="0" w:after="0"/>
              <w:rPr>
                <w:color w:val="000000"/>
                <w:sz w:val="24"/>
                <w:szCs w:val="24"/>
                <w:lang w:eastAsia="en-US"/>
              </w:rPr>
            </w:pPr>
          </w:p>
        </w:tc>
      </w:tr>
      <w:tr w:rsidR="00952728" w:rsidRPr="00952728" w:rsidTr="00952728">
        <w:trPr>
          <w:trHeight w:val="315"/>
          <w:jc w:val="center"/>
        </w:trPr>
        <w:tc>
          <w:tcPr>
            <w:tcW w:w="4852" w:type="dxa"/>
            <w:tcBorders>
              <w:top w:val="single" w:sz="8" w:space="0" w:color="auto"/>
              <w:left w:val="single" w:sz="8" w:space="0" w:color="auto"/>
              <w:bottom w:val="nil"/>
              <w:right w:val="single" w:sz="8" w:space="0" w:color="auto"/>
            </w:tcBorders>
            <w:shd w:val="clear" w:color="000000" w:fill="E6E6E6"/>
            <w:vAlign w:val="center"/>
            <w:hideMark/>
          </w:tcPr>
          <w:p w:rsidR="00952728" w:rsidRPr="00952728" w:rsidRDefault="00952728" w:rsidP="00952728">
            <w:pPr>
              <w:spacing w:before="0" w:after="0"/>
              <w:jc w:val="center"/>
              <w:rPr>
                <w:b/>
                <w:bCs/>
                <w:color w:val="000000"/>
                <w:sz w:val="24"/>
                <w:szCs w:val="24"/>
                <w:lang w:eastAsia="en-US"/>
              </w:rPr>
            </w:pPr>
            <w:r w:rsidRPr="00952728">
              <w:rPr>
                <w:b/>
                <w:bCs/>
                <w:color w:val="000000"/>
                <w:sz w:val="24"/>
                <w:szCs w:val="24"/>
                <w:lang w:eastAsia="en-US"/>
              </w:rPr>
              <w:t>РАЗХОДИ</w:t>
            </w:r>
          </w:p>
        </w:tc>
        <w:tc>
          <w:tcPr>
            <w:tcW w:w="1527"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52728" w:rsidRPr="00952728" w:rsidRDefault="00952728" w:rsidP="00952728">
            <w:pPr>
              <w:spacing w:before="0" w:after="0"/>
              <w:ind w:firstLine="0"/>
              <w:jc w:val="center"/>
              <w:rPr>
                <w:b/>
                <w:bCs/>
                <w:color w:val="000000"/>
                <w:sz w:val="24"/>
                <w:szCs w:val="24"/>
                <w:lang w:eastAsia="en-US"/>
              </w:rPr>
            </w:pPr>
            <w:r w:rsidRPr="00952728">
              <w:rPr>
                <w:b/>
                <w:bCs/>
                <w:color w:val="000000"/>
                <w:sz w:val="24"/>
                <w:szCs w:val="24"/>
                <w:lang w:eastAsia="en-US"/>
              </w:rPr>
              <w:t>Закон                  (в млн.лв.)</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52728" w:rsidRPr="00952728" w:rsidRDefault="00952728" w:rsidP="00952728">
            <w:pPr>
              <w:spacing w:before="0" w:after="0"/>
              <w:ind w:firstLine="0"/>
              <w:jc w:val="center"/>
              <w:rPr>
                <w:b/>
                <w:bCs/>
                <w:color w:val="000000"/>
                <w:sz w:val="24"/>
                <w:szCs w:val="24"/>
                <w:lang w:eastAsia="en-US"/>
              </w:rPr>
            </w:pPr>
            <w:r w:rsidRPr="00952728">
              <w:rPr>
                <w:b/>
                <w:bCs/>
                <w:color w:val="000000"/>
                <w:sz w:val="24"/>
                <w:szCs w:val="24"/>
                <w:lang w:eastAsia="en-US"/>
              </w:rPr>
              <w:t>Уточнен план              (в млн. лв.)</w:t>
            </w:r>
          </w:p>
        </w:tc>
        <w:tc>
          <w:tcPr>
            <w:tcW w:w="156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952728" w:rsidRPr="00952728" w:rsidRDefault="00952728" w:rsidP="00952728">
            <w:pPr>
              <w:spacing w:before="0" w:after="0"/>
              <w:ind w:firstLine="0"/>
              <w:jc w:val="center"/>
              <w:rPr>
                <w:b/>
                <w:bCs/>
                <w:color w:val="000000"/>
                <w:sz w:val="24"/>
                <w:szCs w:val="24"/>
                <w:lang w:eastAsia="en-US"/>
              </w:rPr>
            </w:pPr>
            <w:r w:rsidRPr="00952728">
              <w:rPr>
                <w:b/>
                <w:bCs/>
                <w:color w:val="000000"/>
                <w:sz w:val="24"/>
                <w:szCs w:val="24"/>
                <w:lang w:eastAsia="en-US"/>
              </w:rPr>
              <w:t>Отчет                (в млн. лв.)</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center"/>
              <w:rPr>
                <w:b/>
                <w:bCs/>
                <w:color w:val="000000"/>
                <w:sz w:val="24"/>
                <w:szCs w:val="24"/>
                <w:lang w:eastAsia="en-US"/>
              </w:rPr>
            </w:pPr>
            <w:r w:rsidRPr="00952728">
              <w:rPr>
                <w:b/>
                <w:bCs/>
                <w:color w:val="000000"/>
                <w:sz w:val="24"/>
                <w:szCs w:val="24"/>
                <w:lang w:eastAsia="en-US"/>
              </w:rPr>
              <w:t>(в хил. лева)</w:t>
            </w:r>
          </w:p>
        </w:tc>
        <w:tc>
          <w:tcPr>
            <w:tcW w:w="1527" w:type="dxa"/>
            <w:vMerge/>
            <w:tcBorders>
              <w:top w:val="single" w:sz="8" w:space="0" w:color="auto"/>
              <w:left w:val="single" w:sz="8" w:space="0" w:color="auto"/>
              <w:bottom w:val="single" w:sz="8" w:space="0" w:color="000000"/>
              <w:right w:val="single" w:sz="8" w:space="0" w:color="auto"/>
            </w:tcBorders>
            <w:vAlign w:val="center"/>
            <w:hideMark/>
          </w:tcPr>
          <w:p w:rsidR="00952728" w:rsidRPr="00952728" w:rsidRDefault="00952728" w:rsidP="00952728">
            <w:pPr>
              <w:spacing w:before="0" w:after="0"/>
              <w:rPr>
                <w:b/>
                <w:bCs/>
                <w:color w:val="000000"/>
                <w:sz w:val="24"/>
                <w:szCs w:val="24"/>
                <w:lang w:eastAsia="en-US"/>
              </w:rPr>
            </w:pP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952728" w:rsidRPr="00952728" w:rsidRDefault="00952728" w:rsidP="00952728">
            <w:pPr>
              <w:spacing w:before="0" w:after="0"/>
              <w:rPr>
                <w:b/>
                <w:bCs/>
                <w:color w:val="000000"/>
                <w:sz w:val="24"/>
                <w:szCs w:val="24"/>
                <w:lang w:eastAsia="en-US"/>
              </w:rPr>
            </w:pPr>
          </w:p>
        </w:tc>
        <w:tc>
          <w:tcPr>
            <w:tcW w:w="1560" w:type="dxa"/>
            <w:vMerge/>
            <w:tcBorders>
              <w:top w:val="single" w:sz="8" w:space="0" w:color="auto"/>
              <w:left w:val="single" w:sz="8" w:space="0" w:color="auto"/>
              <w:bottom w:val="single" w:sz="8" w:space="0" w:color="000000"/>
              <w:right w:val="single" w:sz="8" w:space="0" w:color="auto"/>
            </w:tcBorders>
            <w:vAlign w:val="center"/>
            <w:hideMark/>
          </w:tcPr>
          <w:p w:rsidR="00952728" w:rsidRPr="00952728" w:rsidRDefault="00952728" w:rsidP="00952728">
            <w:pPr>
              <w:spacing w:before="0" w:after="0"/>
              <w:rPr>
                <w:b/>
                <w:bCs/>
                <w:color w:val="000000"/>
                <w:sz w:val="24"/>
                <w:szCs w:val="24"/>
                <w:lang w:eastAsia="en-US"/>
              </w:rPr>
            </w:pP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b/>
                <w:bCs/>
                <w:color w:val="000000"/>
                <w:sz w:val="24"/>
                <w:szCs w:val="24"/>
                <w:lang w:eastAsia="en-US"/>
              </w:rPr>
            </w:pPr>
            <w:r w:rsidRPr="00952728">
              <w:rPr>
                <w:b/>
                <w:bCs/>
                <w:color w:val="000000"/>
                <w:sz w:val="24"/>
                <w:szCs w:val="24"/>
                <w:lang w:eastAsia="en-US"/>
              </w:rPr>
              <w:t>Общо разходи по бюджета на ПРБ</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205 ,5</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227,3</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226 ,5</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000000" w:fill="E6E6E6"/>
            <w:vAlign w:val="center"/>
            <w:hideMark/>
          </w:tcPr>
          <w:p w:rsidR="00952728" w:rsidRPr="00952728" w:rsidRDefault="00952728" w:rsidP="00952728">
            <w:pPr>
              <w:spacing w:before="0" w:after="0"/>
              <w:rPr>
                <w:b/>
                <w:bCs/>
                <w:color w:val="000000"/>
                <w:sz w:val="24"/>
                <w:szCs w:val="24"/>
                <w:lang w:eastAsia="en-US"/>
              </w:rPr>
            </w:pPr>
            <w:r w:rsidRPr="00952728">
              <w:rPr>
                <w:b/>
                <w:bCs/>
                <w:color w:val="000000"/>
                <w:sz w:val="24"/>
                <w:szCs w:val="24"/>
                <w:lang w:eastAsia="en-US"/>
              </w:rPr>
              <w:t>Политика в областта на земеделието и селските райони</w:t>
            </w:r>
          </w:p>
        </w:tc>
        <w:tc>
          <w:tcPr>
            <w:tcW w:w="1527"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154,1</w:t>
            </w:r>
          </w:p>
        </w:tc>
        <w:tc>
          <w:tcPr>
            <w:tcW w:w="1559"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177,6</w:t>
            </w:r>
          </w:p>
        </w:tc>
        <w:tc>
          <w:tcPr>
            <w:tcW w:w="1560"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178,0</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"Земеделски земи"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ind w:firstLine="0"/>
              <w:rPr>
                <w:color w:val="000000"/>
                <w:sz w:val="24"/>
                <w:szCs w:val="24"/>
                <w:lang w:eastAsia="en-US"/>
              </w:rPr>
            </w:pPr>
            <w:r w:rsidRPr="00952728">
              <w:rPr>
                <w:color w:val="000000"/>
                <w:sz w:val="24"/>
                <w:szCs w:val="24"/>
                <w:lang w:eastAsia="en-US"/>
              </w:rPr>
              <w:t xml:space="preserve">              41,5</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ind w:firstLine="0"/>
              <w:rPr>
                <w:color w:val="000000"/>
                <w:sz w:val="24"/>
                <w:szCs w:val="24"/>
                <w:lang w:eastAsia="en-US"/>
              </w:rPr>
            </w:pPr>
            <w:r w:rsidRPr="00952728">
              <w:rPr>
                <w:color w:val="000000"/>
                <w:sz w:val="24"/>
                <w:szCs w:val="24"/>
                <w:lang w:eastAsia="en-US"/>
              </w:rPr>
              <w:t xml:space="preserve">               34,9 </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ind w:firstLine="0"/>
              <w:rPr>
                <w:color w:val="000000"/>
                <w:sz w:val="24"/>
                <w:szCs w:val="24"/>
                <w:lang w:eastAsia="en-US"/>
              </w:rPr>
            </w:pPr>
            <w:r w:rsidRPr="00952728">
              <w:rPr>
                <w:color w:val="000000"/>
                <w:sz w:val="24"/>
                <w:szCs w:val="24"/>
                <w:lang w:eastAsia="en-US"/>
              </w:rPr>
              <w:t xml:space="preserve">               34,7</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„Природни ресурси в селските райони”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52,0</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80,0</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80,0</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„Растениевъдство”</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10,2</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24,2</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24,2</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„Хидромелиорации”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16,6</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16,3</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16,2</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„Животновъдство”</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2,6</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2,5</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2,6</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„Организация на пазарите и държавни помощи”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3 ,2</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2,0</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2,0</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w:t>
            </w:r>
            <w:proofErr w:type="spellStart"/>
            <w:r w:rsidRPr="00952728">
              <w:rPr>
                <w:color w:val="000000"/>
                <w:sz w:val="24"/>
                <w:szCs w:val="24"/>
                <w:lang w:eastAsia="en-US"/>
              </w:rPr>
              <w:t>Агростатистика</w:t>
            </w:r>
            <w:proofErr w:type="spellEnd"/>
            <w:r w:rsidRPr="00952728">
              <w:rPr>
                <w:color w:val="000000"/>
                <w:sz w:val="24"/>
                <w:szCs w:val="24"/>
                <w:lang w:eastAsia="en-US"/>
              </w:rPr>
              <w:t>, анализи и прогнози”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1 ,2</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0,6</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0,6</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„Научни изследвания”</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21,2</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32,5</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34,6</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lastRenderedPageBreak/>
              <w:t>Бюджетна програма „Съвети и консултации”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1 ,0</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w:t>
            </w:r>
            <w:proofErr w:type="spellStart"/>
            <w:r w:rsidRPr="00952728">
              <w:rPr>
                <w:color w:val="000000"/>
                <w:sz w:val="24"/>
                <w:szCs w:val="24"/>
                <w:lang w:eastAsia="en-US"/>
              </w:rPr>
              <w:t>1</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w:t>
            </w:r>
            <w:proofErr w:type="spellStart"/>
            <w:r w:rsidRPr="00952728">
              <w:rPr>
                <w:color w:val="000000"/>
                <w:sz w:val="24"/>
                <w:szCs w:val="24"/>
                <w:lang w:eastAsia="en-US"/>
              </w:rPr>
              <w:t>1</w:t>
            </w:r>
            <w:proofErr w:type="spellEnd"/>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„Земеделска техника”</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0,9</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0,5</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0,5</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„Безопасност по хранителната верига”</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54,5</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62,7</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61,2</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Бюджетна програма „Подобряване на живота в селските райони”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1,3</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0,3</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0,3</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jc w:val="both"/>
              <w:rPr>
                <w:color w:val="000000"/>
                <w:sz w:val="24"/>
                <w:szCs w:val="24"/>
                <w:lang w:eastAsia="en-US"/>
              </w:rPr>
            </w:pPr>
            <w:r w:rsidRPr="00952728">
              <w:rPr>
                <w:color w:val="000000"/>
                <w:sz w:val="24"/>
                <w:szCs w:val="24"/>
                <w:lang w:eastAsia="en-US"/>
              </w:rPr>
              <w:t> </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000000" w:fill="E6E6E6"/>
            <w:vAlign w:val="center"/>
            <w:hideMark/>
          </w:tcPr>
          <w:p w:rsidR="00952728" w:rsidRPr="00952728" w:rsidRDefault="00952728" w:rsidP="00952728">
            <w:pPr>
              <w:spacing w:before="0" w:after="0"/>
              <w:rPr>
                <w:b/>
                <w:bCs/>
                <w:color w:val="000000"/>
                <w:sz w:val="24"/>
                <w:szCs w:val="24"/>
                <w:lang w:eastAsia="en-US"/>
              </w:rPr>
            </w:pPr>
            <w:r w:rsidRPr="00952728">
              <w:rPr>
                <w:b/>
                <w:bCs/>
                <w:color w:val="000000"/>
                <w:sz w:val="24"/>
                <w:szCs w:val="24"/>
                <w:lang w:eastAsia="en-US"/>
              </w:rPr>
              <w:t xml:space="preserve">Политика в областта на рибарството и </w:t>
            </w:r>
            <w:proofErr w:type="spellStart"/>
            <w:r w:rsidRPr="00952728">
              <w:rPr>
                <w:b/>
                <w:bCs/>
                <w:color w:val="000000"/>
                <w:sz w:val="24"/>
                <w:szCs w:val="24"/>
                <w:lang w:eastAsia="en-US"/>
              </w:rPr>
              <w:t>аквакултурите</w:t>
            </w:r>
            <w:proofErr w:type="spellEnd"/>
          </w:p>
        </w:tc>
        <w:tc>
          <w:tcPr>
            <w:tcW w:w="1527"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6,9</w:t>
            </w:r>
          </w:p>
        </w:tc>
        <w:tc>
          <w:tcPr>
            <w:tcW w:w="1559"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4,9</w:t>
            </w:r>
          </w:p>
        </w:tc>
        <w:tc>
          <w:tcPr>
            <w:tcW w:w="1560"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4,</w:t>
            </w:r>
            <w:proofErr w:type="spellStart"/>
            <w:r w:rsidRPr="00952728">
              <w:rPr>
                <w:b/>
                <w:bCs/>
                <w:color w:val="000000"/>
                <w:sz w:val="24"/>
                <w:szCs w:val="24"/>
                <w:lang w:eastAsia="en-US"/>
              </w:rPr>
              <w:t>4</w:t>
            </w:r>
            <w:proofErr w:type="spellEnd"/>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 xml:space="preserve">Бюджетна програма „Рибарство и </w:t>
            </w:r>
            <w:proofErr w:type="spellStart"/>
            <w:r w:rsidRPr="00952728">
              <w:rPr>
                <w:color w:val="000000"/>
                <w:sz w:val="24"/>
                <w:szCs w:val="24"/>
                <w:lang w:eastAsia="en-US"/>
              </w:rPr>
              <w:t>аквакултури</w:t>
            </w:r>
            <w:proofErr w:type="spellEnd"/>
            <w:r w:rsidRPr="00952728">
              <w:rPr>
                <w:color w:val="000000"/>
                <w:sz w:val="24"/>
                <w:szCs w:val="24"/>
                <w:lang w:eastAsia="en-US"/>
              </w:rPr>
              <w:t>”</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b/>
                <w:bCs/>
                <w:color w:val="000000"/>
                <w:sz w:val="24"/>
                <w:szCs w:val="24"/>
                <w:lang w:eastAsia="en-US"/>
              </w:rPr>
              <w:t>6,9</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b/>
                <w:bCs/>
                <w:color w:val="000000"/>
                <w:sz w:val="24"/>
                <w:szCs w:val="24"/>
                <w:lang w:eastAsia="en-US"/>
              </w:rPr>
              <w:t>4,9</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b/>
                <w:bCs/>
                <w:color w:val="000000"/>
                <w:sz w:val="24"/>
                <w:szCs w:val="24"/>
                <w:lang w:eastAsia="en-US"/>
              </w:rPr>
              <w:t>4,</w:t>
            </w:r>
            <w:proofErr w:type="spellStart"/>
            <w:r w:rsidRPr="00952728">
              <w:rPr>
                <w:b/>
                <w:bCs/>
                <w:color w:val="000000"/>
                <w:sz w:val="24"/>
                <w:szCs w:val="24"/>
                <w:lang w:eastAsia="en-US"/>
              </w:rPr>
              <w:t>4</w:t>
            </w:r>
            <w:proofErr w:type="spellEnd"/>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 </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r>
      <w:tr w:rsidR="00952728" w:rsidRPr="00952728" w:rsidTr="00952728">
        <w:trPr>
          <w:trHeight w:val="435"/>
          <w:jc w:val="center"/>
        </w:trPr>
        <w:tc>
          <w:tcPr>
            <w:tcW w:w="4852" w:type="dxa"/>
            <w:tcBorders>
              <w:top w:val="nil"/>
              <w:left w:val="single" w:sz="8" w:space="0" w:color="auto"/>
              <w:bottom w:val="single" w:sz="8" w:space="0" w:color="auto"/>
              <w:right w:val="single" w:sz="8" w:space="0" w:color="auto"/>
            </w:tcBorders>
            <w:shd w:val="clear" w:color="000000" w:fill="E6E6E6"/>
            <w:vAlign w:val="center"/>
            <w:hideMark/>
          </w:tcPr>
          <w:p w:rsidR="00952728" w:rsidRPr="00952728" w:rsidRDefault="00952728" w:rsidP="00952728">
            <w:pPr>
              <w:spacing w:before="0" w:after="0"/>
              <w:rPr>
                <w:b/>
                <w:bCs/>
                <w:color w:val="000000"/>
                <w:sz w:val="24"/>
                <w:szCs w:val="24"/>
                <w:lang w:eastAsia="en-US"/>
              </w:rPr>
            </w:pPr>
            <w:r w:rsidRPr="00952728">
              <w:rPr>
                <w:b/>
                <w:bCs/>
                <w:color w:val="000000"/>
                <w:sz w:val="24"/>
                <w:szCs w:val="24"/>
                <w:lang w:eastAsia="en-US"/>
              </w:rPr>
              <w:t>Политика в областта на съхраняването и увеличаването на горите и дивеча</w:t>
            </w:r>
          </w:p>
        </w:tc>
        <w:tc>
          <w:tcPr>
            <w:tcW w:w="1527"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27,2</w:t>
            </w:r>
          </w:p>
        </w:tc>
        <w:tc>
          <w:tcPr>
            <w:tcW w:w="1559"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26,0</w:t>
            </w:r>
          </w:p>
        </w:tc>
        <w:tc>
          <w:tcPr>
            <w:tcW w:w="1560"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25,6</w:t>
            </w:r>
          </w:p>
        </w:tc>
      </w:tr>
      <w:tr w:rsidR="00952728" w:rsidRPr="00952728" w:rsidTr="00952728">
        <w:trPr>
          <w:trHeight w:val="465"/>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 xml:space="preserve">   Бюджетна програма „Специализирани дейности в горските територии”</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22,2</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21,5</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21,2</w:t>
            </w:r>
          </w:p>
        </w:tc>
      </w:tr>
      <w:tr w:rsidR="00952728" w:rsidRPr="00952728" w:rsidTr="00952728">
        <w:trPr>
          <w:trHeight w:val="465"/>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 xml:space="preserve">   Бюджетна програма „Планиране, опазване от посегателства, пожари и лесозащита”</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5,0</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4,</w:t>
            </w:r>
            <w:proofErr w:type="spellStart"/>
            <w:r w:rsidRPr="00952728">
              <w:rPr>
                <w:color w:val="000000"/>
                <w:sz w:val="24"/>
                <w:szCs w:val="24"/>
                <w:lang w:eastAsia="en-US"/>
              </w:rPr>
              <w:t>4</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4,</w:t>
            </w:r>
            <w:proofErr w:type="spellStart"/>
            <w:r w:rsidRPr="00952728">
              <w:rPr>
                <w:color w:val="000000"/>
                <w:sz w:val="24"/>
                <w:szCs w:val="24"/>
                <w:lang w:eastAsia="en-US"/>
              </w:rPr>
              <w:t>4</w:t>
            </w:r>
            <w:proofErr w:type="spellEnd"/>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auto" w:fill="auto"/>
            <w:vAlign w:val="center"/>
            <w:hideMark/>
          </w:tcPr>
          <w:p w:rsidR="00952728" w:rsidRPr="00952728" w:rsidRDefault="00952728" w:rsidP="00952728">
            <w:pPr>
              <w:spacing w:before="0" w:after="0"/>
              <w:rPr>
                <w:color w:val="000000"/>
                <w:sz w:val="24"/>
                <w:szCs w:val="24"/>
                <w:lang w:eastAsia="en-US"/>
              </w:rPr>
            </w:pPr>
            <w:r w:rsidRPr="00952728">
              <w:rPr>
                <w:color w:val="000000"/>
                <w:sz w:val="24"/>
                <w:szCs w:val="24"/>
                <w:lang w:eastAsia="en-US"/>
              </w:rPr>
              <w:t> </w:t>
            </w:r>
          </w:p>
        </w:tc>
        <w:tc>
          <w:tcPr>
            <w:tcW w:w="1527"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59"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c>
          <w:tcPr>
            <w:tcW w:w="1560" w:type="dxa"/>
            <w:tcBorders>
              <w:top w:val="nil"/>
              <w:left w:val="nil"/>
              <w:bottom w:val="single" w:sz="8" w:space="0" w:color="auto"/>
              <w:right w:val="single" w:sz="8" w:space="0" w:color="auto"/>
            </w:tcBorders>
            <w:shd w:val="clear" w:color="auto" w:fill="auto"/>
            <w:vAlign w:val="center"/>
            <w:hideMark/>
          </w:tcPr>
          <w:p w:rsidR="00952728" w:rsidRPr="00952728" w:rsidRDefault="00952728" w:rsidP="00952728">
            <w:pPr>
              <w:spacing w:before="0" w:after="0"/>
              <w:jc w:val="right"/>
              <w:rPr>
                <w:color w:val="000000"/>
                <w:sz w:val="24"/>
                <w:szCs w:val="24"/>
                <w:lang w:eastAsia="en-US"/>
              </w:rPr>
            </w:pPr>
            <w:r w:rsidRPr="00952728">
              <w:rPr>
                <w:color w:val="000000"/>
                <w:sz w:val="24"/>
                <w:szCs w:val="24"/>
                <w:lang w:eastAsia="en-US"/>
              </w:rPr>
              <w:t> </w:t>
            </w:r>
          </w:p>
        </w:tc>
      </w:tr>
      <w:tr w:rsidR="00952728" w:rsidRPr="00952728" w:rsidTr="00952728">
        <w:trPr>
          <w:trHeight w:val="330"/>
          <w:jc w:val="center"/>
        </w:trPr>
        <w:tc>
          <w:tcPr>
            <w:tcW w:w="4852" w:type="dxa"/>
            <w:tcBorders>
              <w:top w:val="nil"/>
              <w:left w:val="single" w:sz="8" w:space="0" w:color="auto"/>
              <w:bottom w:val="single" w:sz="8" w:space="0" w:color="auto"/>
              <w:right w:val="single" w:sz="8" w:space="0" w:color="auto"/>
            </w:tcBorders>
            <w:shd w:val="clear" w:color="000000" w:fill="E6E6E6"/>
            <w:vAlign w:val="center"/>
            <w:hideMark/>
          </w:tcPr>
          <w:p w:rsidR="00952728" w:rsidRPr="00952728" w:rsidRDefault="00952728" w:rsidP="00952728">
            <w:pPr>
              <w:spacing w:before="0" w:after="0"/>
              <w:rPr>
                <w:b/>
                <w:bCs/>
                <w:color w:val="000000"/>
                <w:sz w:val="24"/>
                <w:szCs w:val="24"/>
                <w:lang w:eastAsia="en-US"/>
              </w:rPr>
            </w:pPr>
            <w:r w:rsidRPr="00952728">
              <w:rPr>
                <w:b/>
                <w:bCs/>
                <w:color w:val="000000"/>
                <w:sz w:val="24"/>
                <w:szCs w:val="24"/>
                <w:lang w:eastAsia="en-US"/>
              </w:rPr>
              <w:t>Програма „Администрация”</w:t>
            </w:r>
          </w:p>
        </w:tc>
        <w:tc>
          <w:tcPr>
            <w:tcW w:w="1527"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17,2</w:t>
            </w:r>
          </w:p>
        </w:tc>
        <w:tc>
          <w:tcPr>
            <w:tcW w:w="1559"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18,8</w:t>
            </w:r>
          </w:p>
        </w:tc>
        <w:tc>
          <w:tcPr>
            <w:tcW w:w="1560" w:type="dxa"/>
            <w:tcBorders>
              <w:top w:val="nil"/>
              <w:left w:val="nil"/>
              <w:bottom w:val="single" w:sz="8" w:space="0" w:color="auto"/>
              <w:right w:val="single" w:sz="8" w:space="0" w:color="auto"/>
            </w:tcBorders>
            <w:shd w:val="clear" w:color="000000" w:fill="E6E6E6"/>
            <w:vAlign w:val="center"/>
            <w:hideMark/>
          </w:tcPr>
          <w:p w:rsidR="00952728" w:rsidRPr="00952728" w:rsidRDefault="00952728" w:rsidP="00952728">
            <w:pPr>
              <w:spacing w:before="0" w:after="0"/>
              <w:jc w:val="right"/>
              <w:rPr>
                <w:b/>
                <w:bCs/>
                <w:color w:val="000000"/>
                <w:sz w:val="24"/>
                <w:szCs w:val="24"/>
                <w:lang w:eastAsia="en-US"/>
              </w:rPr>
            </w:pPr>
            <w:r w:rsidRPr="00952728">
              <w:rPr>
                <w:b/>
                <w:bCs/>
                <w:color w:val="000000"/>
                <w:sz w:val="24"/>
                <w:szCs w:val="24"/>
                <w:lang w:eastAsia="en-US"/>
              </w:rPr>
              <w:t>18,3</w:t>
            </w:r>
          </w:p>
        </w:tc>
      </w:tr>
    </w:tbl>
    <w:p w:rsidR="00952728" w:rsidRPr="00952728" w:rsidRDefault="00952728" w:rsidP="00952728">
      <w:pPr>
        <w:overflowPunct w:val="0"/>
        <w:autoSpaceDE w:val="0"/>
        <w:autoSpaceDN w:val="0"/>
        <w:adjustRightInd w:val="0"/>
        <w:spacing w:before="0" w:after="0"/>
        <w:textAlignment w:val="baseline"/>
        <w:rPr>
          <w:sz w:val="24"/>
          <w:szCs w:val="24"/>
          <w:lang w:eastAsia="en-US"/>
        </w:rPr>
      </w:pPr>
    </w:p>
    <w:p w:rsidR="00D86C17" w:rsidRDefault="00D86C17" w:rsidP="00D86C17">
      <w:pPr>
        <w:overflowPunct w:val="0"/>
        <w:autoSpaceDE w:val="0"/>
        <w:autoSpaceDN w:val="0"/>
        <w:adjustRightInd w:val="0"/>
        <w:spacing w:before="0" w:after="0"/>
        <w:textAlignment w:val="baseline"/>
        <w:rPr>
          <w:sz w:val="24"/>
          <w:szCs w:val="24"/>
          <w:lang w:eastAsia="en-US"/>
        </w:rPr>
      </w:pPr>
    </w:p>
    <w:p w:rsidR="005A232B" w:rsidRPr="00056DFA" w:rsidRDefault="005A232B" w:rsidP="00D86C17">
      <w:pPr>
        <w:overflowPunct w:val="0"/>
        <w:autoSpaceDE w:val="0"/>
        <w:autoSpaceDN w:val="0"/>
        <w:adjustRightInd w:val="0"/>
        <w:spacing w:before="0" w:after="0"/>
        <w:textAlignment w:val="baseline"/>
        <w:rPr>
          <w:sz w:val="24"/>
          <w:szCs w:val="24"/>
          <w:lang w:eastAsia="en-US"/>
        </w:rPr>
      </w:pPr>
    </w:p>
    <w:p w:rsidR="00D86C17" w:rsidRPr="00B27F69" w:rsidRDefault="00D86C17" w:rsidP="00D86C17">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4" w:name="_Toc523492638"/>
      <w:r w:rsidRPr="00B27F69">
        <w:rPr>
          <w:rFonts w:ascii="Times New Roman" w:eastAsia="Batang" w:hAnsi="Times New Roman" w:cs="Times New Roman"/>
          <w:b/>
          <w:bCs/>
          <w:caps/>
          <w:lang w:val="bg-BG" w:eastAsia="ko-KR"/>
        </w:rPr>
        <w:t>Министерството на регионалното развитие и  благоустройството</w:t>
      </w:r>
      <w:bookmarkEnd w:id="24"/>
    </w:p>
    <w:p w:rsidR="00B27F69" w:rsidRPr="00B27F69" w:rsidRDefault="00B27F69" w:rsidP="00B27F69">
      <w:pPr>
        <w:widowControl w:val="0"/>
        <w:spacing w:before="0" w:after="0"/>
        <w:contextualSpacing/>
        <w:jc w:val="both"/>
        <w:rPr>
          <w:bCs/>
          <w:sz w:val="24"/>
          <w:szCs w:val="24"/>
          <w:lang w:eastAsia="en-US"/>
        </w:rPr>
      </w:pPr>
      <w:r w:rsidRPr="00B27F69">
        <w:rPr>
          <w:bCs/>
          <w:sz w:val="24"/>
          <w:szCs w:val="24"/>
          <w:lang w:eastAsia="en-US"/>
        </w:rPr>
        <w:t>Отчетът за периода 01.</w:t>
      </w:r>
      <w:proofErr w:type="spellStart"/>
      <w:r w:rsidRPr="00B27F69">
        <w:rPr>
          <w:bCs/>
          <w:sz w:val="24"/>
          <w:szCs w:val="24"/>
          <w:lang w:eastAsia="en-US"/>
        </w:rPr>
        <w:t>01</w:t>
      </w:r>
      <w:proofErr w:type="spellEnd"/>
      <w:r w:rsidRPr="00B27F69">
        <w:rPr>
          <w:bCs/>
          <w:sz w:val="24"/>
          <w:szCs w:val="24"/>
          <w:lang w:eastAsia="en-US"/>
        </w:rPr>
        <w:t>.2017 г. - 31.12.2017 г. на Министерството на регионалното развитие и  благоустройството (МРРБ) представя информация за изпълнението на целите и програмите на министерството въз основа на дейностите, които са проведени в рамките на бюджетната година, и инструментите на политиките. В него се съдържа информация за продуктите/услугите, които са предоставени, както и получения ефект за обществото в резултат от провежданите от министерството политики.</w:t>
      </w:r>
    </w:p>
    <w:p w:rsidR="00B27F69" w:rsidRPr="00B27F69" w:rsidRDefault="00B27F69" w:rsidP="00B27F69">
      <w:pPr>
        <w:widowControl w:val="0"/>
        <w:spacing w:before="0" w:after="0"/>
        <w:jc w:val="both"/>
        <w:rPr>
          <w:bCs/>
          <w:sz w:val="24"/>
          <w:szCs w:val="24"/>
          <w:lang w:eastAsia="en-US"/>
        </w:rPr>
      </w:pPr>
      <w:r w:rsidRPr="00B27F69">
        <w:rPr>
          <w:bCs/>
          <w:sz w:val="24"/>
          <w:szCs w:val="24"/>
          <w:lang w:eastAsia="en-US"/>
        </w:rPr>
        <w:t xml:space="preserve">Отчетът обвързва изпълнението на политиките и програмите, провеждани от министерството с разходите по отделните програми. С отчетените бюджетни разходи към 31.12.2017 г. в размер на </w:t>
      </w:r>
      <w:r w:rsidRPr="00B27F69">
        <w:rPr>
          <w:b/>
          <w:bCs/>
          <w:sz w:val="24"/>
          <w:szCs w:val="24"/>
          <w:lang w:eastAsia="en-US"/>
        </w:rPr>
        <w:t>1 528,6 млн. лв.</w:t>
      </w:r>
      <w:r w:rsidRPr="00B27F69">
        <w:rPr>
          <w:b/>
          <w:sz w:val="24"/>
          <w:szCs w:val="24"/>
          <w:lang w:eastAsia="en-US"/>
        </w:rPr>
        <w:t xml:space="preserve"> </w:t>
      </w:r>
      <w:r w:rsidRPr="00B27F69">
        <w:rPr>
          <w:sz w:val="24"/>
          <w:szCs w:val="24"/>
          <w:lang w:eastAsia="en-US"/>
        </w:rPr>
        <w:t xml:space="preserve">по бюджета на Министерство на регионалното развитие и благоустройството и разходи в размер на </w:t>
      </w:r>
      <w:r w:rsidRPr="00B27F69">
        <w:rPr>
          <w:b/>
          <w:sz w:val="24"/>
          <w:szCs w:val="24"/>
          <w:lang w:eastAsia="en-US"/>
        </w:rPr>
        <w:t>196,5 млн. лв.</w:t>
      </w:r>
      <w:r w:rsidRPr="00B27F69">
        <w:rPr>
          <w:sz w:val="24"/>
          <w:szCs w:val="24"/>
          <w:lang w:eastAsia="en-US"/>
        </w:rPr>
        <w:t xml:space="preserve"> по Оперативни и други програми, по които МРРБ е бенефициент, са финансирани разходи за провеждането на следните политики и програми:</w:t>
      </w:r>
    </w:p>
    <w:p w:rsidR="00B27F69" w:rsidRPr="00B27F69" w:rsidRDefault="00B27F69" w:rsidP="00B27F69">
      <w:pPr>
        <w:widowControl w:val="0"/>
        <w:spacing w:before="0" w:after="0"/>
        <w:jc w:val="both"/>
        <w:rPr>
          <w:b/>
          <w:bCs/>
          <w:sz w:val="24"/>
          <w:szCs w:val="24"/>
          <w:lang w:eastAsia="en-US"/>
        </w:rPr>
      </w:pPr>
      <w:r w:rsidRPr="00B27F69">
        <w:rPr>
          <w:b/>
          <w:bCs/>
          <w:sz w:val="24"/>
          <w:szCs w:val="24"/>
          <w:lang w:eastAsia="en-US"/>
        </w:rPr>
        <w:t>Политика за интегрирано развитие на регионите, ефективно и ефикасно използване на публичните финанси и финансовите инструменти за постигане на растеж и подобряване качеството на жизнената среда</w:t>
      </w:r>
    </w:p>
    <w:p w:rsidR="00B27F69" w:rsidRPr="00B27F69" w:rsidRDefault="00B27F69" w:rsidP="00B27F69">
      <w:pPr>
        <w:widowControl w:val="0"/>
        <w:spacing w:before="0" w:after="0"/>
        <w:jc w:val="both"/>
        <w:rPr>
          <w:bCs/>
          <w:sz w:val="24"/>
          <w:szCs w:val="24"/>
          <w:lang w:eastAsia="en-US"/>
        </w:rPr>
      </w:pPr>
      <w:r w:rsidRPr="00B27F69">
        <w:rPr>
          <w:bCs/>
          <w:sz w:val="24"/>
          <w:szCs w:val="24"/>
          <w:lang w:eastAsia="en-US"/>
        </w:rPr>
        <w:t>За изпълнението на тази политика за отчетния период 01.</w:t>
      </w:r>
      <w:proofErr w:type="spellStart"/>
      <w:r w:rsidRPr="00B27F69">
        <w:rPr>
          <w:bCs/>
          <w:sz w:val="24"/>
          <w:szCs w:val="24"/>
          <w:lang w:eastAsia="en-US"/>
        </w:rPr>
        <w:t>01</w:t>
      </w:r>
      <w:proofErr w:type="spellEnd"/>
      <w:r w:rsidRPr="00B27F69">
        <w:rPr>
          <w:bCs/>
          <w:sz w:val="24"/>
          <w:szCs w:val="24"/>
          <w:lang w:eastAsia="en-US"/>
        </w:rPr>
        <w:t xml:space="preserve">.2017 г. - 31.12.2017 г. са изразходвани бюджетни средства в размер на </w:t>
      </w:r>
      <w:r w:rsidRPr="00B27F69">
        <w:rPr>
          <w:b/>
          <w:bCs/>
          <w:sz w:val="24"/>
          <w:szCs w:val="24"/>
          <w:lang w:eastAsia="en-US"/>
        </w:rPr>
        <w:t>1 003,4 млн. лв.</w:t>
      </w:r>
      <w:r w:rsidRPr="00B27F69">
        <w:rPr>
          <w:bCs/>
          <w:sz w:val="24"/>
          <w:szCs w:val="24"/>
          <w:lang w:eastAsia="en-US"/>
        </w:rPr>
        <w:t xml:space="preserve">  и средства в размер на </w:t>
      </w:r>
      <w:r w:rsidRPr="00B27F69">
        <w:rPr>
          <w:b/>
          <w:bCs/>
          <w:sz w:val="24"/>
          <w:szCs w:val="24"/>
          <w:lang w:eastAsia="en-US"/>
        </w:rPr>
        <w:t>25,7 млн. лв.,</w:t>
      </w:r>
      <w:r w:rsidRPr="00B27F69">
        <w:rPr>
          <w:bCs/>
          <w:sz w:val="24"/>
          <w:szCs w:val="24"/>
          <w:lang w:eastAsia="en-US"/>
        </w:rPr>
        <w:t xml:space="preserve"> като бенефициент по Оперативни и други програми. </w:t>
      </w:r>
    </w:p>
    <w:p w:rsidR="00B27F69" w:rsidRPr="00B27F69" w:rsidRDefault="00B27F69" w:rsidP="00B27F69">
      <w:pPr>
        <w:widowControl w:val="0"/>
        <w:spacing w:before="0" w:after="0"/>
        <w:jc w:val="both"/>
        <w:rPr>
          <w:bCs/>
          <w:sz w:val="24"/>
          <w:szCs w:val="24"/>
          <w:lang w:eastAsia="en-US"/>
        </w:rPr>
      </w:pPr>
      <w:r w:rsidRPr="00B27F69">
        <w:rPr>
          <w:bCs/>
          <w:sz w:val="24"/>
          <w:szCs w:val="24"/>
          <w:lang w:eastAsia="en-US"/>
        </w:rPr>
        <w:lastRenderedPageBreak/>
        <w:t>Политиката се осъществява по две бюджетни  програми.</w:t>
      </w:r>
    </w:p>
    <w:p w:rsidR="00B27F69" w:rsidRPr="00B27F69" w:rsidRDefault="00B27F69" w:rsidP="002A1989">
      <w:pPr>
        <w:keepNext/>
        <w:spacing w:before="0" w:after="0"/>
        <w:jc w:val="both"/>
        <w:rPr>
          <w:b/>
          <w:bCs/>
          <w:sz w:val="24"/>
          <w:szCs w:val="24"/>
          <w:lang w:eastAsia="en-US"/>
        </w:rPr>
      </w:pPr>
      <w:r w:rsidRPr="00B27F69">
        <w:rPr>
          <w:b/>
          <w:bCs/>
          <w:sz w:val="24"/>
          <w:szCs w:val="24"/>
          <w:lang w:eastAsia="en-US"/>
        </w:rPr>
        <w:t>По програма „Стратегическо планиране  на регионалното и пространственото развитие, децентрализация и управление на финансовите инструменти за регионално и местно  развитие и териториално сътрудничество“ са усвоени бюджетни средства в размер на 2,9 млн. лв. и средства в размер на 25,7 млн. лв., като бенефициент.</w:t>
      </w:r>
    </w:p>
    <w:p w:rsidR="00B27F69" w:rsidRPr="00B27F69" w:rsidRDefault="00B27F69" w:rsidP="002A1989">
      <w:pPr>
        <w:spacing w:before="0" w:after="0"/>
        <w:jc w:val="both"/>
        <w:rPr>
          <w:rFonts w:eastAsia="Calibri"/>
          <w:b/>
          <w:sz w:val="24"/>
          <w:szCs w:val="24"/>
          <w:lang w:eastAsia="en-US"/>
        </w:rPr>
      </w:pPr>
      <w:r w:rsidRPr="00B27F69">
        <w:rPr>
          <w:rFonts w:eastAsia="Calibri"/>
          <w:b/>
          <w:sz w:val="24"/>
          <w:szCs w:val="24"/>
          <w:lang w:eastAsia="en-US"/>
        </w:rPr>
        <w:t>ОПРР 2007-2013 :</w:t>
      </w:r>
    </w:p>
    <w:p w:rsidR="00B27F69" w:rsidRPr="00B27F69" w:rsidRDefault="00B27F69" w:rsidP="002A1989">
      <w:pPr>
        <w:numPr>
          <w:ilvl w:val="0"/>
          <w:numId w:val="44"/>
        </w:numPr>
        <w:tabs>
          <w:tab w:val="left" w:pos="851"/>
        </w:tabs>
        <w:spacing w:before="0" w:after="0"/>
        <w:ind w:left="0" w:firstLine="567"/>
        <w:jc w:val="both"/>
        <w:rPr>
          <w:rFonts w:eastAsia="Calibri"/>
          <w:sz w:val="24"/>
          <w:szCs w:val="24"/>
          <w:lang w:eastAsia="en-US"/>
        </w:rPr>
      </w:pPr>
      <w:r w:rsidRPr="00B27F69">
        <w:rPr>
          <w:sz w:val="24"/>
          <w:szCs w:val="24"/>
        </w:rPr>
        <w:t xml:space="preserve"> За отчетния период общо платените средства по програмата са намалели със сумата от 1 666,2 млн. лв., поради възстановяване на вземания по регистрирани финансови корекции;      </w:t>
      </w:r>
    </w:p>
    <w:p w:rsidR="00B27F69" w:rsidRPr="00B27F69" w:rsidRDefault="00B27F69" w:rsidP="002A1989">
      <w:pPr>
        <w:tabs>
          <w:tab w:val="left" w:pos="851"/>
        </w:tabs>
        <w:spacing w:before="0" w:after="0"/>
        <w:jc w:val="both"/>
        <w:rPr>
          <w:b/>
          <w:sz w:val="24"/>
          <w:szCs w:val="24"/>
        </w:rPr>
      </w:pPr>
      <w:r w:rsidRPr="00B27F69">
        <w:rPr>
          <w:b/>
          <w:sz w:val="24"/>
          <w:szCs w:val="24"/>
        </w:rPr>
        <w:t xml:space="preserve"> ОПРР 2014-2020:</w:t>
      </w:r>
    </w:p>
    <w:p w:rsidR="00B27F69" w:rsidRPr="00B27F69" w:rsidRDefault="00B27F69" w:rsidP="002A1989">
      <w:pPr>
        <w:numPr>
          <w:ilvl w:val="0"/>
          <w:numId w:val="44"/>
        </w:numPr>
        <w:tabs>
          <w:tab w:val="left" w:pos="851"/>
        </w:tabs>
        <w:spacing w:before="0" w:after="0"/>
        <w:ind w:left="0" w:firstLine="567"/>
        <w:rPr>
          <w:sz w:val="24"/>
          <w:szCs w:val="24"/>
        </w:rPr>
      </w:pPr>
      <w:r w:rsidRPr="00B27F69">
        <w:rPr>
          <w:sz w:val="24"/>
          <w:szCs w:val="24"/>
        </w:rPr>
        <w:t xml:space="preserve"> Публикувани са 2 процедура на обща стойност 221,5 млн. лв. или 7,3 % от размера на програмата;</w:t>
      </w:r>
    </w:p>
    <w:p w:rsidR="00B27F69" w:rsidRPr="00B27F69" w:rsidRDefault="00B27F69" w:rsidP="002A1989">
      <w:pPr>
        <w:numPr>
          <w:ilvl w:val="0"/>
          <w:numId w:val="44"/>
        </w:numPr>
        <w:tabs>
          <w:tab w:val="left" w:pos="851"/>
        </w:tabs>
        <w:spacing w:before="0" w:after="0"/>
        <w:ind w:left="0" w:firstLine="567"/>
        <w:rPr>
          <w:sz w:val="24"/>
          <w:szCs w:val="24"/>
        </w:rPr>
      </w:pPr>
      <w:r w:rsidRPr="00B27F69">
        <w:rPr>
          <w:sz w:val="24"/>
          <w:szCs w:val="24"/>
        </w:rPr>
        <w:t xml:space="preserve"> 95 бр. са подадените проектни предложения по публикуваните процедури; </w:t>
      </w:r>
    </w:p>
    <w:p w:rsidR="00B27F69" w:rsidRPr="00B27F69" w:rsidRDefault="00B27F69" w:rsidP="002A1989">
      <w:pPr>
        <w:numPr>
          <w:ilvl w:val="0"/>
          <w:numId w:val="44"/>
        </w:numPr>
        <w:tabs>
          <w:tab w:val="left" w:pos="851"/>
        </w:tabs>
        <w:spacing w:before="0" w:after="0"/>
        <w:ind w:left="0" w:firstLine="567"/>
        <w:jc w:val="both"/>
        <w:rPr>
          <w:rFonts w:eastAsia="Calibri"/>
          <w:sz w:val="24"/>
          <w:szCs w:val="24"/>
          <w:lang w:eastAsia="en-US"/>
        </w:rPr>
      </w:pPr>
      <w:r w:rsidRPr="00B27F69">
        <w:rPr>
          <w:rFonts w:eastAsia="Calibri"/>
          <w:sz w:val="24"/>
          <w:szCs w:val="24"/>
          <w:lang w:eastAsia="en-US"/>
        </w:rPr>
        <w:t xml:space="preserve"> 112 са сключените договори на обща стойност 746,6 млн. лв.;</w:t>
      </w:r>
    </w:p>
    <w:p w:rsidR="00B27F69" w:rsidRPr="00B27F69" w:rsidRDefault="00B27F69" w:rsidP="002A1989">
      <w:pPr>
        <w:numPr>
          <w:ilvl w:val="0"/>
          <w:numId w:val="44"/>
        </w:numPr>
        <w:tabs>
          <w:tab w:val="left" w:pos="851"/>
        </w:tabs>
        <w:spacing w:before="0" w:after="0"/>
        <w:ind w:left="0" w:firstLine="567"/>
        <w:jc w:val="both"/>
        <w:rPr>
          <w:rFonts w:eastAsia="Calibri"/>
          <w:sz w:val="24"/>
          <w:szCs w:val="24"/>
          <w:lang w:eastAsia="en-US"/>
        </w:rPr>
      </w:pPr>
      <w:r w:rsidRPr="00B27F69">
        <w:rPr>
          <w:rFonts w:eastAsia="Calibri"/>
          <w:sz w:val="24"/>
          <w:szCs w:val="24"/>
          <w:lang w:eastAsia="en-US"/>
        </w:rPr>
        <w:t xml:space="preserve"> Изплатени средства през отчетния период са в размер на 390 млн. лв.</w:t>
      </w:r>
    </w:p>
    <w:p w:rsidR="00B27F69" w:rsidRPr="00B27F69" w:rsidRDefault="00B27F69" w:rsidP="002A1989">
      <w:pPr>
        <w:numPr>
          <w:ilvl w:val="0"/>
          <w:numId w:val="44"/>
        </w:numPr>
        <w:tabs>
          <w:tab w:val="left" w:pos="851"/>
        </w:tabs>
        <w:spacing w:before="0" w:after="0"/>
        <w:ind w:left="0" w:firstLine="567"/>
        <w:jc w:val="both"/>
        <w:rPr>
          <w:rFonts w:eastAsia="Calibri"/>
          <w:sz w:val="24"/>
          <w:szCs w:val="24"/>
          <w:lang w:eastAsia="en-US"/>
        </w:rPr>
      </w:pPr>
      <w:r w:rsidRPr="00B27F69">
        <w:rPr>
          <w:rFonts w:eastAsia="Calibri"/>
          <w:sz w:val="24"/>
          <w:szCs w:val="24"/>
          <w:lang w:eastAsia="en-US"/>
        </w:rPr>
        <w:t>Сертифицирани разходи през отчетния период са в размер на 148,3 мн. лв. или  4,91 % от бюджета на програмата.</w:t>
      </w:r>
    </w:p>
    <w:p w:rsidR="00B27F69" w:rsidRPr="00B27F69" w:rsidRDefault="00B27F69" w:rsidP="002A1989">
      <w:pPr>
        <w:numPr>
          <w:ilvl w:val="0"/>
          <w:numId w:val="44"/>
        </w:numPr>
        <w:tabs>
          <w:tab w:val="left" w:pos="851"/>
        </w:tabs>
        <w:spacing w:before="0" w:after="0"/>
        <w:ind w:left="0" w:firstLine="567"/>
        <w:jc w:val="both"/>
        <w:rPr>
          <w:rFonts w:eastAsia="Calibri"/>
          <w:sz w:val="24"/>
          <w:szCs w:val="24"/>
          <w:lang w:eastAsia="en-US"/>
        </w:rPr>
      </w:pPr>
      <w:r w:rsidRPr="00B27F69">
        <w:rPr>
          <w:sz w:val="24"/>
          <w:szCs w:val="24"/>
        </w:rPr>
        <w:t xml:space="preserve"> Приключили са 12 проекта по ОПРР 2014 - 2020.</w:t>
      </w:r>
    </w:p>
    <w:p w:rsidR="00B27F69" w:rsidRPr="00B27F69" w:rsidRDefault="00B27F69" w:rsidP="002A1989">
      <w:pPr>
        <w:spacing w:before="0" w:after="0"/>
        <w:jc w:val="both"/>
        <w:rPr>
          <w:sz w:val="24"/>
          <w:szCs w:val="24"/>
        </w:rPr>
      </w:pPr>
      <w:r w:rsidRPr="00B27F69">
        <w:rPr>
          <w:sz w:val="24"/>
          <w:szCs w:val="24"/>
        </w:rPr>
        <w:t xml:space="preserve">Към 31.12.2017 г. на изпълнителните органи по </w:t>
      </w:r>
      <w:r w:rsidRPr="00B27F69">
        <w:rPr>
          <w:b/>
          <w:sz w:val="24"/>
          <w:szCs w:val="24"/>
        </w:rPr>
        <w:t>фонд „Солидарност”</w:t>
      </w:r>
      <w:r w:rsidRPr="00B27F69">
        <w:rPr>
          <w:sz w:val="24"/>
          <w:szCs w:val="24"/>
        </w:rPr>
        <w:t xml:space="preserve"> са изплатени средства в размер на:</w:t>
      </w:r>
    </w:p>
    <w:p w:rsidR="00B27F69" w:rsidRPr="00B27F69" w:rsidRDefault="00B27F69" w:rsidP="002A1989">
      <w:pPr>
        <w:numPr>
          <w:ilvl w:val="0"/>
          <w:numId w:val="45"/>
        </w:numPr>
        <w:tabs>
          <w:tab w:val="left" w:pos="851"/>
        </w:tabs>
        <w:spacing w:before="0" w:after="0"/>
        <w:ind w:left="0" w:firstLine="567"/>
        <w:jc w:val="both"/>
        <w:rPr>
          <w:sz w:val="24"/>
          <w:szCs w:val="24"/>
        </w:rPr>
      </w:pPr>
      <w:r w:rsidRPr="00B27F69">
        <w:rPr>
          <w:sz w:val="24"/>
          <w:szCs w:val="24"/>
        </w:rPr>
        <w:t>По първото заявление – 17,8 млн. лв. ( от които финансирането по фонд „Солидарност” на ЕС е в размер на 17,6 млн. лв.)</w:t>
      </w:r>
    </w:p>
    <w:p w:rsidR="00B27F69" w:rsidRPr="00B27F69" w:rsidRDefault="00B27F69" w:rsidP="002A1989">
      <w:pPr>
        <w:numPr>
          <w:ilvl w:val="0"/>
          <w:numId w:val="45"/>
        </w:numPr>
        <w:tabs>
          <w:tab w:val="left" w:pos="851"/>
        </w:tabs>
        <w:spacing w:before="0" w:after="0"/>
        <w:ind w:left="0" w:firstLine="567"/>
        <w:jc w:val="both"/>
        <w:rPr>
          <w:sz w:val="24"/>
          <w:szCs w:val="24"/>
        </w:rPr>
      </w:pPr>
      <w:r w:rsidRPr="00B27F69">
        <w:rPr>
          <w:sz w:val="24"/>
          <w:szCs w:val="24"/>
        </w:rPr>
        <w:t>По второто заявление – 3,5 млн. лв. (от които финансирането по фонд „Солидарност” на ЕС е в размер на 3,5 млн. лв.)</w:t>
      </w:r>
    </w:p>
    <w:p w:rsidR="00B27F69" w:rsidRPr="00B27F69" w:rsidRDefault="00B27F69" w:rsidP="002A1989">
      <w:pPr>
        <w:numPr>
          <w:ilvl w:val="0"/>
          <w:numId w:val="45"/>
        </w:numPr>
        <w:tabs>
          <w:tab w:val="left" w:pos="851"/>
        </w:tabs>
        <w:spacing w:before="0" w:after="0"/>
        <w:ind w:left="0" w:firstLine="567"/>
        <w:jc w:val="both"/>
        <w:rPr>
          <w:rFonts w:eastAsia="Calibri"/>
          <w:sz w:val="24"/>
          <w:szCs w:val="24"/>
          <w:lang w:eastAsia="en-US"/>
        </w:rPr>
      </w:pPr>
      <w:r w:rsidRPr="00B27F69">
        <w:rPr>
          <w:sz w:val="24"/>
          <w:szCs w:val="24"/>
        </w:rPr>
        <w:t>По третото заявление – 12,0 млн. лв. (изцяло финансиране по фонд „Солидарност” на ЕС)</w:t>
      </w:r>
    </w:p>
    <w:p w:rsidR="00B27F69" w:rsidRPr="00B27F69" w:rsidRDefault="00B27F69" w:rsidP="002A1989">
      <w:pPr>
        <w:spacing w:before="0" w:after="0"/>
        <w:jc w:val="both"/>
        <w:rPr>
          <w:sz w:val="24"/>
          <w:szCs w:val="24"/>
          <w:lang w:eastAsia="en-US"/>
        </w:rPr>
      </w:pPr>
      <w:r w:rsidRPr="00B27F69">
        <w:rPr>
          <w:b/>
          <w:bCs/>
          <w:sz w:val="24"/>
          <w:szCs w:val="24"/>
          <w:lang w:eastAsia="en-US"/>
        </w:rPr>
        <w:t>По програма „Подобряване състоянието на жилищния сграден фонд и на жилищните условия на ромите в Република България“ са усвоени бюджетни средства в размер на 1 000,5 млн. лв.</w:t>
      </w:r>
    </w:p>
    <w:p w:rsidR="00B27F69" w:rsidRPr="00B27F69" w:rsidRDefault="00B27F69" w:rsidP="002A1989">
      <w:pPr>
        <w:spacing w:before="0" w:after="0"/>
        <w:jc w:val="both"/>
        <w:rPr>
          <w:b/>
          <w:sz w:val="24"/>
          <w:szCs w:val="24"/>
          <w:lang w:eastAsia="en-US"/>
        </w:rPr>
      </w:pPr>
      <w:r w:rsidRPr="00B27F69">
        <w:rPr>
          <w:sz w:val="24"/>
          <w:szCs w:val="24"/>
          <w:lang w:eastAsia="en-US"/>
        </w:rPr>
        <w:t xml:space="preserve">В изпълнение на заложените цели през отчетния период продължи процеса по реализацията на „Национална програма за енергийна ефективност на </w:t>
      </w:r>
      <w:proofErr w:type="spellStart"/>
      <w:r w:rsidRPr="00B27F69">
        <w:rPr>
          <w:sz w:val="24"/>
          <w:szCs w:val="24"/>
          <w:lang w:eastAsia="en-US"/>
        </w:rPr>
        <w:t>многофамилни</w:t>
      </w:r>
      <w:proofErr w:type="spellEnd"/>
      <w:r w:rsidRPr="00B27F69">
        <w:rPr>
          <w:sz w:val="24"/>
          <w:szCs w:val="24"/>
          <w:lang w:eastAsia="en-US"/>
        </w:rPr>
        <w:t xml:space="preserve"> жилищни сгради“ (НПЕЕМЖС/ Програмата), имаща за цел  обновяване на жилищния сграден фонд и подобряване на енергийната ефективност в жилищните сгради в Република България.</w:t>
      </w:r>
    </w:p>
    <w:p w:rsidR="00B27F69" w:rsidRPr="00B27F69" w:rsidRDefault="00B27F69" w:rsidP="002A1989">
      <w:pPr>
        <w:spacing w:before="0" w:after="0"/>
        <w:jc w:val="both"/>
        <w:rPr>
          <w:sz w:val="24"/>
          <w:szCs w:val="24"/>
          <w:lang w:eastAsia="en-US"/>
        </w:rPr>
      </w:pPr>
      <w:r w:rsidRPr="00B27F69">
        <w:rPr>
          <w:sz w:val="24"/>
          <w:szCs w:val="24"/>
          <w:lang w:eastAsia="en-US"/>
        </w:rPr>
        <w:t>Към 31.12.2017 г. показателите по изпълнение на програмата са както следва:</w:t>
      </w:r>
    </w:p>
    <w:p w:rsidR="00B27F69" w:rsidRPr="00B27F69" w:rsidRDefault="00B27F69" w:rsidP="002A1989">
      <w:pPr>
        <w:numPr>
          <w:ilvl w:val="0"/>
          <w:numId w:val="45"/>
        </w:numPr>
        <w:tabs>
          <w:tab w:val="left" w:pos="851"/>
        </w:tabs>
        <w:spacing w:before="0" w:after="0"/>
        <w:ind w:left="0" w:firstLine="567"/>
        <w:jc w:val="both"/>
        <w:rPr>
          <w:sz w:val="24"/>
          <w:szCs w:val="24"/>
          <w:lang w:eastAsia="en-US"/>
        </w:rPr>
      </w:pPr>
      <w:r w:rsidRPr="00B27F69">
        <w:rPr>
          <w:sz w:val="24"/>
          <w:szCs w:val="24"/>
          <w:lang w:eastAsia="en-US"/>
        </w:rPr>
        <w:t>Подобрена жилищна инфраструктура, кв.м. РЗП</w:t>
      </w:r>
      <w:r w:rsidRPr="00B27F69">
        <w:rPr>
          <w:sz w:val="24"/>
          <w:szCs w:val="24"/>
          <w:lang w:eastAsia="en-US"/>
        </w:rPr>
        <w:tab/>
        <w:t>- 6 856 107,53</w:t>
      </w:r>
    </w:p>
    <w:p w:rsidR="00B27F69" w:rsidRPr="00B27F69" w:rsidRDefault="00B27F69" w:rsidP="002A1989">
      <w:pPr>
        <w:numPr>
          <w:ilvl w:val="0"/>
          <w:numId w:val="45"/>
        </w:numPr>
        <w:tabs>
          <w:tab w:val="left" w:pos="851"/>
        </w:tabs>
        <w:spacing w:before="0" w:after="0"/>
        <w:ind w:left="0" w:firstLine="567"/>
        <w:jc w:val="both"/>
        <w:rPr>
          <w:sz w:val="24"/>
          <w:szCs w:val="24"/>
          <w:lang w:eastAsia="en-US"/>
        </w:rPr>
      </w:pPr>
      <w:r w:rsidRPr="00B27F69">
        <w:rPr>
          <w:sz w:val="24"/>
          <w:szCs w:val="24"/>
          <w:lang w:eastAsia="en-US"/>
        </w:rPr>
        <w:t>Бр. обновени жилища - 63 416</w:t>
      </w:r>
    </w:p>
    <w:p w:rsidR="00B27F69" w:rsidRPr="00B27F69" w:rsidRDefault="00B27F69" w:rsidP="002A1989">
      <w:pPr>
        <w:numPr>
          <w:ilvl w:val="0"/>
          <w:numId w:val="45"/>
        </w:numPr>
        <w:tabs>
          <w:tab w:val="left" w:pos="851"/>
        </w:tabs>
        <w:spacing w:before="0" w:after="0"/>
        <w:ind w:left="0" w:firstLine="567"/>
        <w:jc w:val="both"/>
        <w:rPr>
          <w:sz w:val="24"/>
          <w:szCs w:val="24"/>
          <w:lang w:eastAsia="en-US"/>
        </w:rPr>
      </w:pPr>
      <w:r w:rsidRPr="00B27F69">
        <w:rPr>
          <w:sz w:val="24"/>
          <w:szCs w:val="24"/>
          <w:lang w:eastAsia="en-US"/>
        </w:rPr>
        <w:t xml:space="preserve">Бр. жители, облагодетелствани от подобрената инфраструктура - 130 906. </w:t>
      </w:r>
    </w:p>
    <w:p w:rsidR="00B27F69" w:rsidRPr="00B27F69" w:rsidRDefault="00B27F69" w:rsidP="002A1989">
      <w:pPr>
        <w:spacing w:before="0" w:after="0"/>
        <w:jc w:val="both"/>
        <w:rPr>
          <w:b/>
          <w:sz w:val="24"/>
          <w:szCs w:val="24"/>
          <w:lang w:eastAsia="en-US"/>
        </w:rPr>
      </w:pPr>
      <w:r w:rsidRPr="00B27F69">
        <w:rPr>
          <w:b/>
          <w:bCs/>
          <w:sz w:val="24"/>
          <w:szCs w:val="24"/>
          <w:lang w:eastAsia="en-US"/>
        </w:rPr>
        <w:t>Политика за п</w:t>
      </w:r>
      <w:r w:rsidRPr="00B27F69">
        <w:rPr>
          <w:b/>
          <w:sz w:val="24"/>
          <w:szCs w:val="24"/>
          <w:lang w:eastAsia="en-US"/>
        </w:rPr>
        <w:t xml:space="preserve">одобряване </w:t>
      </w:r>
      <w:r w:rsidRPr="00B27F69">
        <w:rPr>
          <w:b/>
          <w:bCs/>
          <w:sz w:val="24"/>
          <w:szCs w:val="24"/>
          <w:lang w:eastAsia="en-US"/>
        </w:rPr>
        <w:t>инфраструктурната</w:t>
      </w:r>
      <w:r w:rsidRPr="00B27F69">
        <w:rPr>
          <w:b/>
          <w:sz w:val="24"/>
          <w:szCs w:val="24"/>
          <w:lang w:eastAsia="en-US"/>
        </w:rPr>
        <w:t xml:space="preserve"> свързаност на регионите – изграждане и модернизиране на пътна и В и К инфраструктура</w:t>
      </w:r>
    </w:p>
    <w:p w:rsidR="00B27F69" w:rsidRPr="00B27F69" w:rsidRDefault="00B27F69" w:rsidP="002A1989">
      <w:pPr>
        <w:widowControl w:val="0"/>
        <w:spacing w:before="0" w:after="0"/>
        <w:jc w:val="both"/>
        <w:rPr>
          <w:bCs/>
          <w:sz w:val="24"/>
          <w:szCs w:val="24"/>
          <w:lang w:eastAsia="en-US"/>
        </w:rPr>
      </w:pPr>
      <w:r w:rsidRPr="00B27F69">
        <w:rPr>
          <w:bCs/>
          <w:sz w:val="24"/>
          <w:szCs w:val="24"/>
          <w:lang w:eastAsia="en-US"/>
        </w:rPr>
        <w:t>За изпълнението на тази политика за отчетния период 01.</w:t>
      </w:r>
      <w:proofErr w:type="spellStart"/>
      <w:r w:rsidRPr="00B27F69">
        <w:rPr>
          <w:bCs/>
          <w:sz w:val="24"/>
          <w:szCs w:val="24"/>
          <w:lang w:eastAsia="en-US"/>
        </w:rPr>
        <w:t>01</w:t>
      </w:r>
      <w:proofErr w:type="spellEnd"/>
      <w:r w:rsidRPr="00B27F69">
        <w:rPr>
          <w:bCs/>
          <w:sz w:val="24"/>
          <w:szCs w:val="24"/>
          <w:lang w:eastAsia="en-US"/>
        </w:rPr>
        <w:t>.2017 г. – 31.12.2017 г. са изразходвани бюджетни средства</w:t>
      </w:r>
      <w:r w:rsidRPr="00B27F69">
        <w:rPr>
          <w:bCs/>
          <w:color w:val="FF0000"/>
          <w:sz w:val="24"/>
          <w:szCs w:val="24"/>
          <w:lang w:eastAsia="en-US"/>
        </w:rPr>
        <w:t xml:space="preserve"> </w:t>
      </w:r>
      <w:r w:rsidRPr="00B27F69">
        <w:rPr>
          <w:bCs/>
          <w:sz w:val="24"/>
          <w:szCs w:val="24"/>
          <w:lang w:eastAsia="en-US"/>
        </w:rPr>
        <w:t xml:space="preserve">в размер на </w:t>
      </w:r>
      <w:r w:rsidRPr="00B27F69">
        <w:rPr>
          <w:b/>
          <w:bCs/>
          <w:sz w:val="24"/>
          <w:szCs w:val="24"/>
          <w:lang w:eastAsia="en-US"/>
        </w:rPr>
        <w:t>491,3 млн. лв.</w:t>
      </w:r>
      <w:r w:rsidRPr="00B27F69">
        <w:rPr>
          <w:bCs/>
          <w:sz w:val="24"/>
          <w:szCs w:val="24"/>
          <w:lang w:eastAsia="en-US"/>
        </w:rPr>
        <w:t xml:space="preserve">  и средства в размер на </w:t>
      </w:r>
      <w:r w:rsidRPr="00B27F69">
        <w:rPr>
          <w:b/>
          <w:bCs/>
          <w:sz w:val="24"/>
          <w:szCs w:val="24"/>
          <w:lang w:eastAsia="en-US"/>
        </w:rPr>
        <w:t>169,5 млн. лв.</w:t>
      </w:r>
      <w:r w:rsidRPr="00B27F69">
        <w:rPr>
          <w:bCs/>
          <w:sz w:val="24"/>
          <w:szCs w:val="24"/>
          <w:lang w:eastAsia="en-US"/>
        </w:rPr>
        <w:t xml:space="preserve"> като бенефициент по Оперативни програми, като същата се е осъществявала по две бюджетни  програми.</w:t>
      </w:r>
    </w:p>
    <w:p w:rsidR="00B27F69" w:rsidRPr="00B27F69" w:rsidRDefault="00B27F69" w:rsidP="002A1989">
      <w:pPr>
        <w:spacing w:before="0" w:after="0"/>
        <w:jc w:val="both"/>
        <w:rPr>
          <w:sz w:val="24"/>
          <w:szCs w:val="24"/>
          <w:lang w:eastAsia="en-US"/>
        </w:rPr>
      </w:pPr>
      <w:r w:rsidRPr="00B27F69">
        <w:rPr>
          <w:b/>
          <w:bCs/>
          <w:sz w:val="24"/>
          <w:szCs w:val="24"/>
          <w:lang w:eastAsia="en-US"/>
        </w:rPr>
        <w:t>По програма „Рехабилитация и изграждане на пътна инфраструктура“ са усвоени бюджетни средства в размер на 458,7 млн. лв. и средства в размер на 154,2 млн. лв., като бенефициент.</w:t>
      </w:r>
    </w:p>
    <w:p w:rsidR="00B27F69" w:rsidRPr="00B27F69" w:rsidRDefault="00B27F69" w:rsidP="002A1989">
      <w:pPr>
        <w:tabs>
          <w:tab w:val="left" w:pos="851"/>
        </w:tabs>
        <w:spacing w:before="0" w:after="0"/>
        <w:jc w:val="both"/>
        <w:rPr>
          <w:bCs/>
          <w:color w:val="000000"/>
          <w:sz w:val="24"/>
          <w:szCs w:val="24"/>
          <w:lang w:eastAsia="en-US"/>
        </w:rPr>
      </w:pPr>
      <w:r w:rsidRPr="00B27F69">
        <w:rPr>
          <w:bCs/>
          <w:color w:val="000000"/>
          <w:sz w:val="24"/>
          <w:szCs w:val="24"/>
          <w:lang w:eastAsia="en-US"/>
        </w:rPr>
        <w:t xml:space="preserve">През отчетният период продължиха дейностите по модернизация и обновяване на републикански пътища, осигуряващи териториално сътрудничество на Република </w:t>
      </w:r>
      <w:r w:rsidRPr="00B27F69">
        <w:rPr>
          <w:bCs/>
          <w:color w:val="000000"/>
          <w:sz w:val="24"/>
          <w:szCs w:val="24"/>
          <w:lang w:eastAsia="en-US"/>
        </w:rPr>
        <w:lastRenderedPageBreak/>
        <w:t xml:space="preserve">България със съседни страни и повишаване пропускателната способност на основните вътрешни транспортни направления. </w:t>
      </w:r>
    </w:p>
    <w:p w:rsidR="00B27F69" w:rsidRPr="00B27F69" w:rsidRDefault="00B27F69" w:rsidP="002A1989">
      <w:pPr>
        <w:tabs>
          <w:tab w:val="left" w:pos="851"/>
        </w:tabs>
        <w:spacing w:before="0" w:after="0"/>
        <w:jc w:val="both"/>
        <w:rPr>
          <w:color w:val="000000"/>
          <w:sz w:val="24"/>
          <w:szCs w:val="24"/>
          <w:lang w:eastAsia="en-US"/>
        </w:rPr>
      </w:pPr>
      <w:r w:rsidRPr="00B27F69">
        <w:rPr>
          <w:bCs/>
          <w:color w:val="000000"/>
          <w:sz w:val="24"/>
          <w:szCs w:val="24"/>
          <w:lang w:eastAsia="en-US"/>
        </w:rPr>
        <w:t xml:space="preserve">Извършените общо разходи за изграждане и основен ремонт на републиканска пътна инфраструктура са в размер на </w:t>
      </w:r>
      <w:r w:rsidRPr="00B27F69">
        <w:rPr>
          <w:color w:val="000000"/>
          <w:sz w:val="24"/>
          <w:szCs w:val="24"/>
          <w:lang w:eastAsia="en-US"/>
        </w:rPr>
        <w:t>457,6 млн. лв.</w:t>
      </w:r>
    </w:p>
    <w:p w:rsidR="00B27F69" w:rsidRPr="00B27F69" w:rsidRDefault="00B27F69" w:rsidP="002A1989">
      <w:pPr>
        <w:tabs>
          <w:tab w:val="left" w:pos="851"/>
        </w:tabs>
        <w:spacing w:before="0" w:after="0"/>
        <w:jc w:val="both"/>
        <w:rPr>
          <w:sz w:val="24"/>
          <w:szCs w:val="24"/>
        </w:rPr>
      </w:pPr>
      <w:r w:rsidRPr="00B27F69">
        <w:rPr>
          <w:color w:val="000000"/>
          <w:sz w:val="24"/>
          <w:szCs w:val="24"/>
        </w:rPr>
        <w:t xml:space="preserve">В изпълнение на държавната политика в областта на  стратегическото планиране и развитие на пътната инфраструктура е разработена и приета Стратегия за развитие на пътната инфраструктура в Република България 2016-2022. По този начин се постига институционално взаимодействие, целящо повишаване на качеството и ускоряване на процесите на подготовка и управление на проектите, както и ефективното усвояване на средствата от Структурните фондове и </w:t>
      </w:r>
      <w:proofErr w:type="spellStart"/>
      <w:r w:rsidRPr="00B27F69">
        <w:rPr>
          <w:color w:val="000000"/>
          <w:sz w:val="24"/>
          <w:szCs w:val="24"/>
        </w:rPr>
        <w:t>Кохезионния</w:t>
      </w:r>
      <w:proofErr w:type="spellEnd"/>
      <w:r w:rsidRPr="00B27F69">
        <w:rPr>
          <w:color w:val="000000"/>
          <w:sz w:val="24"/>
          <w:szCs w:val="24"/>
        </w:rPr>
        <w:t xml:space="preserve"> фонд на Европейския съюз.</w:t>
      </w:r>
    </w:p>
    <w:p w:rsidR="00B27F69" w:rsidRPr="00B27F69" w:rsidRDefault="00B27F69" w:rsidP="002A1989">
      <w:pPr>
        <w:numPr>
          <w:ilvl w:val="0"/>
          <w:numId w:val="49"/>
        </w:numPr>
        <w:tabs>
          <w:tab w:val="left" w:pos="851"/>
        </w:tabs>
        <w:spacing w:before="0" w:after="0"/>
        <w:ind w:left="0" w:firstLine="567"/>
        <w:jc w:val="both"/>
        <w:rPr>
          <w:sz w:val="24"/>
          <w:szCs w:val="24"/>
        </w:rPr>
      </w:pPr>
      <w:r w:rsidRPr="00B27F69">
        <w:rPr>
          <w:sz w:val="24"/>
          <w:szCs w:val="24"/>
        </w:rPr>
        <w:t>Изпълнение на договори за строителство, към които са приложени Планове за управление на околната среда, Мерки за непредвидени замърсявания и Планове за наблюдение на въздействието върху околната среда;</w:t>
      </w:r>
    </w:p>
    <w:p w:rsidR="00B27F69" w:rsidRPr="00B27F69" w:rsidRDefault="00B27F69" w:rsidP="002A1989">
      <w:pPr>
        <w:numPr>
          <w:ilvl w:val="0"/>
          <w:numId w:val="49"/>
        </w:numPr>
        <w:tabs>
          <w:tab w:val="left" w:pos="851"/>
        </w:tabs>
        <w:spacing w:before="0" w:after="0"/>
        <w:ind w:left="0" w:firstLine="567"/>
        <w:jc w:val="both"/>
        <w:rPr>
          <w:sz w:val="24"/>
          <w:szCs w:val="24"/>
        </w:rPr>
      </w:pPr>
      <w:r w:rsidRPr="00B27F69">
        <w:rPr>
          <w:sz w:val="24"/>
          <w:szCs w:val="24"/>
        </w:rPr>
        <w:t>Дейности по увеличение на приходите от винетки и Държавни такси като част от необходимите средства за експлоатация и поддръжка на пътната мрежа;</w:t>
      </w:r>
    </w:p>
    <w:p w:rsidR="00B27F69" w:rsidRPr="00B27F69" w:rsidRDefault="00B27F69" w:rsidP="002A1989">
      <w:pPr>
        <w:numPr>
          <w:ilvl w:val="0"/>
          <w:numId w:val="49"/>
        </w:numPr>
        <w:tabs>
          <w:tab w:val="left" w:pos="851"/>
        </w:tabs>
        <w:spacing w:before="0" w:after="0"/>
        <w:ind w:left="0" w:firstLine="567"/>
        <w:jc w:val="both"/>
        <w:rPr>
          <w:sz w:val="24"/>
          <w:szCs w:val="24"/>
        </w:rPr>
      </w:pPr>
      <w:r w:rsidRPr="00B27F69">
        <w:rPr>
          <w:sz w:val="24"/>
          <w:szCs w:val="24"/>
        </w:rPr>
        <w:t>Привеждане на пътната инфраструктура в устойчиво състояние;</w:t>
      </w:r>
    </w:p>
    <w:p w:rsidR="00B27F69" w:rsidRPr="00B27F69" w:rsidRDefault="00B27F69" w:rsidP="002A1989">
      <w:pPr>
        <w:numPr>
          <w:ilvl w:val="0"/>
          <w:numId w:val="49"/>
        </w:numPr>
        <w:tabs>
          <w:tab w:val="left" w:pos="851"/>
        </w:tabs>
        <w:spacing w:before="0" w:after="0"/>
        <w:ind w:left="0" w:firstLine="567"/>
        <w:jc w:val="both"/>
        <w:rPr>
          <w:sz w:val="24"/>
          <w:szCs w:val="24"/>
        </w:rPr>
      </w:pPr>
      <w:r w:rsidRPr="00B27F69">
        <w:rPr>
          <w:sz w:val="24"/>
          <w:szCs w:val="24"/>
        </w:rPr>
        <w:t>Осигуряване съпоставимо с европейската практика високо ниво на транспортна достъпност на територията на Р България. Подобряване на качеството на жизнената среда;</w:t>
      </w:r>
    </w:p>
    <w:p w:rsidR="00B27F69" w:rsidRPr="00B27F69" w:rsidRDefault="00B27F69" w:rsidP="002A1989">
      <w:pPr>
        <w:spacing w:before="0" w:after="0"/>
        <w:jc w:val="both"/>
        <w:rPr>
          <w:sz w:val="24"/>
          <w:szCs w:val="24"/>
          <w:lang w:eastAsia="en-US"/>
        </w:rPr>
      </w:pPr>
      <w:r w:rsidRPr="00B27F69">
        <w:rPr>
          <w:sz w:val="24"/>
          <w:szCs w:val="24"/>
        </w:rPr>
        <w:t>Подпомагане ускореното изграждане на пътната инфраструктура по транс-европейските и националните транспортни оси</w:t>
      </w:r>
    </w:p>
    <w:p w:rsidR="00B27F69" w:rsidRPr="00B27F69" w:rsidRDefault="00B27F69" w:rsidP="002A1989">
      <w:pPr>
        <w:spacing w:before="0" w:after="0"/>
        <w:jc w:val="both"/>
        <w:rPr>
          <w:sz w:val="24"/>
          <w:szCs w:val="24"/>
        </w:rPr>
      </w:pPr>
      <w:r w:rsidRPr="00B27F69">
        <w:rPr>
          <w:sz w:val="24"/>
          <w:szCs w:val="24"/>
        </w:rPr>
        <w:t>Правителствената програма в областта на транспортната инфраструктура се изпълнява чрез поставени цели и мерки, а именно:</w:t>
      </w:r>
    </w:p>
    <w:p w:rsidR="00B27F69" w:rsidRPr="00B27F69" w:rsidRDefault="00B27F69" w:rsidP="002A1989">
      <w:pPr>
        <w:numPr>
          <w:ilvl w:val="0"/>
          <w:numId w:val="47"/>
        </w:numPr>
        <w:tabs>
          <w:tab w:val="left" w:pos="851"/>
        </w:tabs>
        <w:spacing w:before="0" w:after="0"/>
        <w:ind w:left="0" w:firstLine="567"/>
        <w:jc w:val="both"/>
        <w:rPr>
          <w:sz w:val="24"/>
          <w:szCs w:val="24"/>
        </w:rPr>
      </w:pPr>
      <w:r w:rsidRPr="00B27F69">
        <w:rPr>
          <w:sz w:val="24"/>
          <w:szCs w:val="24"/>
        </w:rPr>
        <w:t xml:space="preserve">Въвеждане на модел за таксуване за ползване на републиканската пътна мрежа – чрез въвеждане на смесена система: електронна винетка за леки автомобили и </w:t>
      </w:r>
      <w:proofErr w:type="spellStart"/>
      <w:r w:rsidRPr="00B27F69">
        <w:rPr>
          <w:sz w:val="24"/>
          <w:szCs w:val="24"/>
        </w:rPr>
        <w:t>тол</w:t>
      </w:r>
      <w:proofErr w:type="spellEnd"/>
      <w:r w:rsidRPr="00B27F69">
        <w:rPr>
          <w:sz w:val="24"/>
          <w:szCs w:val="24"/>
        </w:rPr>
        <w:t xml:space="preserve"> такса за изминато разстояние за тежкотоварните автомобили. В средносрочната прогноза основните дейности за изпълнение на целта са проектиране, изграждане и въвеждане на електронна система за събиране на таксите за ползване на републиканската пътна мрежа на база изминато разстояние за превозни средства с обща технически допустима максимална маса над 3,5 т. (</w:t>
      </w:r>
      <w:proofErr w:type="spellStart"/>
      <w:r w:rsidRPr="00B27F69">
        <w:rPr>
          <w:sz w:val="24"/>
          <w:szCs w:val="24"/>
        </w:rPr>
        <w:t>Тол</w:t>
      </w:r>
      <w:proofErr w:type="spellEnd"/>
      <w:r w:rsidRPr="00B27F69">
        <w:rPr>
          <w:sz w:val="24"/>
          <w:szCs w:val="24"/>
        </w:rPr>
        <w:t>) и на база време за леки автомобили с обща технически допустима максимална маса до 3,5 т. (електронна винетка).</w:t>
      </w:r>
    </w:p>
    <w:p w:rsidR="00B27F69" w:rsidRPr="00B27F69" w:rsidRDefault="00B27F69" w:rsidP="002A1989">
      <w:pPr>
        <w:numPr>
          <w:ilvl w:val="0"/>
          <w:numId w:val="47"/>
        </w:numPr>
        <w:tabs>
          <w:tab w:val="left" w:pos="851"/>
        </w:tabs>
        <w:spacing w:before="0" w:after="0"/>
        <w:ind w:left="0" w:firstLine="567"/>
        <w:jc w:val="both"/>
        <w:rPr>
          <w:sz w:val="24"/>
          <w:szCs w:val="24"/>
          <w:lang w:eastAsia="en-US"/>
        </w:rPr>
      </w:pPr>
      <w:r w:rsidRPr="00B27F69">
        <w:rPr>
          <w:sz w:val="24"/>
          <w:szCs w:val="24"/>
        </w:rPr>
        <w:t xml:space="preserve">Изграждане на модерна и безопасна пътна инфраструктура. Завършване на магистралния пръстен на страната. </w:t>
      </w:r>
      <w:r w:rsidRPr="00B27F69">
        <w:rPr>
          <w:sz w:val="24"/>
          <w:szCs w:val="24"/>
          <w:lang w:eastAsia="en-US"/>
        </w:rPr>
        <w:t>Приоритетни обекти са:</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Доизграждане на автомагистрала „Струма”;</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АМ „Хемус“;</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Обход на Габрово;</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АМ „Калотина - София“;</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Скоростен път Видин – Ботевград;</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AM „Русе – Велико Търново“;</w:t>
      </w:r>
    </w:p>
    <w:p w:rsidR="00B27F69" w:rsidRPr="00B27F69" w:rsidRDefault="00B27F69" w:rsidP="002A1989">
      <w:pPr>
        <w:numPr>
          <w:ilvl w:val="0"/>
          <w:numId w:val="46"/>
        </w:numPr>
        <w:tabs>
          <w:tab w:val="left" w:pos="851"/>
        </w:tabs>
        <w:spacing w:before="0" w:after="0"/>
        <w:ind w:left="0" w:firstLine="567"/>
        <w:jc w:val="both"/>
        <w:rPr>
          <w:sz w:val="24"/>
          <w:szCs w:val="24"/>
          <w:lang w:eastAsia="en-US"/>
        </w:rPr>
      </w:pPr>
      <w:r w:rsidRPr="00B27F69">
        <w:rPr>
          <w:sz w:val="24"/>
          <w:szCs w:val="24"/>
          <w:lang w:eastAsia="en-US"/>
        </w:rPr>
        <w:t>AM „Черно море“.</w:t>
      </w:r>
    </w:p>
    <w:p w:rsidR="00B27F69" w:rsidRPr="00B27F69" w:rsidRDefault="00B27F69" w:rsidP="002A1989">
      <w:pPr>
        <w:numPr>
          <w:ilvl w:val="0"/>
          <w:numId w:val="48"/>
        </w:numPr>
        <w:tabs>
          <w:tab w:val="left" w:pos="851"/>
        </w:tabs>
        <w:spacing w:before="0" w:after="0"/>
        <w:ind w:left="0" w:firstLine="567"/>
        <w:jc w:val="both"/>
        <w:rPr>
          <w:sz w:val="24"/>
          <w:szCs w:val="24"/>
        </w:rPr>
      </w:pPr>
      <w:r w:rsidRPr="00B27F69">
        <w:rPr>
          <w:sz w:val="24"/>
          <w:szCs w:val="24"/>
        </w:rPr>
        <w:t xml:space="preserve">Подобряване на свързаността и достъпността до TEN-T мрежата за товари и пътници чрез мерки, финансирани от фондовете на ЕС, чрез дейности по строителство, реконструкция и рехабилитация на първокласни, второкласни и третокласни пътища (извън </w:t>
      </w:r>
      <w:proofErr w:type="spellStart"/>
      <w:r w:rsidRPr="00B27F69">
        <w:rPr>
          <w:sz w:val="24"/>
          <w:szCs w:val="24"/>
        </w:rPr>
        <w:t>Трансевропейската</w:t>
      </w:r>
      <w:proofErr w:type="spellEnd"/>
      <w:r w:rsidRPr="00B27F69">
        <w:rPr>
          <w:sz w:val="24"/>
          <w:szCs w:val="24"/>
        </w:rPr>
        <w:t xml:space="preserve"> транспортна мрежа), които обслужват </w:t>
      </w:r>
      <w:proofErr w:type="spellStart"/>
      <w:r w:rsidRPr="00B27F69">
        <w:rPr>
          <w:sz w:val="24"/>
          <w:szCs w:val="24"/>
        </w:rPr>
        <w:t>вътрешнорегионални</w:t>
      </w:r>
      <w:proofErr w:type="spellEnd"/>
      <w:r w:rsidRPr="00B27F69">
        <w:rPr>
          <w:sz w:val="24"/>
          <w:szCs w:val="24"/>
        </w:rPr>
        <w:t xml:space="preserve"> връзки и осигуряват възможности за развитие на специфичния икономически потенциал, чрез връзка и достъп до TEN-T мрежата.</w:t>
      </w:r>
    </w:p>
    <w:p w:rsidR="00B27F69" w:rsidRPr="00B27F69" w:rsidRDefault="00B27F69" w:rsidP="002A1989">
      <w:pPr>
        <w:tabs>
          <w:tab w:val="left" w:pos="567"/>
          <w:tab w:val="left" w:pos="1134"/>
        </w:tabs>
        <w:spacing w:before="0" w:after="0"/>
        <w:ind w:right="46"/>
        <w:jc w:val="both"/>
        <w:rPr>
          <w:sz w:val="24"/>
          <w:szCs w:val="24"/>
        </w:rPr>
      </w:pPr>
      <w:r w:rsidRPr="00B27F69">
        <w:rPr>
          <w:sz w:val="24"/>
          <w:szCs w:val="24"/>
        </w:rPr>
        <w:t xml:space="preserve">Приоритетите за изграждане на пътната инфраструктура в контекста на устойчиво и интегрирано развитие на Република България до 2022 г., са определени в </w:t>
      </w:r>
      <w:r w:rsidRPr="00B27F69">
        <w:rPr>
          <w:sz w:val="24"/>
          <w:szCs w:val="24"/>
        </w:rPr>
        <w:lastRenderedPageBreak/>
        <w:t>съответствие с целите на стратегията от Лисабон и цялостната стратегия на Европейския съюз за „Европа 2020".</w:t>
      </w:r>
    </w:p>
    <w:p w:rsidR="00B27F69" w:rsidRPr="00B27F69" w:rsidRDefault="00B27F69" w:rsidP="002A1989">
      <w:pPr>
        <w:spacing w:before="0" w:after="0"/>
        <w:jc w:val="both"/>
        <w:rPr>
          <w:sz w:val="24"/>
          <w:szCs w:val="24"/>
        </w:rPr>
      </w:pPr>
      <w:r w:rsidRPr="00B27F69">
        <w:rPr>
          <w:sz w:val="24"/>
          <w:szCs w:val="24"/>
        </w:rPr>
        <w:t>Целта на програмата, да осигурява съпоставимо с европейската практика високо ниво на транспортна достъпност се постига чрез изпълнение на включените в програмата Продукти/услуги. През отчетния период за някои от продукт/услугите отчитаме много добри резултати.</w:t>
      </w:r>
    </w:p>
    <w:p w:rsidR="00B27F69" w:rsidRPr="00B27F69" w:rsidRDefault="00B27F69" w:rsidP="002A1989">
      <w:pPr>
        <w:spacing w:before="0" w:after="0"/>
        <w:jc w:val="both"/>
        <w:rPr>
          <w:bCs/>
          <w:color w:val="000000"/>
          <w:sz w:val="24"/>
          <w:szCs w:val="24"/>
          <w:lang w:eastAsia="en-US"/>
        </w:rPr>
      </w:pPr>
      <w:r w:rsidRPr="00B27F69">
        <w:rPr>
          <w:b/>
          <w:bCs/>
          <w:sz w:val="24"/>
          <w:szCs w:val="24"/>
          <w:lang w:eastAsia="en-US"/>
        </w:rPr>
        <w:t>По програма „</w:t>
      </w:r>
      <w:proofErr w:type="spellStart"/>
      <w:r w:rsidRPr="00B27F69">
        <w:rPr>
          <w:b/>
          <w:bCs/>
          <w:sz w:val="24"/>
          <w:szCs w:val="24"/>
          <w:lang w:eastAsia="en-US"/>
        </w:rPr>
        <w:t>Устройствено</w:t>
      </w:r>
      <w:proofErr w:type="spellEnd"/>
      <w:r w:rsidRPr="00B27F69">
        <w:rPr>
          <w:b/>
          <w:bCs/>
          <w:sz w:val="24"/>
          <w:szCs w:val="24"/>
          <w:lang w:eastAsia="en-US"/>
        </w:rPr>
        <w:t xml:space="preserve"> планиране, благоустройство, </w:t>
      </w:r>
      <w:proofErr w:type="spellStart"/>
      <w:r w:rsidRPr="00B27F69">
        <w:rPr>
          <w:b/>
          <w:bCs/>
          <w:sz w:val="24"/>
          <w:szCs w:val="24"/>
          <w:lang w:eastAsia="en-US"/>
        </w:rPr>
        <w:t>геозащита</w:t>
      </w:r>
      <w:proofErr w:type="spellEnd"/>
      <w:r w:rsidRPr="00B27F69">
        <w:rPr>
          <w:b/>
          <w:bCs/>
          <w:sz w:val="24"/>
          <w:szCs w:val="24"/>
          <w:lang w:eastAsia="en-US"/>
        </w:rPr>
        <w:t>, водоснабдяване и канализация“ са усвоени бюджетни средства в размер на  32,6 млн. лв. и средства в размер на 15,3 млн. лв. като бенефициент.</w:t>
      </w:r>
    </w:p>
    <w:p w:rsidR="00B27F69" w:rsidRPr="00B27F69" w:rsidRDefault="00B27F69" w:rsidP="002A1989">
      <w:pPr>
        <w:spacing w:before="0" w:after="0"/>
        <w:jc w:val="both"/>
        <w:rPr>
          <w:sz w:val="24"/>
          <w:szCs w:val="24"/>
        </w:rPr>
      </w:pPr>
      <w:r w:rsidRPr="00B27F69">
        <w:rPr>
          <w:rFonts w:eastAsia="Calibri"/>
          <w:sz w:val="24"/>
          <w:szCs w:val="24"/>
        </w:rPr>
        <w:t xml:space="preserve">Дейността през периода се основава на Програмата на Министерството на регионалното развитие и благоустройството, Политика 2100.02.00 „Политика за поддържане, модернизация и изграждане на техническата инфраструктура, свързана с подобряване на транспортната достъпност и интегрираното управление на водните ресурси и </w:t>
      </w:r>
      <w:proofErr w:type="spellStart"/>
      <w:r w:rsidRPr="00B27F69">
        <w:rPr>
          <w:rFonts w:eastAsia="Calibri"/>
          <w:sz w:val="24"/>
          <w:szCs w:val="24"/>
        </w:rPr>
        <w:t>геозащита</w:t>
      </w:r>
      <w:proofErr w:type="spellEnd"/>
      <w:r w:rsidRPr="00B27F69">
        <w:rPr>
          <w:rFonts w:eastAsia="Calibri"/>
          <w:sz w:val="24"/>
          <w:szCs w:val="24"/>
        </w:rPr>
        <w:t xml:space="preserve">“ и </w:t>
      </w:r>
      <w:r w:rsidRPr="00B27F69">
        <w:rPr>
          <w:rFonts w:eastAsia="Calibri"/>
          <w:bCs/>
          <w:sz w:val="24"/>
          <w:szCs w:val="24"/>
        </w:rPr>
        <w:t xml:space="preserve">бюджетна програма </w:t>
      </w:r>
      <w:r w:rsidRPr="00B27F69">
        <w:rPr>
          <w:rFonts w:eastAsia="Calibri"/>
          <w:sz w:val="24"/>
          <w:szCs w:val="24"/>
        </w:rPr>
        <w:t xml:space="preserve">2100.02.02 „Устройство на територията, благоустройство, </w:t>
      </w:r>
      <w:proofErr w:type="spellStart"/>
      <w:r w:rsidRPr="00B27F69">
        <w:rPr>
          <w:rFonts w:eastAsia="Calibri"/>
          <w:sz w:val="24"/>
          <w:szCs w:val="24"/>
        </w:rPr>
        <w:t>геозащита</w:t>
      </w:r>
      <w:proofErr w:type="spellEnd"/>
      <w:r w:rsidRPr="00B27F69">
        <w:rPr>
          <w:rFonts w:eastAsia="Calibri"/>
          <w:sz w:val="24"/>
          <w:szCs w:val="24"/>
        </w:rPr>
        <w:t>, водоснабдяване и канализация“, с оперативна цел – „Осигуряване и поддържане устройството на  територията“.</w:t>
      </w:r>
    </w:p>
    <w:p w:rsidR="00B27F69" w:rsidRPr="00B27F69" w:rsidRDefault="00B27F69" w:rsidP="002A1989">
      <w:pPr>
        <w:spacing w:before="0" w:after="0"/>
        <w:contextualSpacing/>
        <w:jc w:val="both"/>
        <w:rPr>
          <w:b/>
          <w:sz w:val="24"/>
          <w:szCs w:val="24"/>
          <w:lang w:eastAsia="en-US"/>
        </w:rPr>
      </w:pPr>
      <w:r w:rsidRPr="00B27F69">
        <w:rPr>
          <w:sz w:val="24"/>
          <w:szCs w:val="24"/>
          <w:lang w:eastAsia="en-US"/>
        </w:rPr>
        <w:t>Съгласно правомощията на министъра на регионалното развитие и благоустройството по Закона за устройство на територията са одобрени 72 бр. инвестиционни проекта и са издадени 72 бр. разрешения за строеж и допълнения на издадени разрешения за строеж.</w:t>
      </w:r>
    </w:p>
    <w:p w:rsidR="00B27F69" w:rsidRPr="00B27F69" w:rsidRDefault="00B27F69" w:rsidP="002A1989">
      <w:pPr>
        <w:spacing w:before="0" w:after="0"/>
        <w:jc w:val="both"/>
        <w:rPr>
          <w:snapToGrid w:val="0"/>
          <w:color w:val="000000"/>
          <w:sz w:val="24"/>
          <w:szCs w:val="24"/>
          <w:lang w:eastAsia="en-US"/>
        </w:rPr>
      </w:pPr>
      <w:r w:rsidRPr="00B27F69">
        <w:rPr>
          <w:rFonts w:eastAsia="Calibri"/>
          <w:color w:val="000000"/>
          <w:sz w:val="24"/>
          <w:szCs w:val="24"/>
          <w:lang w:eastAsia="en-GB"/>
        </w:rPr>
        <w:t>През отчетния период са и</w:t>
      </w:r>
      <w:r w:rsidRPr="00B27F69">
        <w:rPr>
          <w:color w:val="000000"/>
          <w:sz w:val="24"/>
          <w:szCs w:val="24"/>
        </w:rPr>
        <w:t xml:space="preserve">звършени и отчетени дейности в областта на </w:t>
      </w:r>
      <w:proofErr w:type="spellStart"/>
      <w:r w:rsidRPr="00B27F69">
        <w:rPr>
          <w:color w:val="000000"/>
          <w:sz w:val="24"/>
          <w:szCs w:val="24"/>
        </w:rPr>
        <w:t>геозащитната</w:t>
      </w:r>
      <w:proofErr w:type="spellEnd"/>
      <w:r w:rsidRPr="00B27F69">
        <w:rPr>
          <w:color w:val="000000"/>
          <w:sz w:val="24"/>
          <w:szCs w:val="24"/>
        </w:rPr>
        <w:t xml:space="preserve"> дейност в размер на </w:t>
      </w:r>
      <w:r w:rsidRPr="00B27F69">
        <w:rPr>
          <w:snapToGrid w:val="0"/>
          <w:color w:val="000000"/>
          <w:sz w:val="24"/>
          <w:szCs w:val="24"/>
          <w:lang w:eastAsia="en-US"/>
        </w:rPr>
        <w:t xml:space="preserve">11,7 млн. лв. </w:t>
      </w:r>
    </w:p>
    <w:p w:rsidR="00B27F69" w:rsidRPr="00B27F69" w:rsidRDefault="00B27F69" w:rsidP="002A1989">
      <w:pPr>
        <w:suppressAutoHyphens/>
        <w:autoSpaceDN w:val="0"/>
        <w:spacing w:before="0" w:after="0"/>
        <w:jc w:val="both"/>
        <w:textAlignment w:val="baseline"/>
        <w:rPr>
          <w:bCs/>
          <w:color w:val="000000"/>
          <w:sz w:val="24"/>
          <w:szCs w:val="24"/>
        </w:rPr>
      </w:pPr>
      <w:r w:rsidRPr="00B27F69">
        <w:rPr>
          <w:bCs/>
          <w:color w:val="000000"/>
          <w:sz w:val="24"/>
          <w:szCs w:val="24"/>
        </w:rPr>
        <w:t xml:space="preserve">За извършване на </w:t>
      </w:r>
      <w:r w:rsidRPr="00B27F69">
        <w:rPr>
          <w:b/>
          <w:bCs/>
          <w:color w:val="000000"/>
          <w:sz w:val="24"/>
          <w:szCs w:val="24"/>
        </w:rPr>
        <w:t xml:space="preserve">превантивни </w:t>
      </w:r>
      <w:proofErr w:type="spellStart"/>
      <w:r w:rsidRPr="00B27F69">
        <w:rPr>
          <w:b/>
          <w:bCs/>
          <w:color w:val="000000"/>
          <w:sz w:val="24"/>
          <w:szCs w:val="24"/>
        </w:rPr>
        <w:t>геозащитни</w:t>
      </w:r>
      <w:proofErr w:type="spellEnd"/>
      <w:r w:rsidRPr="00B27F69">
        <w:rPr>
          <w:b/>
          <w:bCs/>
          <w:color w:val="000000"/>
          <w:sz w:val="24"/>
          <w:szCs w:val="24"/>
        </w:rPr>
        <w:t xml:space="preserve"> мерки</w:t>
      </w:r>
      <w:r w:rsidRPr="00B27F69">
        <w:rPr>
          <w:bCs/>
          <w:color w:val="000000"/>
          <w:sz w:val="24"/>
          <w:szCs w:val="24"/>
        </w:rPr>
        <w:t xml:space="preserve"> бяха проведени 3 процедури по Закона за обществените поръчки и бяха сключени договори за изпълнение на превантивни дейности с дружествата за </w:t>
      </w:r>
      <w:proofErr w:type="spellStart"/>
      <w:r w:rsidRPr="00B27F69">
        <w:rPr>
          <w:bCs/>
          <w:color w:val="000000"/>
          <w:sz w:val="24"/>
          <w:szCs w:val="24"/>
        </w:rPr>
        <w:t>геозащита</w:t>
      </w:r>
      <w:proofErr w:type="spellEnd"/>
      <w:r w:rsidRPr="00B27F69">
        <w:rPr>
          <w:bCs/>
          <w:color w:val="000000"/>
          <w:sz w:val="24"/>
          <w:szCs w:val="24"/>
        </w:rPr>
        <w:t xml:space="preserve">. Допълнително, поради изтичане на договорите през м. август 2017 г. с оглед изпълнение задълженията на МРРБ, вменени със Закона за устройство на територията са подписани още 3 договора за изпълнение на дейности, свързани с регистрирането и мониторинга на </w:t>
      </w:r>
      <w:proofErr w:type="spellStart"/>
      <w:r w:rsidRPr="00B27F69">
        <w:rPr>
          <w:bCs/>
          <w:color w:val="000000"/>
          <w:sz w:val="24"/>
          <w:szCs w:val="24"/>
        </w:rPr>
        <w:t>свлачищните</w:t>
      </w:r>
      <w:proofErr w:type="spellEnd"/>
      <w:r w:rsidRPr="00B27F69">
        <w:rPr>
          <w:bCs/>
          <w:color w:val="000000"/>
          <w:sz w:val="24"/>
          <w:szCs w:val="24"/>
        </w:rPr>
        <w:t xml:space="preserve"> райони. </w:t>
      </w:r>
    </w:p>
    <w:p w:rsidR="00B27F69" w:rsidRPr="00B27F69" w:rsidRDefault="00B27F69" w:rsidP="002A1989">
      <w:pPr>
        <w:suppressAutoHyphens/>
        <w:autoSpaceDN w:val="0"/>
        <w:spacing w:before="0" w:after="0"/>
        <w:jc w:val="both"/>
        <w:textAlignment w:val="baseline"/>
        <w:rPr>
          <w:color w:val="000000"/>
          <w:sz w:val="24"/>
          <w:szCs w:val="24"/>
        </w:rPr>
      </w:pPr>
      <w:r w:rsidRPr="00B27F69">
        <w:rPr>
          <w:color w:val="000000"/>
          <w:sz w:val="24"/>
          <w:szCs w:val="24"/>
        </w:rPr>
        <w:t xml:space="preserve">През отчетния период е осъществен предварителен контрол на постъпили 100 инвестиционни намерения в </w:t>
      </w:r>
      <w:proofErr w:type="spellStart"/>
      <w:r w:rsidRPr="00B27F69">
        <w:rPr>
          <w:color w:val="000000"/>
          <w:sz w:val="24"/>
          <w:szCs w:val="24"/>
        </w:rPr>
        <w:t>свлачищни</w:t>
      </w:r>
      <w:proofErr w:type="spellEnd"/>
      <w:r w:rsidRPr="00B27F69">
        <w:rPr>
          <w:color w:val="000000"/>
          <w:sz w:val="24"/>
          <w:szCs w:val="24"/>
        </w:rPr>
        <w:t xml:space="preserve"> райони, от които са издадени.</w:t>
      </w:r>
    </w:p>
    <w:p w:rsidR="00B27F69" w:rsidRPr="00B27F69" w:rsidRDefault="00B27F69" w:rsidP="002A1989">
      <w:pPr>
        <w:spacing w:before="0" w:after="0"/>
        <w:jc w:val="both"/>
        <w:rPr>
          <w:b/>
          <w:sz w:val="24"/>
          <w:szCs w:val="24"/>
        </w:rPr>
      </w:pPr>
      <w:r w:rsidRPr="00B27F69">
        <w:rPr>
          <w:sz w:val="24"/>
          <w:szCs w:val="24"/>
        </w:rPr>
        <w:t xml:space="preserve">През периода са извършени </w:t>
      </w:r>
      <w:r w:rsidRPr="00B27F69">
        <w:rPr>
          <w:b/>
          <w:sz w:val="24"/>
          <w:szCs w:val="24"/>
        </w:rPr>
        <w:t xml:space="preserve">строително-монтажни работи </w:t>
      </w:r>
      <w:r w:rsidRPr="00B27F69">
        <w:rPr>
          <w:sz w:val="24"/>
          <w:szCs w:val="24"/>
        </w:rPr>
        <w:t>и други видове дейности, които са приети, одобрени и разплатени.</w:t>
      </w:r>
    </w:p>
    <w:p w:rsidR="00B27F69" w:rsidRPr="00B27F69" w:rsidRDefault="00B27F69" w:rsidP="002A1989">
      <w:pPr>
        <w:spacing w:before="0" w:after="0"/>
        <w:contextualSpacing/>
        <w:jc w:val="both"/>
        <w:rPr>
          <w:rFonts w:eastAsia="Calibri"/>
          <w:sz w:val="24"/>
          <w:szCs w:val="24"/>
          <w:lang w:eastAsia="en-US"/>
        </w:rPr>
      </w:pPr>
      <w:r w:rsidRPr="00B27F69">
        <w:rPr>
          <w:sz w:val="24"/>
          <w:szCs w:val="24"/>
        </w:rPr>
        <w:t xml:space="preserve">Извършени са административни дейности за продължаване обект „Гр. Царево – укрепване </w:t>
      </w:r>
      <w:proofErr w:type="spellStart"/>
      <w:r w:rsidRPr="00B27F69">
        <w:rPr>
          <w:sz w:val="24"/>
          <w:szCs w:val="24"/>
        </w:rPr>
        <w:t>свлачище</w:t>
      </w:r>
      <w:proofErr w:type="spellEnd"/>
      <w:r w:rsidRPr="00B27F69">
        <w:rPr>
          <w:sz w:val="24"/>
          <w:szCs w:val="24"/>
        </w:rPr>
        <w:t xml:space="preserve"> северен бряг“. Подготвена документация за стартиране на процедура по ЗОП за възлагане на обществена поръчка за изпълнение на оценка за съответствие на проекта с основните изисквания към строежите и строителен надзор на обекта въз основа на изготвената техническа спецификация.</w:t>
      </w:r>
    </w:p>
    <w:p w:rsidR="00B27F69" w:rsidRPr="00B27F69" w:rsidRDefault="00B27F69" w:rsidP="002A1989">
      <w:pPr>
        <w:suppressAutoHyphens/>
        <w:autoSpaceDN w:val="0"/>
        <w:spacing w:before="0" w:after="0"/>
        <w:jc w:val="both"/>
        <w:textAlignment w:val="baseline"/>
        <w:rPr>
          <w:bCs/>
          <w:color w:val="000000"/>
          <w:sz w:val="24"/>
          <w:szCs w:val="24"/>
        </w:rPr>
      </w:pPr>
      <w:r w:rsidRPr="00B27F69">
        <w:rPr>
          <w:rFonts w:eastAsia="Calibri"/>
          <w:sz w:val="24"/>
          <w:szCs w:val="24"/>
        </w:rPr>
        <w:t>В</w:t>
      </w:r>
      <w:r w:rsidRPr="00B27F69">
        <w:rPr>
          <w:sz w:val="24"/>
          <w:szCs w:val="24"/>
        </w:rPr>
        <w:t xml:space="preserve"> обхвата на подкрепа на дейностите по </w:t>
      </w:r>
      <w:r w:rsidRPr="00B27F69">
        <w:rPr>
          <w:sz w:val="24"/>
          <w:szCs w:val="24"/>
          <w:lang w:eastAsia="en-US"/>
        </w:rPr>
        <w:t>Оперативна програма „Околна среда“ 2014-2020 г.</w:t>
      </w:r>
      <w:r w:rsidRPr="00B27F69">
        <w:rPr>
          <w:sz w:val="24"/>
          <w:szCs w:val="24"/>
        </w:rPr>
        <w:t xml:space="preserve"> (приоритетна ос </w:t>
      </w:r>
      <w:r w:rsidRPr="00B27F69">
        <w:rPr>
          <w:sz w:val="24"/>
          <w:szCs w:val="24"/>
          <w:lang w:eastAsia="en-US"/>
        </w:rPr>
        <w:t xml:space="preserve">„Превенция и управление на риска от наводнения и </w:t>
      </w:r>
      <w:proofErr w:type="spellStart"/>
      <w:r w:rsidRPr="00B27F69">
        <w:rPr>
          <w:sz w:val="24"/>
          <w:szCs w:val="24"/>
          <w:lang w:eastAsia="en-US"/>
        </w:rPr>
        <w:t>свлачища</w:t>
      </w:r>
      <w:proofErr w:type="spellEnd"/>
      <w:r w:rsidRPr="00B27F69">
        <w:rPr>
          <w:sz w:val="24"/>
          <w:szCs w:val="24"/>
          <w:lang w:eastAsia="en-US"/>
        </w:rPr>
        <w:t>“)</w:t>
      </w:r>
      <w:r w:rsidRPr="00B27F69">
        <w:rPr>
          <w:sz w:val="24"/>
          <w:szCs w:val="24"/>
        </w:rPr>
        <w:t xml:space="preserve"> за изпълнение на мерки, свързани с превенция на риска от </w:t>
      </w:r>
      <w:proofErr w:type="spellStart"/>
      <w:r w:rsidRPr="00B27F69">
        <w:rPr>
          <w:sz w:val="24"/>
          <w:szCs w:val="24"/>
        </w:rPr>
        <w:t>свлачищни</w:t>
      </w:r>
      <w:proofErr w:type="spellEnd"/>
      <w:r w:rsidRPr="00B27F69">
        <w:rPr>
          <w:sz w:val="24"/>
          <w:szCs w:val="24"/>
        </w:rPr>
        <w:t xml:space="preserve">, </w:t>
      </w:r>
      <w:proofErr w:type="spellStart"/>
      <w:r w:rsidRPr="00B27F69">
        <w:rPr>
          <w:sz w:val="24"/>
          <w:szCs w:val="24"/>
        </w:rPr>
        <w:t>ерозионни</w:t>
      </w:r>
      <w:proofErr w:type="spellEnd"/>
      <w:r w:rsidRPr="00B27F69">
        <w:rPr>
          <w:sz w:val="24"/>
          <w:szCs w:val="24"/>
        </w:rPr>
        <w:t xml:space="preserve"> и </w:t>
      </w:r>
      <w:proofErr w:type="spellStart"/>
      <w:r w:rsidRPr="00B27F69">
        <w:rPr>
          <w:sz w:val="24"/>
          <w:szCs w:val="24"/>
        </w:rPr>
        <w:t>абразионни</w:t>
      </w:r>
      <w:proofErr w:type="spellEnd"/>
      <w:r w:rsidRPr="00B27F69">
        <w:rPr>
          <w:sz w:val="24"/>
          <w:szCs w:val="24"/>
        </w:rPr>
        <w:t xml:space="preserve"> процеси и други неблагоприятни геодинамични процеси на територията на страната, </w:t>
      </w:r>
      <w:r w:rsidRPr="00B27F69">
        <w:rPr>
          <w:sz w:val="24"/>
          <w:szCs w:val="24"/>
          <w:lang w:eastAsia="en-US"/>
        </w:rPr>
        <w:t xml:space="preserve">са одобрени за финансиране 29 обекта за </w:t>
      </w:r>
      <w:r w:rsidRPr="00B27F69">
        <w:rPr>
          <w:sz w:val="24"/>
          <w:szCs w:val="24"/>
        </w:rPr>
        <w:t xml:space="preserve">изпълнение на проучвателни, проектни дейности и строително-монтажни работи с бенефициенти АПИ и общини и 26 </w:t>
      </w:r>
      <w:proofErr w:type="spellStart"/>
      <w:r w:rsidRPr="00B27F69">
        <w:rPr>
          <w:sz w:val="24"/>
          <w:szCs w:val="24"/>
        </w:rPr>
        <w:t>свлачища</w:t>
      </w:r>
      <w:proofErr w:type="spellEnd"/>
      <w:r w:rsidRPr="00B27F69">
        <w:rPr>
          <w:sz w:val="24"/>
          <w:szCs w:val="24"/>
        </w:rPr>
        <w:t xml:space="preserve"> за изпълнение на превантивни дейности за провеждане на инструментален мониторинг с бенефициент МРРБ. Извършени са административни дейности за подготовка на проектните предложения.</w:t>
      </w:r>
    </w:p>
    <w:p w:rsidR="00B27F69" w:rsidRPr="00B27F69" w:rsidRDefault="00B27F69" w:rsidP="002A1989">
      <w:pPr>
        <w:suppressAutoHyphens/>
        <w:autoSpaceDN w:val="0"/>
        <w:spacing w:before="0" w:after="0"/>
        <w:jc w:val="both"/>
        <w:textAlignment w:val="baseline"/>
        <w:rPr>
          <w:b/>
          <w:sz w:val="24"/>
          <w:szCs w:val="24"/>
        </w:rPr>
      </w:pPr>
      <w:r w:rsidRPr="00B27F69">
        <w:rPr>
          <w:b/>
          <w:sz w:val="24"/>
          <w:szCs w:val="24"/>
        </w:rPr>
        <w:t>І. Проекти, финансирани от държавни инвестиционни заеми:</w:t>
      </w:r>
    </w:p>
    <w:p w:rsidR="00B27F69" w:rsidRPr="00B27F69" w:rsidRDefault="00B27F69" w:rsidP="002A1989">
      <w:pPr>
        <w:tabs>
          <w:tab w:val="left" w:pos="0"/>
          <w:tab w:val="left" w:pos="709"/>
        </w:tabs>
        <w:spacing w:before="0" w:after="0"/>
        <w:jc w:val="both"/>
        <w:rPr>
          <w:sz w:val="24"/>
          <w:szCs w:val="24"/>
        </w:rPr>
      </w:pPr>
      <w:r w:rsidRPr="00B27F69">
        <w:rPr>
          <w:sz w:val="24"/>
          <w:szCs w:val="24"/>
        </w:rPr>
        <w:t xml:space="preserve">1. „Проект за развитие на общинската инфраструктура“ се финансира 80% от Международна банка за възстановяване и развитие  (МБВР) и 20% от държавния бюджет. </w:t>
      </w:r>
    </w:p>
    <w:p w:rsidR="00B27F69" w:rsidRPr="00B27F69" w:rsidRDefault="00B27F69" w:rsidP="002A1989">
      <w:pPr>
        <w:tabs>
          <w:tab w:val="left" w:pos="0"/>
          <w:tab w:val="left" w:pos="709"/>
        </w:tabs>
        <w:spacing w:before="0" w:after="0"/>
        <w:jc w:val="both"/>
        <w:rPr>
          <w:sz w:val="24"/>
          <w:szCs w:val="24"/>
        </w:rPr>
      </w:pPr>
      <w:r w:rsidRPr="00B27F69">
        <w:rPr>
          <w:sz w:val="24"/>
          <w:szCs w:val="24"/>
        </w:rPr>
        <w:lastRenderedPageBreak/>
        <w:t xml:space="preserve">През отчетния период е работено по Компоненти 1 „Подпомагане изпълнението на проекта“ и по Компонент 3 „Строителство и рехабилитация на язовири“. Изпълнението на Компонент 2 „Изготвяне на регионални генерални планове за </w:t>
      </w:r>
      <w:proofErr w:type="spellStart"/>
      <w:r w:rsidRPr="00B27F69">
        <w:rPr>
          <w:sz w:val="24"/>
          <w:szCs w:val="24"/>
        </w:rPr>
        <w:t>ВиК</w:t>
      </w:r>
      <w:proofErr w:type="spellEnd"/>
      <w:r w:rsidRPr="00B27F69">
        <w:rPr>
          <w:sz w:val="24"/>
          <w:szCs w:val="24"/>
        </w:rPr>
        <w:t xml:space="preserve">“ е приключило успешно през 2014 г. </w:t>
      </w:r>
    </w:p>
    <w:p w:rsidR="00B27F69" w:rsidRPr="00B27F69" w:rsidRDefault="00B27F69" w:rsidP="002A1989">
      <w:pPr>
        <w:tabs>
          <w:tab w:val="left" w:pos="0"/>
        </w:tabs>
        <w:spacing w:before="0" w:after="0"/>
        <w:jc w:val="both"/>
        <w:rPr>
          <w:rFonts w:eastAsia="SimSun"/>
          <w:sz w:val="24"/>
          <w:szCs w:val="24"/>
        </w:rPr>
      </w:pPr>
      <w:r w:rsidRPr="00B27F69">
        <w:rPr>
          <w:rFonts w:eastAsia="SimSun"/>
          <w:sz w:val="24"/>
          <w:szCs w:val="24"/>
        </w:rPr>
        <w:t>За периода 01.</w:t>
      </w:r>
      <w:proofErr w:type="spellStart"/>
      <w:r w:rsidRPr="00B27F69">
        <w:rPr>
          <w:rFonts w:eastAsia="SimSun"/>
          <w:sz w:val="24"/>
          <w:szCs w:val="24"/>
        </w:rPr>
        <w:t>01</w:t>
      </w:r>
      <w:proofErr w:type="spellEnd"/>
      <w:r w:rsidRPr="00B27F69">
        <w:rPr>
          <w:rFonts w:eastAsia="SimSun"/>
          <w:sz w:val="24"/>
          <w:szCs w:val="24"/>
        </w:rPr>
        <w:t xml:space="preserve">.2017 г. – 31.12.2017 г. по проекта са разплатени 17,7 млн. лв., от които за  капиталови разходи – 17,4 млн. лв., за консултантски услуги – 0,3 млн. лв. </w:t>
      </w:r>
    </w:p>
    <w:p w:rsidR="00B27F69" w:rsidRPr="00B27F69" w:rsidRDefault="00B27F69" w:rsidP="002A1989">
      <w:pPr>
        <w:tabs>
          <w:tab w:val="left" w:pos="0"/>
        </w:tabs>
        <w:spacing w:before="0" w:after="0"/>
        <w:jc w:val="both"/>
        <w:rPr>
          <w:sz w:val="24"/>
          <w:szCs w:val="24"/>
        </w:rPr>
      </w:pPr>
      <w:r w:rsidRPr="00B27F69">
        <w:rPr>
          <w:rFonts w:eastAsia="SimSun"/>
          <w:sz w:val="24"/>
          <w:szCs w:val="24"/>
        </w:rPr>
        <w:t xml:space="preserve">През отчетния период </w:t>
      </w:r>
      <w:r w:rsidRPr="00B27F69">
        <w:rPr>
          <w:sz w:val="24"/>
          <w:szCs w:val="24"/>
        </w:rPr>
        <w:t>Министерство на регионалното развитие и благоустройството (МРРБ) е получило от МБВР четири транша, общо за 8, 6 млн. евро (16,8 млн. лв.).</w:t>
      </w:r>
    </w:p>
    <w:p w:rsidR="00B27F69" w:rsidRPr="00B27F69" w:rsidRDefault="00B27F69" w:rsidP="002A1989">
      <w:pPr>
        <w:spacing w:before="0" w:after="0"/>
        <w:jc w:val="both"/>
        <w:rPr>
          <w:sz w:val="24"/>
          <w:szCs w:val="24"/>
        </w:rPr>
      </w:pPr>
      <w:r w:rsidRPr="00B27F69">
        <w:rPr>
          <w:b/>
          <w:sz w:val="24"/>
          <w:szCs w:val="24"/>
        </w:rPr>
        <w:t xml:space="preserve">ІІ. Проект „Подпомагане регионалното инвестиционно планиране на отрасъл </w:t>
      </w:r>
      <w:proofErr w:type="spellStart"/>
      <w:r w:rsidRPr="00B27F69">
        <w:rPr>
          <w:b/>
          <w:sz w:val="24"/>
          <w:szCs w:val="24"/>
        </w:rPr>
        <w:t>ВиК</w:t>
      </w:r>
      <w:proofErr w:type="spellEnd"/>
      <w:r w:rsidRPr="00B27F69">
        <w:rPr>
          <w:b/>
          <w:sz w:val="24"/>
          <w:szCs w:val="24"/>
        </w:rPr>
        <w:t>”</w:t>
      </w:r>
      <w:r w:rsidRPr="00B27F69">
        <w:rPr>
          <w:sz w:val="24"/>
          <w:szCs w:val="24"/>
        </w:rPr>
        <w:t xml:space="preserve"> се финансира от </w:t>
      </w:r>
      <w:proofErr w:type="spellStart"/>
      <w:r w:rsidRPr="00B27F69">
        <w:rPr>
          <w:sz w:val="24"/>
          <w:szCs w:val="24"/>
        </w:rPr>
        <w:t>Кохезионния</w:t>
      </w:r>
      <w:proofErr w:type="spellEnd"/>
      <w:r w:rsidRPr="00B27F69">
        <w:rPr>
          <w:sz w:val="24"/>
          <w:szCs w:val="24"/>
        </w:rPr>
        <w:t xml:space="preserve"> фонд на Европейския съюз и от държавния бюджет на Република България, чрез оперативна програма „Околна среда 2014-2020 г.” съгласно договор за безвъзмездна финансова помощ (БФП) № BG16M1OP002-1.001-0001-C01 (Д-34-2) от 10.02.2016 г. Общата стойност на проекта е  59,2 млн. лв. Основната цел на проекта е подобряване на инвестиционното планиране и управление на отрасъл </w:t>
      </w:r>
      <w:proofErr w:type="spellStart"/>
      <w:r w:rsidRPr="00B27F69">
        <w:rPr>
          <w:sz w:val="24"/>
          <w:szCs w:val="24"/>
        </w:rPr>
        <w:t>ВиК</w:t>
      </w:r>
      <w:proofErr w:type="spellEnd"/>
      <w:r w:rsidRPr="00B27F69">
        <w:rPr>
          <w:sz w:val="24"/>
          <w:szCs w:val="24"/>
        </w:rPr>
        <w:t xml:space="preserve">. </w:t>
      </w:r>
    </w:p>
    <w:p w:rsidR="00B27F69" w:rsidRPr="00B27F69" w:rsidRDefault="00B27F69" w:rsidP="002A1989">
      <w:pPr>
        <w:spacing w:before="0" w:after="0"/>
        <w:jc w:val="both"/>
        <w:rPr>
          <w:sz w:val="24"/>
          <w:szCs w:val="24"/>
        </w:rPr>
      </w:pPr>
      <w:r w:rsidRPr="00B27F69">
        <w:rPr>
          <w:sz w:val="24"/>
          <w:szCs w:val="24"/>
        </w:rPr>
        <w:t xml:space="preserve">През отчетния период по проекта са одобрени и изпълнени следните задачи: </w:t>
      </w:r>
    </w:p>
    <w:p w:rsidR="00B27F69" w:rsidRPr="00B27F69" w:rsidRDefault="00B27F69" w:rsidP="002A1989">
      <w:pPr>
        <w:numPr>
          <w:ilvl w:val="0"/>
          <w:numId w:val="52"/>
        </w:numPr>
        <w:tabs>
          <w:tab w:val="left" w:pos="709"/>
        </w:tabs>
        <w:spacing w:before="0" w:after="0"/>
        <w:ind w:left="0" w:firstLine="567"/>
        <w:jc w:val="both"/>
        <w:rPr>
          <w:sz w:val="24"/>
          <w:szCs w:val="24"/>
        </w:rPr>
      </w:pPr>
      <w:r w:rsidRPr="00B27F69">
        <w:rPr>
          <w:sz w:val="24"/>
          <w:szCs w:val="24"/>
        </w:rPr>
        <w:t xml:space="preserve">за реализиране на Дейност 1 „Изготвяне на регионални </w:t>
      </w:r>
      <w:proofErr w:type="spellStart"/>
      <w:r w:rsidRPr="00B27F69">
        <w:rPr>
          <w:sz w:val="24"/>
          <w:szCs w:val="24"/>
        </w:rPr>
        <w:t>прединвестиционни</w:t>
      </w:r>
      <w:proofErr w:type="spellEnd"/>
      <w:r w:rsidRPr="00B27F69">
        <w:rPr>
          <w:sz w:val="24"/>
          <w:szCs w:val="24"/>
        </w:rPr>
        <w:t xml:space="preserve"> проучвания (РПИП) за обособените територии на 14 </w:t>
      </w:r>
      <w:proofErr w:type="spellStart"/>
      <w:r w:rsidRPr="00B27F69">
        <w:rPr>
          <w:sz w:val="24"/>
          <w:szCs w:val="24"/>
        </w:rPr>
        <w:t>ВиК</w:t>
      </w:r>
      <w:proofErr w:type="spellEnd"/>
      <w:r w:rsidRPr="00B27F69">
        <w:rPr>
          <w:sz w:val="24"/>
          <w:szCs w:val="24"/>
        </w:rPr>
        <w:t xml:space="preserve"> оператори“: </w:t>
      </w:r>
    </w:p>
    <w:p w:rsidR="00B27F69" w:rsidRPr="00B27F69" w:rsidRDefault="00B27F69" w:rsidP="002A1989">
      <w:pPr>
        <w:tabs>
          <w:tab w:val="left" w:pos="709"/>
        </w:tabs>
        <w:spacing w:before="0" w:after="0"/>
        <w:jc w:val="both"/>
        <w:rPr>
          <w:bCs/>
          <w:iCs/>
          <w:sz w:val="24"/>
          <w:szCs w:val="24"/>
        </w:rPr>
      </w:pPr>
      <w:r w:rsidRPr="00B27F69">
        <w:rPr>
          <w:sz w:val="24"/>
          <w:szCs w:val="24"/>
        </w:rPr>
        <w:t>- П</w:t>
      </w:r>
      <w:r w:rsidRPr="00B27F69">
        <w:rPr>
          <w:bCs/>
          <w:iCs/>
          <w:sz w:val="24"/>
          <w:szCs w:val="24"/>
        </w:rPr>
        <w:t>редоставени и одобрени следните доклади: 5 броя доклади за напредъка;</w:t>
      </w:r>
    </w:p>
    <w:p w:rsidR="00B27F69" w:rsidRPr="00B27F69" w:rsidRDefault="00B27F69" w:rsidP="002A1989">
      <w:pPr>
        <w:tabs>
          <w:tab w:val="left" w:pos="709"/>
        </w:tabs>
        <w:spacing w:before="0" w:after="0"/>
        <w:jc w:val="both"/>
        <w:rPr>
          <w:sz w:val="24"/>
          <w:szCs w:val="24"/>
        </w:rPr>
      </w:pPr>
      <w:r w:rsidRPr="00B27F69">
        <w:rPr>
          <w:sz w:val="24"/>
          <w:szCs w:val="24"/>
        </w:rPr>
        <w:t xml:space="preserve">През периода са проведени и 6 редовни (м. февруари, м. април, м. юни, м. юли, м. септември и м. ноември) и 2 извънредни (м. януари и м. юни) заседания на Управителния комитет за текущо наблюдение на изпълнението на договорите за разработване на РПИП, с участието на представители на МРРБ, МОСВ, МЗХ, МЗ, </w:t>
      </w:r>
      <w:proofErr w:type="spellStart"/>
      <w:r w:rsidRPr="00B27F69">
        <w:rPr>
          <w:sz w:val="24"/>
          <w:szCs w:val="24"/>
        </w:rPr>
        <w:t>ВиК</w:t>
      </w:r>
      <w:proofErr w:type="spellEnd"/>
      <w:r w:rsidRPr="00B27F69">
        <w:rPr>
          <w:sz w:val="24"/>
          <w:szCs w:val="24"/>
        </w:rPr>
        <w:t xml:space="preserve"> оператори и инициатива </w:t>
      </w:r>
      <w:proofErr w:type="spellStart"/>
      <w:r w:rsidRPr="00B27F69">
        <w:rPr>
          <w:sz w:val="24"/>
          <w:szCs w:val="24"/>
        </w:rPr>
        <w:t>Джаспърс</w:t>
      </w:r>
      <w:proofErr w:type="spellEnd"/>
      <w:r w:rsidRPr="00B27F69">
        <w:rPr>
          <w:sz w:val="24"/>
          <w:szCs w:val="24"/>
        </w:rPr>
        <w:t xml:space="preserve"> към Европейската комисия. Извънредните заседания включиха обучения за изпълнителите на РПИП  от представители на </w:t>
      </w:r>
      <w:proofErr w:type="spellStart"/>
      <w:r w:rsidRPr="00B27F69">
        <w:rPr>
          <w:sz w:val="24"/>
          <w:szCs w:val="24"/>
        </w:rPr>
        <w:t>Джаспърс</w:t>
      </w:r>
      <w:proofErr w:type="spellEnd"/>
      <w:r w:rsidRPr="00B27F69">
        <w:rPr>
          <w:sz w:val="24"/>
          <w:szCs w:val="24"/>
        </w:rPr>
        <w:t xml:space="preserve"> за попълване на ключови секции в </w:t>
      </w:r>
      <w:proofErr w:type="spellStart"/>
      <w:r w:rsidRPr="00B27F69">
        <w:rPr>
          <w:sz w:val="24"/>
          <w:szCs w:val="24"/>
        </w:rPr>
        <w:t>апликационната</w:t>
      </w:r>
      <w:proofErr w:type="spellEnd"/>
      <w:r w:rsidRPr="00B27F69">
        <w:rPr>
          <w:sz w:val="24"/>
          <w:szCs w:val="24"/>
        </w:rPr>
        <w:t xml:space="preserve"> форма за европейско финансиране по ОПОС 2014-2020 г.</w:t>
      </w:r>
    </w:p>
    <w:p w:rsidR="00B27F69" w:rsidRPr="00B27F69" w:rsidRDefault="00B27F69" w:rsidP="002A1989">
      <w:pPr>
        <w:tabs>
          <w:tab w:val="left" w:pos="709"/>
        </w:tabs>
        <w:spacing w:before="0" w:after="0"/>
        <w:jc w:val="both"/>
        <w:rPr>
          <w:b/>
          <w:sz w:val="24"/>
          <w:szCs w:val="24"/>
        </w:rPr>
      </w:pPr>
      <w:r w:rsidRPr="00B27F69">
        <w:rPr>
          <w:b/>
          <w:sz w:val="24"/>
          <w:szCs w:val="24"/>
        </w:rPr>
        <w:t xml:space="preserve">ІІІ. Проект „Подпомагане на ефективността, управлението и институционалния капацитет в отрасъл </w:t>
      </w:r>
      <w:proofErr w:type="spellStart"/>
      <w:r w:rsidRPr="00B27F69">
        <w:rPr>
          <w:b/>
          <w:sz w:val="24"/>
          <w:szCs w:val="24"/>
        </w:rPr>
        <w:t>ВиК</w:t>
      </w:r>
      <w:proofErr w:type="spellEnd"/>
      <w:r w:rsidRPr="00B27F69">
        <w:rPr>
          <w:b/>
          <w:sz w:val="24"/>
          <w:szCs w:val="24"/>
        </w:rPr>
        <w:t xml:space="preserve">“ </w:t>
      </w:r>
      <w:r w:rsidRPr="00B27F69">
        <w:rPr>
          <w:sz w:val="24"/>
          <w:szCs w:val="24"/>
        </w:rPr>
        <w:t xml:space="preserve">е финансиран от </w:t>
      </w:r>
      <w:proofErr w:type="spellStart"/>
      <w:r w:rsidRPr="00B27F69">
        <w:rPr>
          <w:sz w:val="24"/>
          <w:szCs w:val="24"/>
        </w:rPr>
        <w:t>Кохезионния</w:t>
      </w:r>
      <w:proofErr w:type="spellEnd"/>
      <w:r w:rsidRPr="00B27F69">
        <w:rPr>
          <w:sz w:val="24"/>
          <w:szCs w:val="24"/>
        </w:rPr>
        <w:t xml:space="preserve"> фонд на Европейския съюз и от държавния бюджет на Република България, чрез </w:t>
      </w:r>
      <w:proofErr w:type="spellStart"/>
      <w:r w:rsidRPr="00B27F69">
        <w:rPr>
          <w:sz w:val="24"/>
          <w:szCs w:val="24"/>
        </w:rPr>
        <w:t>Oперативна</w:t>
      </w:r>
      <w:proofErr w:type="spellEnd"/>
      <w:r w:rsidRPr="00B27F69">
        <w:rPr>
          <w:sz w:val="24"/>
          <w:szCs w:val="24"/>
        </w:rPr>
        <w:t xml:space="preserve"> програма „Околна среда 2014-2020” съгласно Договор за безвъзмездна финансова помощ № BG16M1OP002-1.003-0001-C01 (Д-34-11) от 16.03.2016 г. Основната цел на проекта е да се развие и надгради институционалния капацитет на отговорните страни в отрасъл </w:t>
      </w:r>
      <w:proofErr w:type="spellStart"/>
      <w:r w:rsidRPr="00B27F69">
        <w:rPr>
          <w:sz w:val="24"/>
          <w:szCs w:val="24"/>
        </w:rPr>
        <w:t>ВиК</w:t>
      </w:r>
      <w:proofErr w:type="spellEnd"/>
      <w:r w:rsidRPr="00B27F69">
        <w:rPr>
          <w:sz w:val="24"/>
          <w:szCs w:val="24"/>
        </w:rPr>
        <w:t xml:space="preserve"> за постигане на ефективност и добро управление на </w:t>
      </w:r>
      <w:proofErr w:type="spellStart"/>
      <w:r w:rsidRPr="00B27F69">
        <w:rPr>
          <w:sz w:val="24"/>
          <w:szCs w:val="24"/>
        </w:rPr>
        <w:t>ВиК</w:t>
      </w:r>
      <w:proofErr w:type="spellEnd"/>
      <w:r w:rsidRPr="00B27F69">
        <w:rPr>
          <w:sz w:val="24"/>
          <w:szCs w:val="24"/>
        </w:rPr>
        <w:t xml:space="preserve"> инфраструктурата и предоставянето на услуги. Обща стойност на проекта е 15,4 млн. лв. </w:t>
      </w:r>
    </w:p>
    <w:p w:rsidR="00B27F69" w:rsidRPr="00B27F69" w:rsidRDefault="00B27F69" w:rsidP="002A1989">
      <w:pPr>
        <w:tabs>
          <w:tab w:val="left" w:pos="567"/>
        </w:tabs>
        <w:spacing w:before="0" w:after="0"/>
        <w:jc w:val="both"/>
        <w:rPr>
          <w:sz w:val="24"/>
          <w:szCs w:val="24"/>
        </w:rPr>
      </w:pPr>
      <w:r w:rsidRPr="00B27F69">
        <w:rPr>
          <w:sz w:val="24"/>
          <w:szCs w:val="24"/>
        </w:rPr>
        <w:t>През отчетния период постигнати резултати са:</w:t>
      </w:r>
    </w:p>
    <w:p w:rsidR="00B27F69" w:rsidRPr="00B27F69" w:rsidRDefault="00B27F69" w:rsidP="002A1989">
      <w:pPr>
        <w:tabs>
          <w:tab w:val="left" w:pos="567"/>
        </w:tabs>
        <w:spacing w:before="0" w:after="0"/>
        <w:jc w:val="both"/>
        <w:rPr>
          <w:sz w:val="24"/>
          <w:szCs w:val="24"/>
        </w:rPr>
      </w:pPr>
      <w:r w:rsidRPr="00B27F69">
        <w:rPr>
          <w:sz w:val="24"/>
          <w:szCs w:val="24"/>
        </w:rPr>
        <w:t xml:space="preserve">Дейност 1 - Консултантски услуги за повишаване на ефективността при предоставяне на услугите в отрасъл </w:t>
      </w:r>
      <w:proofErr w:type="spellStart"/>
      <w:r w:rsidRPr="00B27F69">
        <w:rPr>
          <w:sz w:val="24"/>
          <w:szCs w:val="24"/>
        </w:rPr>
        <w:t>ВиК</w:t>
      </w:r>
      <w:proofErr w:type="spellEnd"/>
      <w:r w:rsidRPr="00B27F69">
        <w:rPr>
          <w:sz w:val="24"/>
          <w:szCs w:val="24"/>
        </w:rPr>
        <w:t>.</w:t>
      </w:r>
    </w:p>
    <w:p w:rsidR="00B27F69" w:rsidRPr="00B27F69" w:rsidRDefault="00B27F69" w:rsidP="002A1989">
      <w:pPr>
        <w:tabs>
          <w:tab w:val="left" w:pos="709"/>
        </w:tabs>
        <w:spacing w:before="0" w:after="0"/>
        <w:jc w:val="both"/>
        <w:rPr>
          <w:sz w:val="24"/>
          <w:szCs w:val="24"/>
        </w:rPr>
      </w:pPr>
      <w:r w:rsidRPr="00B27F69">
        <w:rPr>
          <w:sz w:val="24"/>
          <w:szCs w:val="24"/>
        </w:rPr>
        <w:t xml:space="preserve">В рамките на дейност 1 от проекта се изпълнява Споразумение за предоставяне на консултантски услуги сключено между МРРБ и Световна банка. В рамките на Споразумението са планирани за разработване 10 броя доклади. През месец октомври се стартира процедура по изменение на Споразумението, с което отпадна разработването на един от докладите на тема: „Доклад за изпълнение на дейностите по преоценка на публичните </w:t>
      </w:r>
      <w:proofErr w:type="spellStart"/>
      <w:r w:rsidRPr="00B27F69">
        <w:rPr>
          <w:sz w:val="24"/>
          <w:szCs w:val="24"/>
        </w:rPr>
        <w:t>ВиК</w:t>
      </w:r>
      <w:proofErr w:type="spellEnd"/>
      <w:r w:rsidRPr="00B27F69">
        <w:rPr>
          <w:sz w:val="24"/>
          <w:szCs w:val="24"/>
        </w:rPr>
        <w:t xml:space="preserve"> активи“.</w:t>
      </w:r>
    </w:p>
    <w:p w:rsidR="00B27F69" w:rsidRPr="00B27F69" w:rsidRDefault="00B27F69" w:rsidP="002A1989">
      <w:pPr>
        <w:spacing w:before="0" w:after="0"/>
        <w:jc w:val="both"/>
        <w:rPr>
          <w:sz w:val="24"/>
          <w:szCs w:val="24"/>
        </w:rPr>
      </w:pPr>
      <w:r w:rsidRPr="00B27F69">
        <w:rPr>
          <w:sz w:val="24"/>
          <w:szCs w:val="24"/>
        </w:rPr>
        <w:t xml:space="preserve">Дейност 2 - Създаване на Единна информационна система (ЕИС) за </w:t>
      </w:r>
      <w:proofErr w:type="spellStart"/>
      <w:r w:rsidRPr="00B27F69">
        <w:rPr>
          <w:sz w:val="24"/>
          <w:szCs w:val="24"/>
        </w:rPr>
        <w:t>ВиК</w:t>
      </w:r>
      <w:proofErr w:type="spellEnd"/>
      <w:r w:rsidRPr="00B27F69">
        <w:rPr>
          <w:sz w:val="24"/>
          <w:szCs w:val="24"/>
        </w:rPr>
        <w:t xml:space="preserve"> услугите и регистър на </w:t>
      </w:r>
      <w:proofErr w:type="spellStart"/>
      <w:r w:rsidRPr="00B27F69">
        <w:rPr>
          <w:sz w:val="24"/>
          <w:szCs w:val="24"/>
        </w:rPr>
        <w:t>ВиК</w:t>
      </w:r>
      <w:proofErr w:type="spellEnd"/>
      <w:r w:rsidRPr="00B27F69">
        <w:rPr>
          <w:sz w:val="24"/>
          <w:szCs w:val="24"/>
        </w:rPr>
        <w:t xml:space="preserve"> операторите и асоциациите по </w:t>
      </w:r>
      <w:proofErr w:type="spellStart"/>
      <w:r w:rsidRPr="00B27F69">
        <w:rPr>
          <w:sz w:val="24"/>
          <w:szCs w:val="24"/>
        </w:rPr>
        <w:t>ВиК</w:t>
      </w:r>
      <w:proofErr w:type="spellEnd"/>
      <w:r w:rsidRPr="00B27F69">
        <w:rPr>
          <w:sz w:val="24"/>
          <w:szCs w:val="24"/>
        </w:rPr>
        <w:t xml:space="preserve"> и Информационна система на </w:t>
      </w:r>
      <w:proofErr w:type="spellStart"/>
      <w:r w:rsidRPr="00B27F69">
        <w:rPr>
          <w:sz w:val="24"/>
          <w:szCs w:val="24"/>
        </w:rPr>
        <w:t>водностопанските</w:t>
      </w:r>
      <w:proofErr w:type="spellEnd"/>
      <w:r w:rsidRPr="00B27F69">
        <w:rPr>
          <w:sz w:val="24"/>
          <w:szCs w:val="24"/>
        </w:rPr>
        <w:t xml:space="preserve"> системи и съоръжения (ИС на ВСС).</w:t>
      </w:r>
    </w:p>
    <w:p w:rsidR="00B27F69" w:rsidRPr="00B27F69" w:rsidRDefault="00B27F69" w:rsidP="002A1989">
      <w:pPr>
        <w:tabs>
          <w:tab w:val="left" w:pos="709"/>
        </w:tabs>
        <w:spacing w:before="0" w:after="0"/>
        <w:jc w:val="both"/>
        <w:rPr>
          <w:sz w:val="24"/>
          <w:szCs w:val="24"/>
          <w:highlight w:val="green"/>
        </w:rPr>
      </w:pPr>
      <w:r w:rsidRPr="00B27F69">
        <w:rPr>
          <w:sz w:val="24"/>
          <w:szCs w:val="24"/>
        </w:rPr>
        <w:lastRenderedPageBreak/>
        <w:t xml:space="preserve">Дейност 3 - Укрепване на административния капацитет на заинтересованите страни в отрасъл </w:t>
      </w:r>
      <w:proofErr w:type="spellStart"/>
      <w:r w:rsidRPr="00B27F69">
        <w:rPr>
          <w:sz w:val="24"/>
          <w:szCs w:val="24"/>
        </w:rPr>
        <w:t>ВиК</w:t>
      </w:r>
      <w:proofErr w:type="spellEnd"/>
      <w:r w:rsidRPr="00B27F69">
        <w:rPr>
          <w:sz w:val="24"/>
          <w:szCs w:val="24"/>
        </w:rPr>
        <w:t>.</w:t>
      </w:r>
    </w:p>
    <w:p w:rsidR="00B27F69" w:rsidRPr="00B27F69" w:rsidRDefault="00B27F69" w:rsidP="002A1989">
      <w:pPr>
        <w:tabs>
          <w:tab w:val="left" w:pos="709"/>
        </w:tabs>
        <w:spacing w:before="0" w:after="0"/>
        <w:jc w:val="both"/>
        <w:rPr>
          <w:rFonts w:eastAsia="Calibri"/>
          <w:sz w:val="24"/>
          <w:szCs w:val="24"/>
          <w:highlight w:val="green"/>
          <w:lang w:eastAsia="en-US"/>
        </w:rPr>
      </w:pPr>
      <w:r w:rsidRPr="00B27F69">
        <w:rPr>
          <w:rFonts w:eastAsia="Calibri"/>
          <w:sz w:val="24"/>
          <w:szCs w:val="24"/>
          <w:lang w:eastAsia="en-US"/>
        </w:rPr>
        <w:t xml:space="preserve">Процедурата по Закона за обществени поръчки с предмет: „ Укрепване на капацитета на заинтересовани страни в отрасъл </w:t>
      </w:r>
      <w:proofErr w:type="spellStart"/>
      <w:r w:rsidRPr="00B27F69">
        <w:rPr>
          <w:rFonts w:eastAsia="Calibri"/>
          <w:sz w:val="24"/>
          <w:szCs w:val="24"/>
          <w:lang w:eastAsia="en-US"/>
        </w:rPr>
        <w:t>ВиК</w:t>
      </w:r>
      <w:proofErr w:type="spellEnd"/>
      <w:r w:rsidRPr="00B27F69">
        <w:rPr>
          <w:rFonts w:eastAsia="Calibri"/>
          <w:sz w:val="24"/>
          <w:szCs w:val="24"/>
          <w:lang w:eastAsia="en-US"/>
        </w:rPr>
        <w:t xml:space="preserve"> в четири обособени позиции“ се обяви на 21.08.2017 г. Предстои комисията да разгледа офертите на кандидатите и да обяви своите решения.</w:t>
      </w:r>
    </w:p>
    <w:p w:rsidR="00B27F69" w:rsidRPr="00B27F69" w:rsidRDefault="00B27F69" w:rsidP="002A1989">
      <w:pPr>
        <w:tabs>
          <w:tab w:val="left" w:pos="709"/>
        </w:tabs>
        <w:spacing w:before="0" w:after="0"/>
        <w:jc w:val="both"/>
        <w:rPr>
          <w:sz w:val="24"/>
          <w:szCs w:val="24"/>
        </w:rPr>
      </w:pPr>
      <w:r w:rsidRPr="00B27F69">
        <w:rPr>
          <w:sz w:val="24"/>
          <w:szCs w:val="24"/>
        </w:rPr>
        <w:t xml:space="preserve">Дейност 4 - Консултантски услуги за изготвяне на становища, анализи и документи, свързани с инвестиции, управление и предоставяне на </w:t>
      </w:r>
      <w:proofErr w:type="spellStart"/>
      <w:r w:rsidRPr="00B27F69">
        <w:rPr>
          <w:sz w:val="24"/>
          <w:szCs w:val="24"/>
        </w:rPr>
        <w:t>ВиК</w:t>
      </w:r>
      <w:proofErr w:type="spellEnd"/>
      <w:r w:rsidRPr="00B27F69">
        <w:rPr>
          <w:sz w:val="24"/>
          <w:szCs w:val="24"/>
        </w:rPr>
        <w:t xml:space="preserve"> услугите, и предложения за промени в приложимата нормативна уредба.</w:t>
      </w:r>
    </w:p>
    <w:p w:rsidR="00B27F69" w:rsidRPr="00B27F69" w:rsidRDefault="00B27F69" w:rsidP="002A1989">
      <w:pPr>
        <w:tabs>
          <w:tab w:val="left" w:pos="709"/>
        </w:tabs>
        <w:spacing w:before="0" w:after="0"/>
        <w:jc w:val="both"/>
        <w:rPr>
          <w:bCs/>
          <w:sz w:val="24"/>
          <w:szCs w:val="24"/>
        </w:rPr>
      </w:pPr>
      <w:r w:rsidRPr="00B27F69">
        <w:rPr>
          <w:b/>
          <w:sz w:val="24"/>
          <w:szCs w:val="24"/>
        </w:rPr>
        <w:t>ІV. Проекти, финансирани със средства от държавния бюджет –</w:t>
      </w:r>
      <w:r w:rsidRPr="00B27F69">
        <w:rPr>
          <w:sz w:val="24"/>
          <w:szCs w:val="24"/>
        </w:rPr>
        <w:t xml:space="preserve"> през отчетния период са извършени дейности, свързани с постигане на годишните цели. </w:t>
      </w:r>
    </w:p>
    <w:p w:rsidR="00B27F69" w:rsidRPr="00B27F69" w:rsidRDefault="00B27F69" w:rsidP="002A1989">
      <w:pPr>
        <w:tabs>
          <w:tab w:val="left" w:pos="709"/>
        </w:tabs>
        <w:spacing w:before="0" w:after="0"/>
        <w:jc w:val="both"/>
        <w:rPr>
          <w:bCs/>
          <w:sz w:val="24"/>
          <w:szCs w:val="24"/>
        </w:rPr>
      </w:pPr>
      <w:r w:rsidRPr="00B27F69">
        <w:rPr>
          <w:sz w:val="24"/>
          <w:szCs w:val="24"/>
        </w:rPr>
        <w:t>За 2017 г., от държавния бюджет, на дирекция „</w:t>
      </w:r>
      <w:proofErr w:type="spellStart"/>
      <w:r w:rsidRPr="00B27F69">
        <w:rPr>
          <w:sz w:val="24"/>
          <w:szCs w:val="24"/>
        </w:rPr>
        <w:t>ВиК</w:t>
      </w:r>
      <w:proofErr w:type="spellEnd"/>
      <w:r w:rsidRPr="00B27F69">
        <w:rPr>
          <w:sz w:val="24"/>
          <w:szCs w:val="24"/>
        </w:rPr>
        <w:t xml:space="preserve">“ са разпределени </w:t>
      </w:r>
      <w:r w:rsidRPr="00B27F69">
        <w:rPr>
          <w:bCs/>
          <w:sz w:val="24"/>
          <w:szCs w:val="24"/>
        </w:rPr>
        <w:t>26,8 млн. лв., и са усвоени общо 26,8 млн. лв., както следва:</w:t>
      </w:r>
    </w:p>
    <w:p w:rsidR="00B27F69" w:rsidRPr="00B27F69" w:rsidRDefault="00B27F69" w:rsidP="002A1989">
      <w:pPr>
        <w:numPr>
          <w:ilvl w:val="0"/>
          <w:numId w:val="51"/>
        </w:numPr>
        <w:tabs>
          <w:tab w:val="left" w:pos="851"/>
        </w:tabs>
        <w:spacing w:before="0" w:after="0"/>
        <w:ind w:left="0" w:firstLine="567"/>
        <w:jc w:val="both"/>
        <w:rPr>
          <w:bCs/>
          <w:sz w:val="24"/>
          <w:szCs w:val="24"/>
        </w:rPr>
      </w:pPr>
      <w:r w:rsidRPr="00B27F69">
        <w:rPr>
          <w:bCs/>
          <w:sz w:val="24"/>
          <w:szCs w:val="24"/>
        </w:rPr>
        <w:t>През отчетния период, в рамките на тази сума са подписани споразумения за капиталови трансфери към 42 общини: Благоевград, Банско, Варна, Велико Търново,  Разлог, Петрич, Гоце Делчев, Белослав, Аврен, Свищов, Севлиево, Габрово, Угърчин, Ардино, Дупница, Драгоман, Лом, Разград, Исперих, Русе, Котел, Симеоновград, Шумен, Казанлък, Хасково, Смолян, Минерални Бани, Правец, Луковит, Тутракан, Стражица, Пловдив, Ивайловград, Свиленград, Своге, Копривщица, Костинброд, Ботевград, Борино, Кайнарджа, както и Областна администрация Пловдив и Областна администрация Смолян за общо 26</w:t>
      </w:r>
      <w:r>
        <w:rPr>
          <w:bCs/>
          <w:sz w:val="24"/>
          <w:szCs w:val="24"/>
        </w:rPr>
        <w:t>,</w:t>
      </w:r>
      <w:r w:rsidRPr="00B27F69">
        <w:rPr>
          <w:bCs/>
          <w:sz w:val="24"/>
          <w:szCs w:val="24"/>
        </w:rPr>
        <w:t xml:space="preserve">9 </w:t>
      </w:r>
      <w:r>
        <w:rPr>
          <w:bCs/>
          <w:sz w:val="24"/>
          <w:szCs w:val="24"/>
        </w:rPr>
        <w:t>млн.</w:t>
      </w:r>
      <w:r w:rsidRPr="00B27F69">
        <w:rPr>
          <w:bCs/>
          <w:sz w:val="24"/>
          <w:szCs w:val="24"/>
        </w:rPr>
        <w:t>лв. През периода са трансферирани средства към общините общо в размер на  26,1 млн. лв. във връзка с изп</w:t>
      </w:r>
      <w:r>
        <w:rPr>
          <w:bCs/>
          <w:sz w:val="24"/>
          <w:szCs w:val="24"/>
        </w:rPr>
        <w:t xml:space="preserve">ълнение на конкретни </w:t>
      </w:r>
      <w:proofErr w:type="spellStart"/>
      <w:r>
        <w:rPr>
          <w:bCs/>
          <w:sz w:val="24"/>
          <w:szCs w:val="24"/>
        </w:rPr>
        <w:t>ВиК</w:t>
      </w:r>
      <w:proofErr w:type="spellEnd"/>
      <w:r>
        <w:rPr>
          <w:bCs/>
          <w:sz w:val="24"/>
          <w:szCs w:val="24"/>
        </w:rPr>
        <w:t xml:space="preserve"> обекти.</w:t>
      </w:r>
    </w:p>
    <w:p w:rsidR="00B27F69" w:rsidRPr="00B27F69" w:rsidRDefault="00B27F69" w:rsidP="002A1989">
      <w:pPr>
        <w:numPr>
          <w:ilvl w:val="0"/>
          <w:numId w:val="51"/>
        </w:numPr>
        <w:tabs>
          <w:tab w:val="left" w:pos="709"/>
          <w:tab w:val="left" w:pos="851"/>
        </w:tabs>
        <w:spacing w:before="0" w:after="0"/>
        <w:ind w:left="0" w:firstLine="567"/>
        <w:jc w:val="both"/>
        <w:rPr>
          <w:bCs/>
          <w:sz w:val="24"/>
          <w:szCs w:val="24"/>
        </w:rPr>
      </w:pPr>
      <w:r w:rsidRPr="00B27F69">
        <w:rPr>
          <w:bCs/>
          <w:sz w:val="24"/>
          <w:szCs w:val="24"/>
        </w:rPr>
        <w:t xml:space="preserve">МРРБ финансира изпълнението на обект „Мерки за възстановяване на проектната конструктивна устойчивост с дълготрайно обезпечаване </w:t>
      </w:r>
      <w:proofErr w:type="spellStart"/>
      <w:r w:rsidRPr="00B27F69">
        <w:rPr>
          <w:bCs/>
          <w:sz w:val="24"/>
          <w:szCs w:val="24"/>
        </w:rPr>
        <w:t>водоплътността</w:t>
      </w:r>
      <w:proofErr w:type="spellEnd"/>
      <w:r w:rsidRPr="00B27F69">
        <w:rPr>
          <w:bCs/>
          <w:sz w:val="24"/>
          <w:szCs w:val="24"/>
        </w:rPr>
        <w:t xml:space="preserve"> на стоманобетонната конструкция на надградената част на язовир "Христо Смирненски". През 2017 г. стартираха строително – монтажните работи, като през отчетния период са разплатени средства за СМР, СН и АН в размер на 0,2 млн. лв. Дейностите по обекта продължават и през 2018г.</w:t>
      </w:r>
    </w:p>
    <w:p w:rsidR="00B27F69" w:rsidRPr="00B27F69" w:rsidRDefault="00B27F69" w:rsidP="002A1989">
      <w:pPr>
        <w:spacing w:before="0" w:after="0"/>
        <w:jc w:val="both"/>
        <w:rPr>
          <w:b/>
          <w:bCs/>
          <w:sz w:val="24"/>
          <w:szCs w:val="24"/>
          <w:lang w:eastAsia="en-US"/>
        </w:rPr>
      </w:pPr>
      <w:r w:rsidRPr="00B27F69">
        <w:rPr>
          <w:b/>
          <w:bCs/>
          <w:sz w:val="24"/>
          <w:szCs w:val="24"/>
          <w:lang w:eastAsia="en-US"/>
        </w:rPr>
        <w:t>Политика в областта на подобряване на инвестиционния процес чрез усъвършенстване на информационните системи на кадастъра и имотния регистър, подобряване качеството на превантивния и текущ контрол в строителството</w:t>
      </w:r>
    </w:p>
    <w:p w:rsidR="00B27F69" w:rsidRPr="00B27F69" w:rsidRDefault="00B27F69" w:rsidP="002A1989">
      <w:pPr>
        <w:widowControl w:val="0"/>
        <w:spacing w:before="0" w:after="0"/>
        <w:jc w:val="both"/>
        <w:rPr>
          <w:bCs/>
          <w:sz w:val="24"/>
          <w:szCs w:val="24"/>
          <w:lang w:eastAsia="en-US"/>
        </w:rPr>
      </w:pPr>
      <w:r w:rsidRPr="00B27F69">
        <w:rPr>
          <w:bCs/>
          <w:sz w:val="24"/>
          <w:szCs w:val="24"/>
          <w:lang w:eastAsia="en-US"/>
        </w:rPr>
        <w:t>За изпълнението на тази политика за отчетния период 01.</w:t>
      </w:r>
      <w:proofErr w:type="spellStart"/>
      <w:r w:rsidRPr="00B27F69">
        <w:rPr>
          <w:bCs/>
          <w:sz w:val="24"/>
          <w:szCs w:val="24"/>
          <w:lang w:eastAsia="en-US"/>
        </w:rPr>
        <w:t>01</w:t>
      </w:r>
      <w:proofErr w:type="spellEnd"/>
      <w:r w:rsidRPr="00B27F69">
        <w:rPr>
          <w:bCs/>
          <w:sz w:val="24"/>
          <w:szCs w:val="24"/>
          <w:lang w:eastAsia="en-US"/>
        </w:rPr>
        <w:t>.2017 г. – 31.12.2017 г. са изразходвани бюджетни средства</w:t>
      </w:r>
      <w:r w:rsidRPr="00B27F69">
        <w:rPr>
          <w:bCs/>
          <w:color w:val="FF0000"/>
          <w:sz w:val="24"/>
          <w:szCs w:val="24"/>
          <w:lang w:eastAsia="en-US"/>
        </w:rPr>
        <w:t xml:space="preserve"> </w:t>
      </w:r>
      <w:r w:rsidRPr="00B27F69">
        <w:rPr>
          <w:bCs/>
          <w:sz w:val="24"/>
          <w:szCs w:val="24"/>
          <w:lang w:eastAsia="en-US"/>
        </w:rPr>
        <w:t xml:space="preserve">в размер на </w:t>
      </w:r>
      <w:r w:rsidRPr="00B27F69">
        <w:rPr>
          <w:b/>
          <w:bCs/>
          <w:sz w:val="24"/>
          <w:szCs w:val="24"/>
          <w:lang w:eastAsia="en-US"/>
        </w:rPr>
        <w:t>23,0 млн.</w:t>
      </w:r>
      <w:r w:rsidRPr="00B27F69">
        <w:rPr>
          <w:bCs/>
          <w:sz w:val="24"/>
          <w:szCs w:val="24"/>
          <w:lang w:eastAsia="en-US"/>
        </w:rPr>
        <w:t xml:space="preserve"> </w:t>
      </w:r>
      <w:r w:rsidRPr="00B27F69">
        <w:rPr>
          <w:b/>
          <w:bCs/>
          <w:sz w:val="24"/>
          <w:szCs w:val="24"/>
          <w:lang w:eastAsia="en-US"/>
        </w:rPr>
        <w:t>лв.</w:t>
      </w:r>
      <w:r w:rsidRPr="00B27F69">
        <w:rPr>
          <w:bCs/>
          <w:sz w:val="24"/>
          <w:szCs w:val="24"/>
          <w:lang w:eastAsia="en-US"/>
        </w:rPr>
        <w:t xml:space="preserve"> и средства в размер на </w:t>
      </w:r>
      <w:r w:rsidRPr="00B27F69">
        <w:rPr>
          <w:b/>
          <w:bCs/>
          <w:sz w:val="24"/>
          <w:szCs w:val="24"/>
          <w:lang w:eastAsia="en-US"/>
        </w:rPr>
        <w:t>1,3 млн. лв.,</w:t>
      </w:r>
      <w:r w:rsidRPr="00B27F69">
        <w:rPr>
          <w:bCs/>
          <w:sz w:val="24"/>
          <w:szCs w:val="24"/>
          <w:lang w:eastAsia="en-US"/>
        </w:rPr>
        <w:t xml:space="preserve"> като бенефициент по Оперативни програми.</w:t>
      </w:r>
    </w:p>
    <w:p w:rsidR="00B27F69" w:rsidRPr="00B27F69" w:rsidRDefault="00B27F69" w:rsidP="002A1989">
      <w:pPr>
        <w:widowControl w:val="0"/>
        <w:spacing w:before="0" w:after="0"/>
        <w:jc w:val="both"/>
        <w:rPr>
          <w:bCs/>
          <w:sz w:val="24"/>
          <w:szCs w:val="24"/>
          <w:lang w:eastAsia="en-US"/>
        </w:rPr>
      </w:pPr>
      <w:r w:rsidRPr="00B27F69">
        <w:rPr>
          <w:bCs/>
          <w:sz w:val="24"/>
          <w:szCs w:val="24"/>
          <w:lang w:eastAsia="en-US"/>
        </w:rPr>
        <w:t>Политиката се осъществява по две бюджетни  програми.</w:t>
      </w:r>
    </w:p>
    <w:p w:rsidR="00B27F69" w:rsidRPr="00B27F69" w:rsidRDefault="00B27F69" w:rsidP="002A1989">
      <w:pPr>
        <w:spacing w:before="0" w:after="0"/>
        <w:jc w:val="both"/>
        <w:rPr>
          <w:sz w:val="24"/>
          <w:szCs w:val="24"/>
        </w:rPr>
      </w:pPr>
      <w:r w:rsidRPr="00B27F69">
        <w:rPr>
          <w:b/>
          <w:bCs/>
          <w:sz w:val="24"/>
          <w:szCs w:val="24"/>
          <w:lang w:eastAsia="en-US"/>
        </w:rPr>
        <w:t>По програма „Нормативно регулиране и контрол на инвестиционния процес в строителството“ са усвоени бюджетни средства в размер на 7,4 млн. лв.</w:t>
      </w:r>
    </w:p>
    <w:p w:rsidR="00B27F69" w:rsidRPr="00B27F69" w:rsidRDefault="00B27F69" w:rsidP="002A1989">
      <w:pPr>
        <w:spacing w:before="0" w:after="0"/>
        <w:jc w:val="both"/>
        <w:rPr>
          <w:sz w:val="24"/>
          <w:szCs w:val="24"/>
        </w:rPr>
      </w:pPr>
      <w:r w:rsidRPr="00B27F69">
        <w:rPr>
          <w:b/>
          <w:sz w:val="24"/>
          <w:szCs w:val="24"/>
        </w:rPr>
        <w:t>Чрез тази програма</w:t>
      </w:r>
      <w:r w:rsidRPr="00B27F69">
        <w:rPr>
          <w:sz w:val="24"/>
          <w:szCs w:val="24"/>
        </w:rPr>
        <w:t xml:space="preserve"> се контролират всички строежи на територията на Република България, действията на общинската администрация и действията на участниците в строителния процес. </w:t>
      </w:r>
    </w:p>
    <w:p w:rsidR="00B27F69" w:rsidRPr="00B27F69" w:rsidRDefault="00B27F69" w:rsidP="002A1989">
      <w:pPr>
        <w:spacing w:before="0" w:after="0"/>
        <w:jc w:val="both"/>
        <w:rPr>
          <w:b/>
          <w:sz w:val="24"/>
          <w:szCs w:val="24"/>
          <w:lang w:eastAsia="en-US"/>
        </w:rPr>
      </w:pPr>
      <w:r w:rsidRPr="00B27F69">
        <w:rPr>
          <w:b/>
          <w:bCs/>
          <w:iCs/>
          <w:sz w:val="24"/>
          <w:szCs w:val="24"/>
          <w:lang w:eastAsia="en-US"/>
        </w:rPr>
        <w:t xml:space="preserve">3. </w:t>
      </w:r>
      <w:r w:rsidRPr="00B27F69">
        <w:rPr>
          <w:b/>
          <w:color w:val="000000"/>
          <w:sz w:val="24"/>
          <w:szCs w:val="24"/>
          <w:lang w:eastAsia="en-US"/>
        </w:rPr>
        <w:t>Въвеждане в експлоатация на строежите от I, II и III категория</w:t>
      </w:r>
    </w:p>
    <w:p w:rsidR="00B27F69" w:rsidRPr="00B27F69" w:rsidRDefault="00B27F69" w:rsidP="002A1989">
      <w:pPr>
        <w:spacing w:before="0" w:after="0"/>
        <w:jc w:val="both"/>
        <w:rPr>
          <w:sz w:val="24"/>
          <w:szCs w:val="24"/>
          <w:lang w:eastAsia="en-US"/>
        </w:rPr>
      </w:pPr>
      <w:r w:rsidRPr="00B27F69">
        <w:rPr>
          <w:sz w:val="24"/>
          <w:szCs w:val="24"/>
          <w:lang w:eastAsia="en-US"/>
        </w:rPr>
        <w:t>В резултат от изпълнение на програмата по въвеждане в експлоатация на строежите от І, ІІ и ІІІ категория през отчетния период са въведени в експлоатация общо</w:t>
      </w:r>
      <w:r w:rsidRPr="00B27F69">
        <w:rPr>
          <w:color w:val="000000"/>
          <w:sz w:val="24"/>
          <w:szCs w:val="24"/>
          <w:lang w:eastAsia="en-US"/>
        </w:rPr>
        <w:t xml:space="preserve"> 3119</w:t>
      </w:r>
      <w:r w:rsidRPr="00B27F69">
        <w:rPr>
          <w:sz w:val="24"/>
          <w:szCs w:val="24"/>
          <w:lang w:eastAsia="en-US"/>
        </w:rPr>
        <w:t xml:space="preserve"> строежи, за които са проведени държавни приемателни комисии и са издадени разрешения за ползване, </w:t>
      </w:r>
    </w:p>
    <w:p w:rsidR="00B27F69" w:rsidRPr="00B27F69" w:rsidRDefault="00B27F69" w:rsidP="002A1989">
      <w:pPr>
        <w:spacing w:before="0" w:after="0"/>
        <w:jc w:val="both"/>
        <w:rPr>
          <w:sz w:val="24"/>
          <w:szCs w:val="24"/>
          <w:lang w:eastAsia="en-US"/>
        </w:rPr>
      </w:pPr>
      <w:r w:rsidRPr="00B27F69">
        <w:rPr>
          <w:b/>
          <w:bCs/>
          <w:sz w:val="24"/>
          <w:szCs w:val="24"/>
          <w:lang w:eastAsia="en-US"/>
        </w:rPr>
        <w:t>По програма „Геодезия, картография и кадастър“ са усвоени бюджетни средства в размер на 15,5 млн. лв. и средства в размер на 1,3 млн. лв. като бенефициент.</w:t>
      </w:r>
    </w:p>
    <w:p w:rsidR="00B27F69" w:rsidRPr="00B27F69" w:rsidRDefault="00B27F69" w:rsidP="002A1989">
      <w:pPr>
        <w:spacing w:before="0" w:after="0"/>
        <w:jc w:val="both"/>
        <w:rPr>
          <w:sz w:val="24"/>
          <w:szCs w:val="24"/>
          <w:lang w:eastAsia="en-US"/>
        </w:rPr>
      </w:pPr>
      <w:r w:rsidRPr="00B27F69">
        <w:rPr>
          <w:b/>
          <w:bCs/>
          <w:iCs/>
          <w:color w:val="000000"/>
          <w:sz w:val="24"/>
          <w:szCs w:val="24"/>
          <w:lang w:bidi="bg-BG"/>
        </w:rPr>
        <w:lastRenderedPageBreak/>
        <w:t>Стратегическата цел</w:t>
      </w:r>
      <w:r w:rsidRPr="00B27F69">
        <w:rPr>
          <w:color w:val="000000"/>
          <w:sz w:val="24"/>
          <w:szCs w:val="24"/>
          <w:lang w:bidi="bg-BG"/>
        </w:rPr>
        <w:t xml:space="preserve"> е увеличаване покритието на Р. България е кадастрална карта и кадастрални регистри (КККР) и тяхното поддържане, актуализиране и съхраняването им в съответствие е утвърдения бюджет както и развитие на </w:t>
      </w:r>
      <w:proofErr w:type="spellStart"/>
      <w:r w:rsidRPr="00B27F69">
        <w:rPr>
          <w:color w:val="000000"/>
          <w:sz w:val="24"/>
          <w:szCs w:val="24"/>
          <w:lang w:bidi="bg-BG"/>
        </w:rPr>
        <w:t>геодезическата</w:t>
      </w:r>
      <w:proofErr w:type="spellEnd"/>
      <w:r w:rsidRPr="00B27F69">
        <w:rPr>
          <w:color w:val="000000"/>
          <w:sz w:val="24"/>
          <w:szCs w:val="24"/>
          <w:lang w:bidi="bg-BG"/>
        </w:rPr>
        <w:t xml:space="preserve"> и картографската информация с цел задоволяване на държавните потребности и обслужване на потребителите е нея.</w:t>
      </w:r>
    </w:p>
    <w:p w:rsidR="00B27F69" w:rsidRPr="00B27F69" w:rsidRDefault="00B27F69" w:rsidP="002A1989">
      <w:pPr>
        <w:keepNext/>
        <w:keepLines/>
        <w:widowControl w:val="0"/>
        <w:numPr>
          <w:ilvl w:val="0"/>
          <w:numId w:val="54"/>
        </w:numPr>
        <w:tabs>
          <w:tab w:val="left" w:pos="851"/>
        </w:tabs>
        <w:spacing w:before="0" w:after="0"/>
        <w:jc w:val="both"/>
        <w:rPr>
          <w:sz w:val="24"/>
          <w:szCs w:val="24"/>
          <w:lang w:eastAsia="en-US"/>
        </w:rPr>
      </w:pPr>
      <w:bookmarkStart w:id="25" w:name="bookmark5"/>
      <w:r w:rsidRPr="00B27F69">
        <w:rPr>
          <w:color w:val="000000"/>
          <w:sz w:val="24"/>
          <w:szCs w:val="24"/>
          <w:lang w:bidi="bg-BG"/>
        </w:rPr>
        <w:t>Продукти /услуги и дейности извършвани по програмата:</w:t>
      </w:r>
      <w:bookmarkEnd w:id="25"/>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Създаване и поддържане на кадастрална карта и кадастрални регистри</w:t>
      </w:r>
      <w:r w:rsidRPr="00B27F69">
        <w:rPr>
          <w:color w:val="000000"/>
          <w:sz w:val="24"/>
          <w:szCs w:val="24"/>
          <w:lang w:bidi="bg-BG"/>
        </w:rPr>
        <w:br/>
        <w:t>(КККР);</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Създаване на специализирани карти по Закона за устройството на</w:t>
      </w:r>
      <w:r w:rsidRPr="00B27F69">
        <w:rPr>
          <w:color w:val="000000"/>
          <w:sz w:val="24"/>
          <w:szCs w:val="24"/>
          <w:lang w:bidi="bg-BG"/>
        </w:rPr>
        <w:br/>
        <w:t>Черноморското крайбрежие;</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Геодезия и картография;</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Предоставяне на услуги на физически и юридически лица;</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Разработване на нормативни актове;</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Регистрация на правоспособни лица.</w:t>
      </w:r>
    </w:p>
    <w:p w:rsidR="00B27F69" w:rsidRPr="00B27F69" w:rsidRDefault="00B27F69" w:rsidP="002A1989">
      <w:pPr>
        <w:keepNext/>
        <w:keepLines/>
        <w:widowControl w:val="0"/>
        <w:numPr>
          <w:ilvl w:val="0"/>
          <w:numId w:val="54"/>
        </w:numPr>
        <w:tabs>
          <w:tab w:val="left" w:pos="851"/>
        </w:tabs>
        <w:spacing w:before="0" w:after="0"/>
        <w:jc w:val="both"/>
        <w:rPr>
          <w:sz w:val="24"/>
          <w:szCs w:val="24"/>
          <w:lang w:eastAsia="en-US"/>
        </w:rPr>
      </w:pPr>
      <w:bookmarkStart w:id="26" w:name="bookmark6"/>
      <w:r w:rsidRPr="00B27F69">
        <w:rPr>
          <w:color w:val="000000"/>
          <w:sz w:val="24"/>
          <w:szCs w:val="24"/>
          <w:lang w:bidi="bg-BG"/>
        </w:rPr>
        <w:t>Показателите за изпълнение на програмата:</w:t>
      </w:r>
      <w:bookmarkEnd w:id="26"/>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r w:rsidRPr="00B27F69">
        <w:rPr>
          <w:color w:val="000000"/>
          <w:sz w:val="24"/>
          <w:szCs w:val="24"/>
          <w:lang w:bidi="bg-BG"/>
        </w:rPr>
        <w:t>Подготвена е документация за провеждане на процедура за измерване на</w:t>
      </w:r>
      <w:r w:rsidRPr="00B27F69">
        <w:rPr>
          <w:color w:val="000000"/>
          <w:sz w:val="24"/>
          <w:szCs w:val="24"/>
          <w:lang w:bidi="bg-BG"/>
        </w:rPr>
        <w:br/>
        <w:t xml:space="preserve">оставащите 7 броя линии от Държавната </w:t>
      </w:r>
      <w:proofErr w:type="spellStart"/>
      <w:r w:rsidRPr="00B27F69">
        <w:rPr>
          <w:color w:val="000000"/>
          <w:sz w:val="24"/>
          <w:szCs w:val="24"/>
          <w:lang w:bidi="bg-BG"/>
        </w:rPr>
        <w:t>нивелачна</w:t>
      </w:r>
      <w:proofErr w:type="spellEnd"/>
      <w:r w:rsidRPr="00B27F69">
        <w:rPr>
          <w:color w:val="000000"/>
          <w:sz w:val="24"/>
          <w:szCs w:val="24"/>
          <w:lang w:bidi="bg-BG"/>
        </w:rPr>
        <w:t xml:space="preserve"> мрежа I клас;</w:t>
      </w:r>
    </w:p>
    <w:p w:rsidR="00B27F69" w:rsidRPr="00B27F69" w:rsidRDefault="00B27F69" w:rsidP="002A1989">
      <w:pPr>
        <w:widowControl w:val="0"/>
        <w:numPr>
          <w:ilvl w:val="0"/>
          <w:numId w:val="53"/>
        </w:numPr>
        <w:tabs>
          <w:tab w:val="left" w:pos="851"/>
          <w:tab w:val="left" w:pos="1479"/>
        </w:tabs>
        <w:spacing w:before="0" w:after="0"/>
        <w:jc w:val="both"/>
        <w:rPr>
          <w:sz w:val="24"/>
          <w:szCs w:val="24"/>
          <w:lang w:eastAsia="en-US"/>
        </w:rPr>
      </w:pPr>
      <w:r w:rsidRPr="00B27F69">
        <w:rPr>
          <w:color w:val="000000"/>
          <w:sz w:val="24"/>
          <w:szCs w:val="24"/>
          <w:lang w:bidi="bg-BG"/>
        </w:rPr>
        <w:t>Подготвена е документацията за участие в проект по създаване на цифрова</w:t>
      </w:r>
      <w:r w:rsidRPr="00B27F69">
        <w:rPr>
          <w:color w:val="000000"/>
          <w:sz w:val="24"/>
          <w:szCs w:val="24"/>
          <w:lang w:bidi="bg-BG"/>
        </w:rPr>
        <w:br/>
        <w:t>едромащабна топографска карта за определени приоритетни райони на</w:t>
      </w:r>
      <w:r w:rsidRPr="00B27F69">
        <w:rPr>
          <w:color w:val="000000"/>
          <w:sz w:val="24"/>
          <w:szCs w:val="24"/>
          <w:lang w:bidi="bg-BG"/>
        </w:rPr>
        <w:br/>
        <w:t xml:space="preserve">България съвместно с Норвежката картографска агенция </w:t>
      </w:r>
      <w:r w:rsidRPr="00B27F69">
        <w:rPr>
          <w:color w:val="000000"/>
          <w:sz w:val="24"/>
          <w:szCs w:val="24"/>
          <w:lang w:bidi="en-US"/>
        </w:rPr>
        <w:t>(</w:t>
      </w:r>
      <w:proofErr w:type="spellStart"/>
      <w:r w:rsidRPr="00B27F69">
        <w:rPr>
          <w:color w:val="000000"/>
          <w:sz w:val="24"/>
          <w:szCs w:val="24"/>
          <w:lang w:bidi="en-US"/>
        </w:rPr>
        <w:t>Kartverket</w:t>
      </w:r>
      <w:proofErr w:type="spellEnd"/>
      <w:r w:rsidRPr="00B27F69">
        <w:rPr>
          <w:color w:val="000000"/>
          <w:sz w:val="24"/>
          <w:szCs w:val="24"/>
          <w:lang w:bidi="en-US"/>
        </w:rPr>
        <w:t xml:space="preserve">) </w:t>
      </w:r>
      <w:r w:rsidRPr="00B27F69">
        <w:rPr>
          <w:color w:val="000000"/>
          <w:sz w:val="24"/>
          <w:szCs w:val="24"/>
          <w:lang w:bidi="bg-BG"/>
        </w:rPr>
        <w:t>и донорски</w:t>
      </w:r>
      <w:r w:rsidRPr="00B27F69">
        <w:rPr>
          <w:color w:val="000000"/>
          <w:sz w:val="24"/>
          <w:szCs w:val="24"/>
          <w:lang w:bidi="bg-BG"/>
        </w:rPr>
        <w:br/>
        <w:t xml:space="preserve">партньор от Исландия - </w:t>
      </w:r>
      <w:proofErr w:type="spellStart"/>
      <w:r w:rsidRPr="00B27F69">
        <w:rPr>
          <w:color w:val="000000"/>
          <w:sz w:val="24"/>
          <w:szCs w:val="24"/>
          <w:lang w:bidi="en-US"/>
        </w:rPr>
        <w:t>Register</w:t>
      </w:r>
      <w:proofErr w:type="spellEnd"/>
      <w:r w:rsidRPr="00B27F69">
        <w:rPr>
          <w:color w:val="000000"/>
          <w:sz w:val="24"/>
          <w:szCs w:val="24"/>
          <w:lang w:bidi="en-US"/>
        </w:rPr>
        <w:t xml:space="preserve"> </w:t>
      </w:r>
      <w:proofErr w:type="spellStart"/>
      <w:r w:rsidRPr="00B27F69">
        <w:rPr>
          <w:color w:val="000000"/>
          <w:sz w:val="24"/>
          <w:szCs w:val="24"/>
          <w:lang w:bidi="en-US"/>
        </w:rPr>
        <w:t>Island</w:t>
      </w:r>
      <w:proofErr w:type="spellEnd"/>
      <w:r w:rsidRPr="00B27F69">
        <w:rPr>
          <w:color w:val="000000"/>
          <w:sz w:val="24"/>
          <w:szCs w:val="24"/>
          <w:lang w:bidi="en-US"/>
        </w:rPr>
        <w:t xml:space="preserve"> (RI);</w:t>
      </w:r>
    </w:p>
    <w:p w:rsidR="00B27F69" w:rsidRPr="00B27F69" w:rsidRDefault="00B27F69" w:rsidP="002A1989">
      <w:pPr>
        <w:widowControl w:val="0"/>
        <w:numPr>
          <w:ilvl w:val="0"/>
          <w:numId w:val="53"/>
        </w:numPr>
        <w:tabs>
          <w:tab w:val="left" w:pos="851"/>
          <w:tab w:val="left" w:pos="1478"/>
        </w:tabs>
        <w:spacing w:before="0" w:after="0"/>
        <w:jc w:val="both"/>
        <w:rPr>
          <w:sz w:val="24"/>
          <w:szCs w:val="24"/>
          <w:lang w:eastAsia="en-US"/>
        </w:rPr>
      </w:pPr>
      <w:proofErr w:type="spellStart"/>
      <w:r w:rsidRPr="00B27F69">
        <w:rPr>
          <w:color w:val="000000"/>
          <w:sz w:val="24"/>
          <w:szCs w:val="24"/>
          <w:lang w:bidi="bg-BG"/>
        </w:rPr>
        <w:t>Мареографни</w:t>
      </w:r>
      <w:proofErr w:type="spellEnd"/>
      <w:r w:rsidRPr="00B27F69">
        <w:rPr>
          <w:color w:val="000000"/>
          <w:sz w:val="24"/>
          <w:szCs w:val="24"/>
          <w:lang w:bidi="bg-BG"/>
        </w:rPr>
        <w:t xml:space="preserve"> измервания се извършват в 2 </w:t>
      </w:r>
      <w:proofErr w:type="spellStart"/>
      <w:r w:rsidRPr="00B27F69">
        <w:rPr>
          <w:color w:val="000000"/>
          <w:sz w:val="24"/>
          <w:szCs w:val="24"/>
          <w:lang w:bidi="bg-BG"/>
        </w:rPr>
        <w:t>марсографни</w:t>
      </w:r>
      <w:proofErr w:type="spellEnd"/>
      <w:r w:rsidRPr="00B27F69">
        <w:rPr>
          <w:color w:val="000000"/>
          <w:sz w:val="24"/>
          <w:szCs w:val="24"/>
          <w:lang w:bidi="bg-BG"/>
        </w:rPr>
        <w:t xml:space="preserve"> станции - Варна и</w:t>
      </w:r>
      <w:r w:rsidRPr="00B27F69">
        <w:rPr>
          <w:color w:val="000000"/>
          <w:sz w:val="24"/>
          <w:szCs w:val="24"/>
          <w:lang w:bidi="bg-BG"/>
        </w:rPr>
        <w:br/>
        <w:t>Бургас.</w:t>
      </w:r>
    </w:p>
    <w:p w:rsidR="00B27F69" w:rsidRPr="00B27F69" w:rsidRDefault="00B27F69" w:rsidP="002A1989">
      <w:pPr>
        <w:widowControl w:val="0"/>
        <w:tabs>
          <w:tab w:val="left" w:pos="1105"/>
        </w:tabs>
        <w:spacing w:before="0" w:after="0"/>
        <w:jc w:val="both"/>
        <w:rPr>
          <w:color w:val="000000"/>
          <w:sz w:val="24"/>
          <w:szCs w:val="24"/>
          <w:lang w:bidi="bg-BG"/>
        </w:rPr>
      </w:pPr>
      <w:r w:rsidRPr="00B27F69">
        <w:rPr>
          <w:b/>
          <w:bCs/>
          <w:color w:val="000000"/>
          <w:sz w:val="24"/>
          <w:szCs w:val="24"/>
          <w:lang w:bidi="bg-BG"/>
        </w:rPr>
        <w:t xml:space="preserve">Разходите по програмата за </w:t>
      </w:r>
      <w:r w:rsidRPr="00B27F69">
        <w:rPr>
          <w:color w:val="000000"/>
          <w:sz w:val="24"/>
          <w:szCs w:val="24"/>
          <w:lang w:bidi="bg-BG"/>
        </w:rPr>
        <w:t xml:space="preserve">2017 </w:t>
      </w:r>
      <w:r w:rsidRPr="00B27F69">
        <w:rPr>
          <w:b/>
          <w:bCs/>
          <w:color w:val="000000"/>
          <w:sz w:val="24"/>
          <w:szCs w:val="24"/>
          <w:lang w:bidi="bg-BG"/>
        </w:rPr>
        <w:t xml:space="preserve">г. </w:t>
      </w:r>
      <w:r w:rsidRPr="00B27F69">
        <w:rPr>
          <w:color w:val="000000"/>
          <w:sz w:val="24"/>
          <w:szCs w:val="24"/>
          <w:lang w:bidi="bg-BG"/>
        </w:rPr>
        <w:t xml:space="preserve">са в размер на </w:t>
      </w:r>
      <w:r w:rsidRPr="00B27F69">
        <w:rPr>
          <w:bCs/>
          <w:color w:val="000000"/>
          <w:sz w:val="24"/>
          <w:szCs w:val="24"/>
          <w:lang w:bidi="bg-BG"/>
        </w:rPr>
        <w:t xml:space="preserve">16,8 млн. </w:t>
      </w:r>
      <w:r w:rsidRPr="00B27F69">
        <w:rPr>
          <w:color w:val="000000"/>
          <w:sz w:val="24"/>
          <w:szCs w:val="24"/>
          <w:lang w:bidi="bg-BG"/>
        </w:rPr>
        <w:t>лв. от които</w:t>
      </w:r>
      <w:r w:rsidRPr="00B27F69">
        <w:rPr>
          <w:color w:val="000000"/>
          <w:sz w:val="24"/>
          <w:szCs w:val="24"/>
          <w:lang w:bidi="bg-BG"/>
        </w:rPr>
        <w:br/>
      </w:r>
      <w:r w:rsidRPr="00B27F69">
        <w:rPr>
          <w:bCs/>
          <w:color w:val="000000"/>
          <w:sz w:val="24"/>
          <w:szCs w:val="24"/>
          <w:lang w:bidi="bg-BG"/>
        </w:rPr>
        <w:t>15,5</w:t>
      </w:r>
      <w:r>
        <w:rPr>
          <w:bCs/>
          <w:color w:val="000000"/>
          <w:sz w:val="24"/>
          <w:szCs w:val="24"/>
          <w:lang w:bidi="bg-BG"/>
        </w:rPr>
        <w:t xml:space="preserve"> </w:t>
      </w:r>
      <w:r w:rsidRPr="00B27F69">
        <w:rPr>
          <w:color w:val="000000"/>
          <w:sz w:val="24"/>
          <w:szCs w:val="24"/>
          <w:lang w:bidi="bg-BG"/>
        </w:rPr>
        <w:t xml:space="preserve">млн.лв. са ведомствени разходи, </w:t>
      </w:r>
      <w:r w:rsidRPr="00B27F69">
        <w:rPr>
          <w:bCs/>
          <w:color w:val="000000"/>
          <w:sz w:val="24"/>
          <w:szCs w:val="24"/>
          <w:lang w:bidi="bg-BG"/>
        </w:rPr>
        <w:t xml:space="preserve">1,3 </w:t>
      </w:r>
      <w:r w:rsidRPr="00B27F69">
        <w:rPr>
          <w:color w:val="000000"/>
          <w:sz w:val="24"/>
          <w:szCs w:val="24"/>
          <w:lang w:bidi="bg-BG"/>
        </w:rPr>
        <w:t>млн.лв. са</w:t>
      </w:r>
      <w:r>
        <w:rPr>
          <w:color w:val="000000"/>
          <w:sz w:val="24"/>
          <w:szCs w:val="24"/>
          <w:lang w:bidi="bg-BG"/>
        </w:rPr>
        <w:t xml:space="preserve"> </w:t>
      </w:r>
      <w:r w:rsidRPr="00B27F69">
        <w:rPr>
          <w:color w:val="000000"/>
          <w:sz w:val="24"/>
          <w:szCs w:val="24"/>
          <w:lang w:bidi="bg-BG"/>
        </w:rPr>
        <w:t>ведомствени разходи по други бюджети и сметки за средства от ЕС (проект, изпълняван по Оперативна програма „Добро управление“), а 0,0</w:t>
      </w:r>
      <w:r w:rsidRPr="00B27F69">
        <w:rPr>
          <w:bCs/>
          <w:color w:val="000000"/>
          <w:sz w:val="24"/>
          <w:szCs w:val="24"/>
          <w:lang w:bidi="bg-BG"/>
        </w:rPr>
        <w:t>3</w:t>
      </w:r>
      <w:r w:rsidRPr="00B27F69">
        <w:rPr>
          <w:color w:val="000000"/>
          <w:sz w:val="24"/>
          <w:szCs w:val="24"/>
          <w:lang w:bidi="bg-BG"/>
        </w:rPr>
        <w:t xml:space="preserve"> млн.лв. са администрираните разходи по бюджета на АГКК (лихви по заем от Световна банка).</w:t>
      </w:r>
    </w:p>
    <w:p w:rsidR="00B27F69" w:rsidRPr="00B27F69" w:rsidRDefault="00B27F69" w:rsidP="002A1989">
      <w:pPr>
        <w:spacing w:before="0" w:after="0"/>
        <w:rPr>
          <w:b/>
          <w:sz w:val="24"/>
          <w:szCs w:val="24"/>
          <w:lang w:eastAsia="en-US"/>
        </w:rPr>
      </w:pPr>
      <w:r w:rsidRPr="00B27F69">
        <w:rPr>
          <w:b/>
          <w:sz w:val="24"/>
          <w:szCs w:val="24"/>
          <w:lang w:eastAsia="en-US"/>
        </w:rPr>
        <w:t>Други програми по бюджета на МРРБ – 3,7 млн. лв.</w:t>
      </w:r>
    </w:p>
    <w:p w:rsidR="00B27F69" w:rsidRPr="00B27F69" w:rsidRDefault="00B27F69" w:rsidP="00B27F69">
      <w:pPr>
        <w:spacing w:before="0" w:after="0"/>
        <w:jc w:val="both"/>
        <w:rPr>
          <w:b/>
          <w:bCs/>
          <w:sz w:val="24"/>
          <w:szCs w:val="24"/>
          <w:lang w:eastAsia="en-US"/>
        </w:rPr>
      </w:pPr>
      <w:r w:rsidRPr="00B27F69">
        <w:rPr>
          <w:b/>
          <w:bCs/>
          <w:sz w:val="24"/>
          <w:szCs w:val="24"/>
          <w:lang w:eastAsia="en-US"/>
        </w:rPr>
        <w:t xml:space="preserve">По програма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w:t>
      </w:r>
      <w:proofErr w:type="spellStart"/>
      <w:r w:rsidRPr="00B27F69">
        <w:rPr>
          <w:b/>
          <w:bCs/>
          <w:sz w:val="24"/>
          <w:szCs w:val="24"/>
          <w:lang w:eastAsia="en-US"/>
        </w:rPr>
        <w:t>концесионирането</w:t>
      </w:r>
      <w:proofErr w:type="spellEnd"/>
      <w:r w:rsidRPr="00B27F69">
        <w:rPr>
          <w:b/>
          <w:bCs/>
          <w:sz w:val="24"/>
          <w:szCs w:val="24"/>
          <w:lang w:eastAsia="en-US"/>
        </w:rPr>
        <w:t>“ са усвоени бюджетни средства в размер на  0,6 млн. лв.</w:t>
      </w:r>
    </w:p>
    <w:p w:rsidR="00B27F69" w:rsidRPr="00B27F69" w:rsidRDefault="00B27F69" w:rsidP="00B27F69">
      <w:pPr>
        <w:spacing w:before="0" w:after="0"/>
        <w:jc w:val="both"/>
        <w:rPr>
          <w:sz w:val="24"/>
          <w:szCs w:val="24"/>
          <w:lang w:eastAsia="en-US"/>
        </w:rPr>
      </w:pPr>
      <w:r w:rsidRPr="00B27F69">
        <w:rPr>
          <w:b/>
          <w:bCs/>
          <w:sz w:val="24"/>
          <w:szCs w:val="24"/>
          <w:lang w:eastAsia="en-US"/>
        </w:rPr>
        <w:t>По програма „Гражданска регистрация и административно обслужване на населението“ са усвоени бюджетни средства в размер на 3,1 млн. лв.</w:t>
      </w:r>
    </w:p>
    <w:p w:rsidR="00B27F69" w:rsidRPr="00B27F69" w:rsidRDefault="00B27F69" w:rsidP="00B27F69">
      <w:pPr>
        <w:spacing w:before="0" w:after="0"/>
        <w:jc w:val="both"/>
        <w:rPr>
          <w:sz w:val="24"/>
          <w:szCs w:val="24"/>
          <w:lang w:eastAsia="en-US"/>
        </w:rPr>
      </w:pPr>
      <w:r w:rsidRPr="00B27F69">
        <w:rPr>
          <w:sz w:val="24"/>
          <w:szCs w:val="24"/>
          <w:lang w:eastAsia="en-US"/>
        </w:rPr>
        <w:t xml:space="preserve">Постигнатите резултати от изпълнението на </w:t>
      </w:r>
      <w:r w:rsidRPr="00B27F69">
        <w:rPr>
          <w:b/>
          <w:sz w:val="24"/>
          <w:szCs w:val="24"/>
          <w:lang w:eastAsia="en-US"/>
        </w:rPr>
        <w:t>програма „Гражданска регистрация и административно обслужване”</w:t>
      </w:r>
      <w:r w:rsidRPr="00B27F69">
        <w:rPr>
          <w:sz w:val="24"/>
          <w:szCs w:val="24"/>
          <w:lang w:eastAsia="en-US"/>
        </w:rPr>
        <w:t xml:space="preserve"> през 2017 г. съответстват на планираните, като в повечето от случаите ги надвишават. </w:t>
      </w:r>
    </w:p>
    <w:p w:rsidR="00B27F69" w:rsidRPr="00B27F69" w:rsidRDefault="00B27F69" w:rsidP="00B27F69">
      <w:pPr>
        <w:spacing w:before="0" w:after="0"/>
        <w:jc w:val="both"/>
        <w:rPr>
          <w:sz w:val="24"/>
          <w:szCs w:val="24"/>
          <w:lang w:eastAsia="en-US" w:bidi="gu-IN"/>
        </w:rPr>
      </w:pPr>
      <w:r w:rsidRPr="00B27F69">
        <w:rPr>
          <w:sz w:val="24"/>
          <w:szCs w:val="24"/>
          <w:lang w:eastAsia="en-US"/>
        </w:rPr>
        <w:t xml:space="preserve">В резултат от изпълнението на програмата </w:t>
      </w:r>
      <w:r w:rsidRPr="00B27F69">
        <w:rPr>
          <w:sz w:val="24"/>
          <w:szCs w:val="24"/>
          <w:lang w:eastAsia="en-US" w:bidi="gu-IN"/>
        </w:rPr>
        <w:t xml:space="preserve">се осигурява актуалност на данните, които се ползват при административното обслужване на физическите лица и се предоставят на други институции за изпълнение на </w:t>
      </w:r>
      <w:proofErr w:type="spellStart"/>
      <w:r w:rsidRPr="00B27F69">
        <w:rPr>
          <w:sz w:val="24"/>
          <w:szCs w:val="24"/>
          <w:lang w:eastAsia="en-US" w:bidi="gu-IN"/>
        </w:rPr>
        <w:t>законоустановените</w:t>
      </w:r>
      <w:proofErr w:type="spellEnd"/>
      <w:r w:rsidRPr="00B27F69">
        <w:rPr>
          <w:sz w:val="24"/>
          <w:szCs w:val="24"/>
          <w:lang w:eastAsia="en-US" w:bidi="gu-IN"/>
        </w:rPr>
        <w:t xml:space="preserve"> им задълженията (Национална агенция по приходите, МВР, НОИ, НЗОК и др.). </w:t>
      </w:r>
    </w:p>
    <w:p w:rsidR="00B27F69" w:rsidRPr="00B27F69" w:rsidRDefault="00B27F69" w:rsidP="00B27F69">
      <w:pPr>
        <w:widowControl w:val="0"/>
        <w:adjustRightInd w:val="0"/>
        <w:spacing w:before="0" w:after="0"/>
        <w:jc w:val="both"/>
        <w:textAlignment w:val="baseline"/>
        <w:rPr>
          <w:sz w:val="24"/>
          <w:szCs w:val="24"/>
          <w:lang w:eastAsia="en-US"/>
        </w:rPr>
      </w:pPr>
      <w:r w:rsidRPr="00B27F69">
        <w:rPr>
          <w:sz w:val="24"/>
          <w:szCs w:val="24"/>
          <w:lang w:eastAsia="en-US"/>
        </w:rPr>
        <w:t xml:space="preserve">Развит и усъвършенстван е приложният софтуер за поддържаните от ГД ГРАО електронни регистри. Осигурена е точност, пълнота и </w:t>
      </w:r>
      <w:proofErr w:type="spellStart"/>
      <w:r w:rsidRPr="00B27F69">
        <w:rPr>
          <w:sz w:val="24"/>
          <w:szCs w:val="24"/>
          <w:lang w:eastAsia="en-US"/>
        </w:rPr>
        <w:t>взаимообвързаност</w:t>
      </w:r>
      <w:proofErr w:type="spellEnd"/>
      <w:r w:rsidRPr="00B27F69">
        <w:rPr>
          <w:sz w:val="24"/>
          <w:szCs w:val="24"/>
          <w:lang w:eastAsia="en-US"/>
        </w:rPr>
        <w:t xml:space="preserve"> на данните от гражданската регистрация и е осигурена адекватна защита на обработваните лични данни.  </w:t>
      </w:r>
    </w:p>
    <w:p w:rsidR="00B27F69" w:rsidRPr="00B27F69" w:rsidRDefault="00B27F69" w:rsidP="00B27F69">
      <w:pPr>
        <w:widowControl w:val="0"/>
        <w:adjustRightInd w:val="0"/>
        <w:spacing w:before="0" w:after="0"/>
        <w:jc w:val="both"/>
        <w:textAlignment w:val="baseline"/>
        <w:rPr>
          <w:sz w:val="24"/>
          <w:szCs w:val="24"/>
          <w:lang w:eastAsia="en-US"/>
        </w:rPr>
      </w:pPr>
      <w:r w:rsidRPr="00B27F69">
        <w:rPr>
          <w:sz w:val="24"/>
          <w:szCs w:val="24"/>
          <w:lang w:eastAsia="en-US"/>
        </w:rPr>
        <w:t>Изпълнението на програмата през 2017 г. е създало предпоставки за подобряване на контрола и методологията на дейностите, свързани с гражданската регистрация.</w:t>
      </w:r>
    </w:p>
    <w:p w:rsidR="00B27F69" w:rsidRPr="00B27F69" w:rsidRDefault="00B27F69" w:rsidP="00B27F69">
      <w:pPr>
        <w:spacing w:before="0" w:after="0"/>
        <w:jc w:val="both"/>
        <w:rPr>
          <w:sz w:val="24"/>
          <w:szCs w:val="24"/>
        </w:rPr>
      </w:pPr>
    </w:p>
    <w:p w:rsidR="006818F0" w:rsidRDefault="006818F0" w:rsidP="00056DFA">
      <w:pPr>
        <w:rPr>
          <w:sz w:val="24"/>
          <w:szCs w:val="24"/>
        </w:rPr>
      </w:pPr>
    </w:p>
    <w:p w:rsidR="00D86C17" w:rsidRPr="00D86C17" w:rsidRDefault="00D86C17" w:rsidP="00D86C17">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7" w:name="_Toc523492639"/>
      <w:r w:rsidRPr="00D86C17">
        <w:rPr>
          <w:rFonts w:ascii="Times New Roman" w:eastAsia="Batang" w:hAnsi="Times New Roman" w:cs="Times New Roman"/>
          <w:b/>
          <w:bCs/>
          <w:caps/>
          <w:lang w:val="bg-BG" w:eastAsia="ko-KR"/>
        </w:rPr>
        <w:lastRenderedPageBreak/>
        <w:t>Министерство на транспорта, информационните технологии и съобщенията</w:t>
      </w:r>
      <w:bookmarkEnd w:id="27"/>
    </w:p>
    <w:p w:rsidR="00D86C17" w:rsidRPr="00056DFA" w:rsidRDefault="00D86C17" w:rsidP="00D86C17">
      <w:pPr>
        <w:autoSpaceDE w:val="0"/>
        <w:autoSpaceDN w:val="0"/>
        <w:adjustRightInd w:val="0"/>
        <w:spacing w:before="0"/>
        <w:jc w:val="both"/>
        <w:rPr>
          <w:sz w:val="24"/>
          <w:szCs w:val="24"/>
        </w:rPr>
      </w:pPr>
      <w:r w:rsidRPr="00056DFA">
        <w:rPr>
          <w:sz w:val="24"/>
          <w:szCs w:val="24"/>
        </w:rPr>
        <w:t xml:space="preserve">Министерството на транспорта, информационните технологии и съобщенията /МТИТС/ осъществява своята дейност в две основни области на политика: Политика в областта на транспорта (264,7 млн.лв.) и Политика в областта на съобщенията и информационните технологии (39,7 млн.лв.). МТИТС изпълнява самостоятелна бюджетна програма „Административно обслужване, медицинска и психологическа експертиза”, в </w:t>
      </w:r>
      <w:proofErr w:type="spellStart"/>
      <w:r w:rsidRPr="00056DFA">
        <w:rPr>
          <w:sz w:val="24"/>
          <w:szCs w:val="24"/>
        </w:rPr>
        <w:t>коята</w:t>
      </w:r>
      <w:proofErr w:type="spellEnd"/>
      <w:r w:rsidRPr="00056DFA">
        <w:rPr>
          <w:sz w:val="24"/>
          <w:szCs w:val="24"/>
        </w:rPr>
        <w:t xml:space="preserve"> са отчетени средства в размер на 17,5 млн.лв. За реализирането на посочените политики са разходвани общо 321,9 млн.лв.</w:t>
      </w:r>
    </w:p>
    <w:p w:rsidR="00D86C17" w:rsidRPr="00056DFA" w:rsidRDefault="00D86C17" w:rsidP="00D86C17">
      <w:pPr>
        <w:autoSpaceDE w:val="0"/>
        <w:autoSpaceDN w:val="0"/>
        <w:adjustRightInd w:val="0"/>
        <w:spacing w:before="0"/>
        <w:jc w:val="both"/>
        <w:rPr>
          <w:b/>
          <w:sz w:val="24"/>
          <w:szCs w:val="24"/>
        </w:rPr>
      </w:pPr>
      <w:r w:rsidRPr="00056DFA">
        <w:rPr>
          <w:b/>
          <w:sz w:val="24"/>
          <w:szCs w:val="24"/>
        </w:rPr>
        <w:t>Политика в областта на транспорта</w:t>
      </w:r>
    </w:p>
    <w:p w:rsidR="00D86C17" w:rsidRPr="00056DFA" w:rsidRDefault="00D86C17" w:rsidP="00D86C17">
      <w:pPr>
        <w:autoSpaceDE w:val="0"/>
        <w:autoSpaceDN w:val="0"/>
        <w:adjustRightInd w:val="0"/>
        <w:spacing w:before="0" w:after="0"/>
        <w:jc w:val="both"/>
        <w:rPr>
          <w:b/>
          <w:i/>
          <w:sz w:val="24"/>
          <w:szCs w:val="24"/>
        </w:rPr>
      </w:pPr>
      <w:r w:rsidRPr="00056DFA">
        <w:rPr>
          <w:b/>
          <w:i/>
          <w:sz w:val="24"/>
          <w:szCs w:val="24"/>
        </w:rPr>
        <w:t>Бюджетна програма „Развитие и поддръжка на транспортната инфраструктура“- 54,2 млн.лв.</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 xml:space="preserve">Политиката в областта на транспорта е насочена към развитие на базисната транспортна инфраструктура, която е важно условие за поддържането на устойчив икономически растеж. Наред с основните приоритети на транспортната политика, МТИТС работи и за повишаването на качеството на предлаганите транспортни услуги и устойчивото развитие на транспорта. </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 xml:space="preserve">Министерството на транспорта, информационните технологии и съобщенията осъществява политиката в областта на транспорта в качеството си на Управляващ орган по Оперативна програма „Транспорт и транспортна инфраструктура” 2014-2020 г. /ОПТТИ/. Към 31.12.2017 г. по ОПТТИ са сключени/издадени 33 договора/заповеди за предоставяне на безвъзмездна </w:t>
      </w:r>
      <w:proofErr w:type="spellStart"/>
      <w:r w:rsidRPr="00056DFA">
        <w:rPr>
          <w:sz w:val="24"/>
          <w:szCs w:val="24"/>
        </w:rPr>
        <w:t>финасова</w:t>
      </w:r>
      <w:proofErr w:type="spellEnd"/>
      <w:r w:rsidRPr="00056DFA">
        <w:rPr>
          <w:sz w:val="24"/>
          <w:szCs w:val="24"/>
        </w:rPr>
        <w:t xml:space="preserve"> помощ в размер на 2 336 млн.лв. или 63,28 % от общия бюджет на програмата. На бенефициентите са изплатени 700,4 млн.лв., което е представлява почти 19% от бюджета на програмата. На 24.10.2017 г. по Оперативната програма е одобрен от Европейската комисия формулярът за кандидатстване за Автомагистрала „Струма“ (</w:t>
      </w:r>
      <w:proofErr w:type="spellStart"/>
      <w:r w:rsidRPr="00056DFA">
        <w:rPr>
          <w:sz w:val="24"/>
          <w:szCs w:val="24"/>
        </w:rPr>
        <w:t>Лот</w:t>
      </w:r>
      <w:proofErr w:type="spellEnd"/>
      <w:r w:rsidRPr="00056DFA">
        <w:rPr>
          <w:sz w:val="24"/>
          <w:szCs w:val="24"/>
        </w:rPr>
        <w:t xml:space="preserve"> 3.1, </w:t>
      </w:r>
      <w:proofErr w:type="spellStart"/>
      <w:r w:rsidRPr="00056DFA">
        <w:rPr>
          <w:sz w:val="24"/>
          <w:szCs w:val="24"/>
        </w:rPr>
        <w:t>Лот</w:t>
      </w:r>
      <w:proofErr w:type="spellEnd"/>
      <w:r w:rsidRPr="00056DFA">
        <w:rPr>
          <w:sz w:val="24"/>
          <w:szCs w:val="24"/>
        </w:rPr>
        <w:t xml:space="preserve"> 3.3 и Тунел „Железница“). Стартирали са и реалните строителни дейности по </w:t>
      </w:r>
      <w:proofErr w:type="spellStart"/>
      <w:r w:rsidRPr="00056DFA">
        <w:rPr>
          <w:sz w:val="24"/>
          <w:szCs w:val="24"/>
        </w:rPr>
        <w:t>Лот</w:t>
      </w:r>
      <w:proofErr w:type="spellEnd"/>
      <w:r w:rsidRPr="00056DFA">
        <w:rPr>
          <w:sz w:val="24"/>
          <w:szCs w:val="24"/>
        </w:rPr>
        <w:t xml:space="preserve"> 3.1 на проекта за Автомагистрала „Струма“, а </w:t>
      </w:r>
      <w:proofErr w:type="spellStart"/>
      <w:r w:rsidRPr="00056DFA">
        <w:rPr>
          <w:sz w:val="24"/>
          <w:szCs w:val="24"/>
        </w:rPr>
        <w:t>Лот</w:t>
      </w:r>
      <w:proofErr w:type="spellEnd"/>
      <w:r w:rsidRPr="00056DFA">
        <w:rPr>
          <w:sz w:val="24"/>
          <w:szCs w:val="24"/>
        </w:rPr>
        <w:t xml:space="preserve"> 3.3 е в напреднала фаза на </w:t>
      </w:r>
      <w:proofErr w:type="spellStart"/>
      <w:r w:rsidRPr="00056DFA">
        <w:rPr>
          <w:sz w:val="24"/>
          <w:szCs w:val="24"/>
        </w:rPr>
        <w:t>изпъленение</w:t>
      </w:r>
      <w:proofErr w:type="spellEnd"/>
      <w:r w:rsidRPr="00056DFA">
        <w:rPr>
          <w:sz w:val="24"/>
          <w:szCs w:val="24"/>
        </w:rPr>
        <w:t>.</w:t>
      </w:r>
    </w:p>
    <w:p w:rsidR="00D86C17" w:rsidRPr="00056DFA" w:rsidRDefault="00D86C17" w:rsidP="00D86C17">
      <w:pPr>
        <w:autoSpaceDE w:val="0"/>
        <w:autoSpaceDN w:val="0"/>
        <w:adjustRightInd w:val="0"/>
        <w:spacing w:before="0" w:after="0"/>
        <w:jc w:val="both"/>
        <w:rPr>
          <w:color w:val="000000"/>
          <w:sz w:val="24"/>
          <w:szCs w:val="24"/>
        </w:rPr>
      </w:pPr>
      <w:r w:rsidRPr="00056DFA">
        <w:rPr>
          <w:color w:val="000000"/>
          <w:sz w:val="24"/>
          <w:szCs w:val="24"/>
        </w:rPr>
        <w:t>Изпълнявани проекти по приоритетни оси:</w:t>
      </w:r>
    </w:p>
    <w:p w:rsidR="00D86C17" w:rsidRPr="00056DFA" w:rsidRDefault="00D86C17" w:rsidP="00D86C17">
      <w:pPr>
        <w:tabs>
          <w:tab w:val="num" w:pos="1440"/>
        </w:tabs>
        <w:autoSpaceDE w:val="0"/>
        <w:autoSpaceDN w:val="0"/>
        <w:adjustRightInd w:val="0"/>
        <w:spacing w:before="0" w:after="0"/>
        <w:jc w:val="both"/>
        <w:rPr>
          <w:b/>
          <w:sz w:val="24"/>
          <w:szCs w:val="24"/>
        </w:rPr>
      </w:pPr>
      <w:r w:rsidRPr="00056DFA">
        <w:rPr>
          <w:b/>
          <w:sz w:val="24"/>
          <w:szCs w:val="24"/>
        </w:rPr>
        <w:t xml:space="preserve">Приоритетна ос 1 </w:t>
      </w:r>
      <w:r w:rsidRPr="00056DFA">
        <w:rPr>
          <w:sz w:val="24"/>
          <w:szCs w:val="24"/>
        </w:rPr>
        <w:t>„Развитие на железопътната инфраструктура по Транс-европейските и основните национални транспортни оси”</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 xml:space="preserve">Възстановяване, ремонт и модернизация на </w:t>
      </w:r>
      <w:proofErr w:type="spellStart"/>
      <w:r w:rsidRPr="003F2D4F">
        <w:rPr>
          <w:bCs/>
          <w:sz w:val="24"/>
          <w:szCs w:val="24"/>
        </w:rPr>
        <w:t>тягови</w:t>
      </w:r>
      <w:proofErr w:type="spellEnd"/>
      <w:r w:rsidRPr="003F2D4F">
        <w:rPr>
          <w:bCs/>
          <w:sz w:val="24"/>
          <w:szCs w:val="24"/>
        </w:rPr>
        <w:t xml:space="preserve"> подстанции Бургас, Карнобат и Ямбол </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Изграждане на четири броя пътни надлези в железопътен участък Септември – Пловдив</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lang w:eastAsia="en-US"/>
        </w:rPr>
      </w:pPr>
      <w:r w:rsidRPr="003F2D4F">
        <w:rPr>
          <w:bCs/>
          <w:sz w:val="24"/>
          <w:szCs w:val="24"/>
          <w:lang w:eastAsia="en-US"/>
        </w:rPr>
        <w:t>Рехабилитация на железопътната инфраструктура по железопътната линия Пловдив –Бургас – Фаза 2</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Модернизация на железопътната линия София – Пловдив: жп участък Елин Пелин – Костенец</w:t>
      </w:r>
    </w:p>
    <w:p w:rsidR="00D86C17" w:rsidRPr="003F2D4F" w:rsidRDefault="00D86C17" w:rsidP="00D86C17">
      <w:pPr>
        <w:autoSpaceDE w:val="0"/>
        <w:autoSpaceDN w:val="0"/>
        <w:adjustRightInd w:val="0"/>
        <w:spacing w:before="0" w:after="0"/>
        <w:jc w:val="both"/>
        <w:rPr>
          <w:sz w:val="24"/>
          <w:szCs w:val="24"/>
        </w:rPr>
      </w:pPr>
      <w:r w:rsidRPr="003F2D4F">
        <w:rPr>
          <w:b/>
          <w:sz w:val="24"/>
          <w:szCs w:val="24"/>
        </w:rPr>
        <w:t xml:space="preserve">Приоритетна ос 2 </w:t>
      </w:r>
      <w:r w:rsidRPr="003F2D4F">
        <w:rPr>
          <w:sz w:val="24"/>
          <w:szCs w:val="24"/>
        </w:rPr>
        <w:t>„Развитие на пътната инфраструктура по „основната” и разширената Транс-европейска транспортна мрежа”</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 xml:space="preserve">Автомагистрала „Струма” </w:t>
      </w:r>
    </w:p>
    <w:p w:rsidR="00D86C17" w:rsidRPr="00056DFA" w:rsidRDefault="00D86C17" w:rsidP="00D86C17">
      <w:pPr>
        <w:autoSpaceDE w:val="0"/>
        <w:autoSpaceDN w:val="0"/>
        <w:adjustRightInd w:val="0"/>
        <w:spacing w:before="0" w:after="0"/>
        <w:jc w:val="both"/>
        <w:rPr>
          <w:sz w:val="24"/>
          <w:szCs w:val="24"/>
        </w:rPr>
      </w:pPr>
      <w:r w:rsidRPr="00056DFA">
        <w:rPr>
          <w:b/>
          <w:sz w:val="24"/>
          <w:szCs w:val="24"/>
        </w:rPr>
        <w:t>Приоритетна ос 3</w:t>
      </w:r>
      <w:r w:rsidRPr="00056DFA">
        <w:rPr>
          <w:sz w:val="24"/>
          <w:szCs w:val="24"/>
        </w:rPr>
        <w:t xml:space="preserve"> „Подобряване на </w:t>
      </w:r>
      <w:proofErr w:type="spellStart"/>
      <w:r w:rsidRPr="00056DFA">
        <w:rPr>
          <w:sz w:val="24"/>
          <w:szCs w:val="24"/>
        </w:rPr>
        <w:t>интермодалността</w:t>
      </w:r>
      <w:proofErr w:type="spellEnd"/>
      <w:r w:rsidRPr="00056DFA">
        <w:rPr>
          <w:sz w:val="24"/>
          <w:szCs w:val="24"/>
        </w:rPr>
        <w:t xml:space="preserve"> при превоза на пътници и товари и развитието на устойчив градски транспорт” </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 xml:space="preserve">Проект за разширение на метрото в София – трети </w:t>
      </w:r>
      <w:proofErr w:type="spellStart"/>
      <w:r w:rsidRPr="003F2D4F">
        <w:rPr>
          <w:sz w:val="24"/>
          <w:szCs w:val="24"/>
        </w:rPr>
        <w:t>метродиаметър</w:t>
      </w:r>
      <w:proofErr w:type="spellEnd"/>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Реконструкция на гарови комплекси Подуяне, Искър и Казичене</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Реконструкция на гаров комплекс Карнобат</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Реконструкция на гарови комплекси Стара Загора и Нова Загора</w:t>
      </w:r>
    </w:p>
    <w:p w:rsidR="00D86C17" w:rsidRPr="003F2D4F" w:rsidRDefault="00D86C17" w:rsidP="00D86C17">
      <w:pPr>
        <w:autoSpaceDE w:val="0"/>
        <w:autoSpaceDN w:val="0"/>
        <w:adjustRightInd w:val="0"/>
        <w:spacing w:before="0" w:after="0"/>
        <w:jc w:val="both"/>
        <w:rPr>
          <w:sz w:val="24"/>
          <w:szCs w:val="24"/>
        </w:rPr>
      </w:pPr>
      <w:r w:rsidRPr="003F2D4F">
        <w:rPr>
          <w:b/>
          <w:sz w:val="24"/>
          <w:szCs w:val="24"/>
        </w:rPr>
        <w:lastRenderedPageBreak/>
        <w:t>Приоритетна ос 4</w:t>
      </w:r>
      <w:r w:rsidRPr="003F2D4F">
        <w:rPr>
          <w:sz w:val="24"/>
          <w:szCs w:val="24"/>
        </w:rPr>
        <w:t xml:space="preserve">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 xml:space="preserve">Подобряване на системите за навигация и </w:t>
      </w:r>
      <w:proofErr w:type="spellStart"/>
      <w:r w:rsidRPr="003F2D4F">
        <w:rPr>
          <w:sz w:val="24"/>
          <w:szCs w:val="24"/>
        </w:rPr>
        <w:t>топохидрографните</w:t>
      </w:r>
      <w:proofErr w:type="spellEnd"/>
      <w:r w:rsidRPr="003F2D4F">
        <w:rPr>
          <w:sz w:val="24"/>
          <w:szCs w:val="24"/>
        </w:rPr>
        <w:t xml:space="preserve"> измервания по р. Дунав – Фаза 2</w:t>
      </w:r>
    </w:p>
    <w:p w:rsidR="00D86C17" w:rsidRPr="003F2D4F" w:rsidRDefault="00D86C17" w:rsidP="00D86C17">
      <w:pPr>
        <w:numPr>
          <w:ilvl w:val="0"/>
          <w:numId w:val="26"/>
        </w:numPr>
        <w:autoSpaceDE w:val="0"/>
        <w:autoSpaceDN w:val="0"/>
        <w:adjustRightInd w:val="0"/>
        <w:spacing w:before="0" w:after="0"/>
        <w:ind w:left="0" w:firstLine="567"/>
        <w:jc w:val="both"/>
        <w:rPr>
          <w:bCs/>
          <w:sz w:val="24"/>
          <w:szCs w:val="24"/>
        </w:rPr>
      </w:pPr>
      <w:r w:rsidRPr="003F2D4F">
        <w:rPr>
          <w:bCs/>
          <w:sz w:val="24"/>
          <w:szCs w:val="24"/>
        </w:rPr>
        <w:t xml:space="preserve">Разработване и внедряване на интелигентна транспортна система в обхвата на Автомагистрала „Тракия“ </w:t>
      </w:r>
    </w:p>
    <w:p w:rsidR="00D86C17" w:rsidRPr="003F2D4F" w:rsidRDefault="00D86C17" w:rsidP="00D86C17">
      <w:pPr>
        <w:autoSpaceDE w:val="0"/>
        <w:autoSpaceDN w:val="0"/>
        <w:adjustRightInd w:val="0"/>
        <w:spacing w:before="0" w:after="0"/>
        <w:jc w:val="both"/>
        <w:rPr>
          <w:b/>
          <w:bCs/>
          <w:sz w:val="24"/>
          <w:szCs w:val="24"/>
        </w:rPr>
      </w:pPr>
      <w:r w:rsidRPr="003F2D4F">
        <w:rPr>
          <w:b/>
          <w:bCs/>
          <w:sz w:val="24"/>
          <w:szCs w:val="24"/>
        </w:rPr>
        <w:t xml:space="preserve">Проекти, финансирани по Механизма за свързване на Европа </w:t>
      </w:r>
      <w:r w:rsidRPr="00BF123C">
        <w:rPr>
          <w:b/>
          <w:bCs/>
          <w:sz w:val="24"/>
          <w:szCs w:val="24"/>
        </w:rPr>
        <w:t>(</w:t>
      </w:r>
      <w:r w:rsidRPr="003F2D4F">
        <w:rPr>
          <w:b/>
          <w:bCs/>
          <w:sz w:val="24"/>
          <w:szCs w:val="24"/>
        </w:rPr>
        <w:t xml:space="preserve">с </w:t>
      </w:r>
      <w:r w:rsidRPr="003F2D4F">
        <w:rPr>
          <w:bCs/>
          <w:sz w:val="24"/>
          <w:szCs w:val="24"/>
        </w:rPr>
        <w:t>трансграничен ефект и  съпроводени с поети ангажименти за подходящи инвестиции от съответната съседна страна)</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 xml:space="preserve">Развитие на железопътен възел София – железопътен участък София – Волуяк </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Модернизация на железопътния участък София – Елин Пелин</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Модернизация на железопътния участък Костенец – Септември</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Развитие на железопътен възел Пловдив</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Модернизация на път І-8 „Калотина – Софийски околовръстен път“ от км 1+000 до км 15+500 и етапна връзка</w:t>
      </w:r>
    </w:p>
    <w:p w:rsidR="00D86C17" w:rsidRPr="003F2D4F" w:rsidRDefault="00D86C17" w:rsidP="00D86C17">
      <w:pPr>
        <w:numPr>
          <w:ilvl w:val="0"/>
          <w:numId w:val="26"/>
        </w:numPr>
        <w:autoSpaceDE w:val="0"/>
        <w:autoSpaceDN w:val="0"/>
        <w:adjustRightInd w:val="0"/>
        <w:spacing w:before="0" w:after="0"/>
        <w:ind w:left="0" w:firstLine="567"/>
        <w:jc w:val="both"/>
        <w:rPr>
          <w:sz w:val="24"/>
          <w:szCs w:val="24"/>
        </w:rPr>
      </w:pPr>
      <w:r w:rsidRPr="003F2D4F">
        <w:rPr>
          <w:sz w:val="24"/>
          <w:szCs w:val="24"/>
        </w:rPr>
        <w:t xml:space="preserve"> „</w:t>
      </w:r>
      <w:proofErr w:type="spellStart"/>
      <w:r w:rsidRPr="003F2D4F">
        <w:rPr>
          <w:sz w:val="24"/>
          <w:szCs w:val="24"/>
        </w:rPr>
        <w:t>FAIRway</w:t>
      </w:r>
      <w:proofErr w:type="spellEnd"/>
      <w:r w:rsidRPr="003F2D4F">
        <w:rPr>
          <w:sz w:val="24"/>
          <w:szCs w:val="24"/>
        </w:rPr>
        <w:t xml:space="preserve"> </w:t>
      </w:r>
      <w:proofErr w:type="spellStart"/>
      <w:r w:rsidRPr="003F2D4F">
        <w:rPr>
          <w:sz w:val="24"/>
          <w:szCs w:val="24"/>
        </w:rPr>
        <w:t>Danube</w:t>
      </w:r>
      <w:proofErr w:type="spellEnd"/>
      <w:r w:rsidRPr="003F2D4F">
        <w:rPr>
          <w:sz w:val="24"/>
          <w:szCs w:val="24"/>
        </w:rPr>
        <w:t xml:space="preserve">“ – Координирано изпълнение на Генералния план за рехабилитация и поддържане на плавателния път по р. Дунав и плавателните й притоци </w:t>
      </w:r>
    </w:p>
    <w:p w:rsidR="00D86C17" w:rsidRPr="003F2D4F" w:rsidRDefault="00D86C17" w:rsidP="00D86C17">
      <w:pPr>
        <w:spacing w:before="0" w:after="0"/>
        <w:jc w:val="both"/>
        <w:rPr>
          <w:sz w:val="24"/>
          <w:szCs w:val="24"/>
        </w:rPr>
      </w:pPr>
      <w:r w:rsidRPr="003F2D4F">
        <w:rPr>
          <w:sz w:val="24"/>
          <w:szCs w:val="24"/>
        </w:rPr>
        <w:t xml:space="preserve">По тази бюджетна програма през 2017 г. са изплатени допълнителни средства като капиталов трансфер на Национална компания „Железопътна инфраструктура“ в размер на 35 млн.лв. за приключване на железопътни проекти по Оперативна програма „Транспорт“ 2007-2013 г., одобрени с ПМС 223/13.10.2017 г. </w:t>
      </w:r>
    </w:p>
    <w:p w:rsidR="00D86C17" w:rsidRPr="003F2D4F" w:rsidRDefault="00D86C17" w:rsidP="00D86C17">
      <w:pPr>
        <w:spacing w:before="0" w:after="0"/>
        <w:jc w:val="both"/>
        <w:rPr>
          <w:sz w:val="24"/>
          <w:szCs w:val="24"/>
        </w:rPr>
      </w:pPr>
      <w:r w:rsidRPr="003F2D4F">
        <w:rPr>
          <w:b/>
          <w:sz w:val="24"/>
          <w:szCs w:val="24"/>
        </w:rPr>
        <w:t xml:space="preserve">Бюджетна програма „Организация, управление на транспорта, осигуряване на безопасност, сигурност и </w:t>
      </w:r>
      <w:proofErr w:type="spellStart"/>
      <w:r w:rsidRPr="003F2D4F">
        <w:rPr>
          <w:b/>
          <w:sz w:val="24"/>
          <w:szCs w:val="24"/>
        </w:rPr>
        <w:t>екологосъобразност</w:t>
      </w:r>
      <w:proofErr w:type="spellEnd"/>
      <w:r w:rsidRPr="003F2D4F">
        <w:rPr>
          <w:b/>
          <w:sz w:val="24"/>
          <w:szCs w:val="24"/>
        </w:rPr>
        <w:t>“ – 208,8 млн.лв.</w:t>
      </w:r>
    </w:p>
    <w:p w:rsidR="00D86C17" w:rsidRPr="003F2D4F" w:rsidRDefault="00D86C17" w:rsidP="00D86C17">
      <w:pPr>
        <w:spacing w:before="0" w:after="0"/>
        <w:jc w:val="both"/>
        <w:rPr>
          <w:sz w:val="24"/>
          <w:szCs w:val="24"/>
        </w:rPr>
      </w:pPr>
      <w:r w:rsidRPr="003F2D4F">
        <w:rPr>
          <w:sz w:val="24"/>
          <w:szCs w:val="24"/>
        </w:rPr>
        <w:t xml:space="preserve">По тази бюджетна програма МТИТС осъществява регулиране на достъпа до пазара и професията. През отчетния период при реализирането на тези функции са изготвени 72 броя маршрутни разписания, в т.ч. промени в съществуващи и откриване на нови автобусни линии/курсове и са закрити 34 броя маршрутни разписания; издадени са 55 бр. разрешителни на български и 27 бр. разрешителни на чуждестранни превозвачи за откриване на нови или продължаване действието на съществуващи международни автобусни линии; разпределени са 1 567 бр. еднократни разрешителни за извършване на случайни превози на пътници; предоставени са 74857 еднократни разрешителни на българските превозвачи, извършващи международни автомобилни превози на товари. Издадените многократни ЕКМТ/СЕМТ разрешителни за превоз на товари са 1 886 броя. При </w:t>
      </w:r>
      <w:proofErr w:type="spellStart"/>
      <w:r w:rsidRPr="003F2D4F">
        <w:rPr>
          <w:sz w:val="24"/>
          <w:szCs w:val="24"/>
        </w:rPr>
        <w:t>осъщестяването</w:t>
      </w:r>
      <w:proofErr w:type="spellEnd"/>
      <w:r w:rsidRPr="003F2D4F">
        <w:rPr>
          <w:sz w:val="24"/>
          <w:szCs w:val="24"/>
        </w:rPr>
        <w:t xml:space="preserve"> на дейностите по регулиране на достъпа до професията са издавани и актуализирани лицензи на Общността за международни превози на пътници и товари, лицензи за обществен превоз на пътници и товари на територията на Република България, удостоверения за регистрация на таксиметрови превози, удостоверения за психологическа годност на лицата с положително заключение от трето психологическо изследване.</w:t>
      </w:r>
    </w:p>
    <w:p w:rsidR="00D86C17" w:rsidRPr="003F2D4F" w:rsidRDefault="00D86C17" w:rsidP="00D86C17">
      <w:pPr>
        <w:spacing w:before="0" w:after="0"/>
        <w:ind w:right="-28"/>
        <w:jc w:val="both"/>
        <w:rPr>
          <w:b/>
          <w:sz w:val="24"/>
          <w:szCs w:val="24"/>
        </w:rPr>
      </w:pPr>
      <w:r w:rsidRPr="003F2D4F">
        <w:rPr>
          <w:sz w:val="24"/>
          <w:szCs w:val="24"/>
          <w:lang w:eastAsia="en-US"/>
        </w:rPr>
        <w:t>За реализиране на общодостъпен транспорт чрез бюджета на МТИТС са изплатени субсидии в размер на 173,1 млн.лв. на БДЖ „Пътнически превози” ЕООД като изпълнител по договора за извършване на обществени превозни услуги в областта на железопътния транспорт на територията на Република България. През 2017 г. с</w:t>
      </w:r>
      <w:r w:rsidRPr="003F2D4F">
        <w:rPr>
          <w:b/>
          <w:sz w:val="24"/>
          <w:szCs w:val="24"/>
        </w:rPr>
        <w:t xml:space="preserve"> </w:t>
      </w:r>
      <w:r w:rsidRPr="003F2D4F">
        <w:rPr>
          <w:sz w:val="24"/>
          <w:szCs w:val="24"/>
        </w:rPr>
        <w:t xml:space="preserve">бързи и пътнически влакове са превозени 20 058 млн. пътници и са реализирани  1 354,2 млн. </w:t>
      </w:r>
      <w:proofErr w:type="spellStart"/>
      <w:r w:rsidRPr="003F2D4F">
        <w:rPr>
          <w:sz w:val="24"/>
          <w:szCs w:val="24"/>
        </w:rPr>
        <w:t>пътниккилометри</w:t>
      </w:r>
      <w:proofErr w:type="spellEnd"/>
      <w:r w:rsidRPr="003F2D4F">
        <w:rPr>
          <w:sz w:val="24"/>
          <w:szCs w:val="24"/>
        </w:rPr>
        <w:t>. В сравнение със 2016 г. се отчита намаление с 1,32% на превозените пътници.</w:t>
      </w:r>
    </w:p>
    <w:p w:rsidR="00D86C17" w:rsidRPr="00056DFA" w:rsidRDefault="00D86C17" w:rsidP="00D86C17">
      <w:pPr>
        <w:autoSpaceDE w:val="0"/>
        <w:autoSpaceDN w:val="0"/>
        <w:adjustRightInd w:val="0"/>
        <w:spacing w:before="0" w:after="0"/>
        <w:jc w:val="both"/>
        <w:rPr>
          <w:rFonts w:eastAsia="TimesNewRomanPS-BoldMT"/>
          <w:bCs/>
          <w:sz w:val="24"/>
          <w:szCs w:val="24"/>
        </w:rPr>
      </w:pPr>
      <w:r w:rsidRPr="003F2D4F">
        <w:rPr>
          <w:sz w:val="24"/>
          <w:szCs w:val="24"/>
        </w:rPr>
        <w:t>По тази програма МТИТС осъществява контрол и осигуряване на стандарти във</w:t>
      </w:r>
      <w:r w:rsidRPr="00056DFA">
        <w:rPr>
          <w:sz w:val="24"/>
          <w:szCs w:val="24"/>
        </w:rPr>
        <w:t xml:space="preserve"> всички видове транспорт – автомобилен, железопътен, въздушен и воден транспорт, </w:t>
      </w:r>
      <w:r w:rsidRPr="00056DFA">
        <w:rPr>
          <w:sz w:val="24"/>
          <w:szCs w:val="24"/>
        </w:rPr>
        <w:lastRenderedPageBreak/>
        <w:t xml:space="preserve">както и проучване и поддържане на водните пътища и управление при кризи и превенция на риска. В рамките на програмата се реализират полетите със специално предназначение от </w:t>
      </w:r>
      <w:proofErr w:type="spellStart"/>
      <w:r w:rsidRPr="00056DFA">
        <w:rPr>
          <w:sz w:val="24"/>
          <w:szCs w:val="24"/>
        </w:rPr>
        <w:t>Авиоотряд</w:t>
      </w:r>
      <w:proofErr w:type="spellEnd"/>
      <w:r w:rsidRPr="00056DFA">
        <w:rPr>
          <w:sz w:val="24"/>
          <w:szCs w:val="24"/>
        </w:rPr>
        <w:t xml:space="preserve"> 28, който за 2017 г. е изпълнил 320 полета, </w:t>
      </w:r>
      <w:proofErr w:type="spellStart"/>
      <w:r w:rsidRPr="00056DFA">
        <w:rPr>
          <w:sz w:val="24"/>
          <w:szCs w:val="24"/>
        </w:rPr>
        <w:t>п</w:t>
      </w:r>
      <w:r w:rsidRPr="00056DFA">
        <w:rPr>
          <w:rFonts w:eastAsia="TimesNewRomanPS-BoldMT"/>
          <w:bCs/>
          <w:sz w:val="24"/>
          <w:szCs w:val="24"/>
        </w:rPr>
        <w:t>ролетени</w:t>
      </w:r>
      <w:proofErr w:type="spellEnd"/>
      <w:r w:rsidRPr="00056DFA">
        <w:rPr>
          <w:rFonts w:eastAsia="TimesNewRomanPS-BoldMT"/>
          <w:bCs/>
          <w:sz w:val="24"/>
          <w:szCs w:val="24"/>
        </w:rPr>
        <w:t xml:space="preserve"> са 529,22 часа,</w:t>
      </w:r>
      <w:r w:rsidRPr="00056DFA">
        <w:rPr>
          <w:sz w:val="24"/>
          <w:szCs w:val="24"/>
        </w:rPr>
        <w:t xml:space="preserve"> п</w:t>
      </w:r>
      <w:r w:rsidRPr="00056DFA">
        <w:rPr>
          <w:rFonts w:eastAsia="TimesNewRomanPS-BoldMT"/>
          <w:bCs/>
          <w:sz w:val="24"/>
          <w:szCs w:val="24"/>
        </w:rPr>
        <w:t xml:space="preserve">роведени са 58 </w:t>
      </w:r>
      <w:proofErr w:type="spellStart"/>
      <w:r w:rsidRPr="00056DFA">
        <w:rPr>
          <w:rFonts w:eastAsia="TimesNewRomanPS-BoldMT"/>
          <w:bCs/>
          <w:sz w:val="24"/>
          <w:szCs w:val="24"/>
        </w:rPr>
        <w:t>тренажорни</w:t>
      </w:r>
      <w:proofErr w:type="spellEnd"/>
      <w:r w:rsidRPr="00056DFA">
        <w:rPr>
          <w:rFonts w:eastAsia="TimesNewRomanPS-BoldMT"/>
          <w:bCs/>
          <w:sz w:val="24"/>
          <w:szCs w:val="24"/>
        </w:rPr>
        <w:t xml:space="preserve"> подготовки, извършени са 107 проверки по самолети и 23 инспекции.</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 xml:space="preserve">С цел подобряване на организацията и управлението на транспорта са повишени изискванията и контрола при обучението и провеждането на изпитите на кандидатите за придобиване на правоспособност за управление на МПС, както и изискванията към извършването на периодичните прегледи за проверка на техническата изправност на ППС. В тази връзка в кабинетите на ИА „Автомобилна администрация” са изградени изпитни терминали и са оборудвани с автоматизирана система за откриване на електронни устройства. </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 xml:space="preserve">За повишаване нивото на безопасността, сигурността и качеството на предоставяните транспортни услуги се усъвършенства координацията на МТИТС, изпълнителните агенции и търговски дружества от системата на транспорта и съобщенията за превенция и реагиране при бедствия, терористични актове и инциденти. Извършват се проверки за установяване на състоянието на съоръженията с повишена опасност, монтирани и експлоатирани на територията на пристанищните комплекси. В резултат на превенцията не се допуска работа със съоръжения с повишена опасност, които не отговорят на изискванията. Предприемат се мерки за предотвратяване на пътнотранспортните произшествия чрез инсталиране на системи за </w:t>
      </w:r>
      <w:proofErr w:type="spellStart"/>
      <w:r w:rsidRPr="00056DFA">
        <w:rPr>
          <w:sz w:val="24"/>
          <w:szCs w:val="24"/>
        </w:rPr>
        <w:t>видеонаблюдение</w:t>
      </w:r>
      <w:proofErr w:type="spellEnd"/>
      <w:r w:rsidRPr="00056DFA">
        <w:rPr>
          <w:sz w:val="24"/>
          <w:szCs w:val="24"/>
        </w:rPr>
        <w:t xml:space="preserve"> на натоварени участъци, градски кръстовища и жп прелези и др. </w:t>
      </w:r>
    </w:p>
    <w:p w:rsidR="00D86C17" w:rsidRPr="00056DFA" w:rsidRDefault="00D86C17" w:rsidP="00D86C17">
      <w:pPr>
        <w:autoSpaceDE w:val="0"/>
        <w:autoSpaceDN w:val="0"/>
        <w:adjustRightInd w:val="0"/>
        <w:spacing w:before="0" w:after="0"/>
        <w:jc w:val="both"/>
        <w:rPr>
          <w:b/>
          <w:i/>
          <w:sz w:val="24"/>
          <w:szCs w:val="24"/>
        </w:rPr>
      </w:pPr>
      <w:r w:rsidRPr="00056DFA">
        <w:rPr>
          <w:b/>
          <w:i/>
          <w:sz w:val="24"/>
          <w:szCs w:val="24"/>
        </w:rPr>
        <w:t xml:space="preserve">Бюджетна програма „Търсене и спасяване във водния и въздушния транспорт“ – 1,5 млн.лв. </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Изграждането на системата за търсене и спасяване във водния и въздушния транспорт произтича от изискванията на Конвенцията за международното гражданско въздухоплаване, Международната конвенция за търсене и спасяване по море и Международната конвенция за безопасност на човешкия живот на море, вменяващи задължения за всяка от договарящите се държави за координиране на действията и оказване на помощ на въздухоплавателните средства и корабите търпящи бедствие на територията на страната или в отговорния район на Р</w:t>
      </w:r>
      <w:r w:rsidRPr="00056DFA">
        <w:rPr>
          <w:sz w:val="24"/>
          <w:szCs w:val="24"/>
          <w:lang w:val="en-US"/>
        </w:rPr>
        <w:t>e</w:t>
      </w:r>
      <w:r w:rsidRPr="00056DFA">
        <w:rPr>
          <w:sz w:val="24"/>
          <w:szCs w:val="24"/>
        </w:rPr>
        <w:t>публика България за търсене и спасяване в акваторията на Черно море.</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Чрез системата за търсене и спасяване във водния и въздушен транспорт се създава единна централизирана организация за управление на дейностите по координация на национално ниво, а при необходимост – за взаимодействие със съседни страни. Намиращата се в денонощен режим на готовност за действие и ефективно функционираща система е задължително условие за гарантиране надеждна и своевременна реакция за спасяване на пострадали хора в екстремални ситуации във водния и въздушен транспорт.</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 xml:space="preserve">При денонощен режим на работа </w:t>
      </w:r>
      <w:r w:rsidRPr="00056DFA">
        <w:rPr>
          <w:bCs/>
          <w:sz w:val="24"/>
          <w:szCs w:val="24"/>
        </w:rPr>
        <w:t xml:space="preserve">ГД ГВА </w:t>
      </w:r>
      <w:r w:rsidRPr="00056DFA">
        <w:rPr>
          <w:sz w:val="24"/>
          <w:szCs w:val="24"/>
        </w:rPr>
        <w:t xml:space="preserve">заедно с ИА „Морска администрация“ поддържа сили и средства в съвместния авиационен и морски координационен център за търсене и спасяване. В случаите на авиационни произшествия ръководи и координира операции по търсене и спасяване на човешки живот и оказва помощ на търпящи бедствие въздухоплавателни средства и хора във въздушното пространство на Р. България и на нейната сухоземна територия, както и в българския морски отговорен район за търсене и спасяване при авиационни произшествия и във вътрешните водни пътища на Р. България. ИА „Морска администрация“ през 2017 г. е обработила на 100% получените сигнали за бедствие, проведени са 40 бр. планови учения и тренировки. ГД ГВА в изпълнение на своите отговорности е извършила летателни проверки на средствата за навигация, комуникация, наблюдение и кацане. </w:t>
      </w:r>
    </w:p>
    <w:p w:rsidR="00D86C17" w:rsidRPr="00056DFA" w:rsidRDefault="00D86C17" w:rsidP="00D86C17">
      <w:pPr>
        <w:autoSpaceDE w:val="0"/>
        <w:autoSpaceDN w:val="0"/>
        <w:adjustRightInd w:val="0"/>
        <w:spacing w:after="0"/>
        <w:jc w:val="both"/>
        <w:rPr>
          <w:b/>
          <w:i/>
          <w:sz w:val="24"/>
          <w:szCs w:val="24"/>
        </w:rPr>
      </w:pPr>
      <w:r w:rsidRPr="00056DFA">
        <w:rPr>
          <w:b/>
          <w:i/>
          <w:sz w:val="24"/>
          <w:szCs w:val="24"/>
        </w:rPr>
        <w:lastRenderedPageBreak/>
        <w:t>Бюджетна програма „Разследване на произшествия във въздушния, водния и железопътния транспорт“ – 0,2 млн.лв.</w:t>
      </w:r>
    </w:p>
    <w:p w:rsidR="00D86C17" w:rsidRPr="00056DFA" w:rsidRDefault="00D86C17" w:rsidP="00D86C17">
      <w:pPr>
        <w:spacing w:before="0" w:after="0"/>
        <w:jc w:val="both"/>
        <w:rPr>
          <w:bCs/>
          <w:iCs/>
          <w:sz w:val="24"/>
          <w:szCs w:val="24"/>
        </w:rPr>
      </w:pPr>
      <w:r w:rsidRPr="00056DFA">
        <w:rPr>
          <w:sz w:val="24"/>
          <w:szCs w:val="24"/>
        </w:rPr>
        <w:t xml:space="preserve">Целите на програмата включват повишаване на нивото на безопасност на въздушния транспорт посредством разследване на авиационни произшествия, сериозни инциденти, контрол върху разследваните от ГД „ГВА” и авиационните оператори инциденти, определяне на мерки за безопасност и осъществяване на превантивна дейност; повишаване на нивото на безопасност на морския транспорт чрез извършване на </w:t>
      </w:r>
      <w:r w:rsidRPr="00056DFA">
        <w:rPr>
          <w:sz w:val="24"/>
          <w:szCs w:val="24"/>
          <w:lang w:val="x-none"/>
        </w:rPr>
        <w:t>разследване</w:t>
      </w:r>
      <w:r w:rsidRPr="00056DFA">
        <w:rPr>
          <w:sz w:val="24"/>
          <w:szCs w:val="24"/>
        </w:rPr>
        <w:t xml:space="preserve"> в съответствие с </w:t>
      </w:r>
      <w:r w:rsidRPr="00056DFA">
        <w:rPr>
          <w:sz w:val="24"/>
          <w:szCs w:val="24"/>
          <w:lang w:val="x-none"/>
        </w:rPr>
        <w:t>Н</w:t>
      </w:r>
      <w:r w:rsidRPr="00056DFA">
        <w:rPr>
          <w:sz w:val="24"/>
          <w:szCs w:val="24"/>
        </w:rPr>
        <w:t>аредба</w:t>
      </w:r>
      <w:r w:rsidRPr="00056DFA">
        <w:rPr>
          <w:sz w:val="24"/>
          <w:szCs w:val="24"/>
          <w:lang w:val="x-none"/>
        </w:rPr>
        <w:t xml:space="preserve"> № 23</w:t>
      </w:r>
      <w:r w:rsidRPr="00056DFA">
        <w:rPr>
          <w:sz w:val="24"/>
          <w:szCs w:val="24"/>
        </w:rPr>
        <w:t xml:space="preserve"> от 24.10.2011 г. за установяване на обстоятелствата, при които е възникнало и протекло произшествието, установяване на причините и последствията от него, както и за предприемане на мерки за предотвратяване на подобно произшествие в бъдеще; подобряване на безопасността на железопътния транспорт чрез извършване на разследване с цел установяване на причините, довели до възникване на произшествия и инциденти в съответствие със Закона за железопътния транспорт и Наредба № 59 и даване на препоръки за безопасност с оглед недопускане на други произшествия в бъдеще;</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Специализираните звена за разследване на произшествия и инциденти във видовете транспорт са разследвали:</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 xml:space="preserve">авиационни произшествия с български ВС в страната и чужбина – </w:t>
      </w:r>
      <w:r w:rsidRPr="00BF123C">
        <w:rPr>
          <w:sz w:val="24"/>
          <w:szCs w:val="24"/>
        </w:rPr>
        <w:t>4</w:t>
      </w:r>
      <w:r w:rsidRPr="00056DFA">
        <w:rPr>
          <w:sz w:val="24"/>
          <w:szCs w:val="24"/>
        </w:rPr>
        <w:t>;</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 xml:space="preserve">авиационни произшествия с чужди ВС на българска територия – </w:t>
      </w:r>
      <w:r w:rsidRPr="00BF123C">
        <w:rPr>
          <w:sz w:val="24"/>
          <w:szCs w:val="24"/>
        </w:rPr>
        <w:t>1</w:t>
      </w:r>
      <w:r w:rsidRPr="00056DFA">
        <w:rPr>
          <w:sz w:val="24"/>
          <w:szCs w:val="24"/>
        </w:rPr>
        <w:t>;</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сериозни инциденти с чужди ВС на българска територия – 6;</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сериозни инциденти с български ВС в страната и чужбина – 3;</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много тежки морски произшествия – 5;</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тежки морски произшествия – 1;</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 xml:space="preserve">железопътни произшествия – 5 броя, </w:t>
      </w:r>
    </w:p>
    <w:p w:rsidR="00D86C17" w:rsidRPr="00056DFA" w:rsidRDefault="00D86C17" w:rsidP="00D86C17">
      <w:pPr>
        <w:numPr>
          <w:ilvl w:val="0"/>
          <w:numId w:val="27"/>
        </w:numPr>
        <w:autoSpaceDE w:val="0"/>
        <w:autoSpaceDN w:val="0"/>
        <w:adjustRightInd w:val="0"/>
        <w:spacing w:before="0" w:after="0"/>
        <w:ind w:left="0" w:firstLine="567"/>
        <w:jc w:val="both"/>
        <w:rPr>
          <w:sz w:val="24"/>
          <w:szCs w:val="24"/>
        </w:rPr>
      </w:pPr>
      <w:r w:rsidRPr="00056DFA">
        <w:rPr>
          <w:sz w:val="24"/>
          <w:szCs w:val="24"/>
        </w:rPr>
        <w:t>тежки железопътни произшествия -1.</w:t>
      </w:r>
    </w:p>
    <w:p w:rsidR="00D86C17" w:rsidRPr="00056DFA" w:rsidRDefault="00D86C17" w:rsidP="00D86C17">
      <w:pPr>
        <w:autoSpaceDE w:val="0"/>
        <w:autoSpaceDN w:val="0"/>
        <w:adjustRightInd w:val="0"/>
        <w:spacing w:after="0"/>
        <w:ind w:right="23"/>
        <w:jc w:val="both"/>
        <w:rPr>
          <w:b/>
          <w:sz w:val="24"/>
          <w:szCs w:val="24"/>
        </w:rPr>
      </w:pPr>
      <w:r w:rsidRPr="00056DFA">
        <w:rPr>
          <w:b/>
          <w:sz w:val="24"/>
          <w:szCs w:val="24"/>
        </w:rPr>
        <w:t>Политика в областта на съобщенията и информационните технологии – 39,7 млн.лв.</w:t>
      </w:r>
    </w:p>
    <w:p w:rsidR="00D86C17" w:rsidRPr="00056DFA" w:rsidRDefault="00D86C17" w:rsidP="00D86C17">
      <w:pPr>
        <w:autoSpaceDE w:val="0"/>
        <w:autoSpaceDN w:val="0"/>
        <w:adjustRightInd w:val="0"/>
        <w:spacing w:before="0" w:after="0"/>
        <w:jc w:val="both"/>
        <w:rPr>
          <w:b/>
          <w:i/>
          <w:sz w:val="24"/>
          <w:szCs w:val="24"/>
        </w:rPr>
      </w:pPr>
      <w:r w:rsidRPr="00056DFA">
        <w:rPr>
          <w:b/>
          <w:i/>
          <w:sz w:val="24"/>
          <w:szCs w:val="24"/>
        </w:rPr>
        <w:t>Бюджетна програма „Развитие на съобщенията и информационните технологии“- 39,7 млн.лв.</w:t>
      </w:r>
    </w:p>
    <w:p w:rsidR="00D86C17" w:rsidRPr="00056DFA" w:rsidRDefault="00D86C17" w:rsidP="00D86C17">
      <w:pPr>
        <w:autoSpaceDE w:val="0"/>
        <w:autoSpaceDN w:val="0"/>
        <w:adjustRightInd w:val="0"/>
        <w:spacing w:before="0" w:after="0"/>
        <w:jc w:val="both"/>
        <w:rPr>
          <w:i/>
          <w:sz w:val="24"/>
          <w:szCs w:val="24"/>
        </w:rPr>
      </w:pPr>
      <w:r w:rsidRPr="00056DFA">
        <w:rPr>
          <w:i/>
          <w:sz w:val="24"/>
          <w:szCs w:val="24"/>
        </w:rPr>
        <w:t>Съобщения</w:t>
      </w:r>
    </w:p>
    <w:p w:rsidR="00D86C17" w:rsidRPr="00056DFA" w:rsidRDefault="00D86C17" w:rsidP="00D86C17">
      <w:pPr>
        <w:autoSpaceDE w:val="0"/>
        <w:autoSpaceDN w:val="0"/>
        <w:adjustRightInd w:val="0"/>
        <w:spacing w:before="0" w:after="0"/>
        <w:jc w:val="both"/>
        <w:rPr>
          <w:sz w:val="24"/>
          <w:szCs w:val="24"/>
        </w:rPr>
      </w:pPr>
      <w:r w:rsidRPr="00056DFA">
        <w:rPr>
          <w:sz w:val="24"/>
          <w:szCs w:val="24"/>
        </w:rPr>
        <w:t>Стратегическата цел на политиката в областта на електронните съобщения е да осигури достъп на населението и бизнеса до съвременни, ефективни, качествени и сигурни електронни съобщителни услуги, а в пощенския сектор - устойчиво развитие на националния пощенския сектор чрез създаване на условия за функциониране на икономически стабилен пазар на пощенските услуги и предоставяне на съвременни и качествени пощенски услуги за обществото.</w:t>
      </w:r>
    </w:p>
    <w:p w:rsidR="00D86C17" w:rsidRPr="00056DFA" w:rsidRDefault="00D86C17" w:rsidP="00D86C17">
      <w:pPr>
        <w:spacing w:before="0" w:after="0"/>
        <w:jc w:val="both"/>
        <w:rPr>
          <w:sz w:val="24"/>
          <w:szCs w:val="24"/>
        </w:rPr>
      </w:pPr>
      <w:r w:rsidRPr="00056DFA">
        <w:rPr>
          <w:sz w:val="24"/>
          <w:szCs w:val="24"/>
        </w:rPr>
        <w:t xml:space="preserve">В изпълнение на тези стратегически цели през 2017 г. е изготвен проект на Закон за изменение и допълнение на Закона за електронните съобщения и Закон за електронните съобщителни мрежи и физическа инфраструктура, реализирани са участия в международни организации, като напр. Комитета по съобщения (COCOM) към ЕК; участия в работата на Комитета по </w:t>
      </w:r>
      <w:proofErr w:type="spellStart"/>
      <w:r w:rsidRPr="00056DFA">
        <w:rPr>
          <w:sz w:val="24"/>
          <w:szCs w:val="24"/>
        </w:rPr>
        <w:t>радиоспектъра</w:t>
      </w:r>
      <w:proofErr w:type="spellEnd"/>
      <w:r w:rsidRPr="00056DFA">
        <w:rPr>
          <w:sz w:val="24"/>
          <w:szCs w:val="24"/>
        </w:rPr>
        <w:t xml:space="preserve"> (RSC), работна група по политика на </w:t>
      </w:r>
      <w:proofErr w:type="spellStart"/>
      <w:r w:rsidRPr="00056DFA">
        <w:rPr>
          <w:sz w:val="24"/>
          <w:szCs w:val="24"/>
        </w:rPr>
        <w:t>радиоспектъра</w:t>
      </w:r>
      <w:proofErr w:type="spellEnd"/>
      <w:r w:rsidRPr="00056DFA">
        <w:rPr>
          <w:sz w:val="24"/>
          <w:szCs w:val="24"/>
        </w:rPr>
        <w:t xml:space="preserve"> (RSPG) към ЕК.</w:t>
      </w:r>
    </w:p>
    <w:p w:rsidR="00D86C17" w:rsidRPr="00056DFA" w:rsidRDefault="00D86C17" w:rsidP="00D86C17">
      <w:pPr>
        <w:spacing w:before="0" w:after="0"/>
        <w:jc w:val="both"/>
        <w:rPr>
          <w:sz w:val="24"/>
          <w:szCs w:val="24"/>
        </w:rPr>
      </w:pPr>
      <w:r w:rsidRPr="00056DFA">
        <w:rPr>
          <w:sz w:val="24"/>
          <w:szCs w:val="24"/>
        </w:rPr>
        <w:t xml:space="preserve">Дефинираната цел в пощенския сектор е устойчиво развитие, либерализиран пазар и поддържане на ефективна конкуренция. Политиката в сектора е насочена към гарантиране предоставянето на универсалната пощенска услуга. Това се реализира чрез планиране и предоставяне на необходимите средства на „Български пощи“ ЕАД, пощенският оператор със задължение за предоставяне на универсалната </w:t>
      </w:r>
      <w:proofErr w:type="spellStart"/>
      <w:r w:rsidRPr="00056DFA">
        <w:rPr>
          <w:sz w:val="24"/>
          <w:szCs w:val="24"/>
        </w:rPr>
        <w:t>пощеска</w:t>
      </w:r>
      <w:proofErr w:type="spellEnd"/>
      <w:r w:rsidRPr="00056DFA">
        <w:rPr>
          <w:sz w:val="24"/>
          <w:szCs w:val="24"/>
        </w:rPr>
        <w:t xml:space="preserve"> услуга, съгласно Закона за пощенските услуги. В изпълнение на задължението за компенсиране на несправедливата финансова тежест от изпълнението на универсалната пощенска услуга през 2017 г. на „Български пощи“ ЕАД са изплатени 38 млн.лв., от </w:t>
      </w:r>
      <w:r w:rsidRPr="00056DFA">
        <w:rPr>
          <w:sz w:val="24"/>
          <w:szCs w:val="24"/>
        </w:rPr>
        <w:lastRenderedPageBreak/>
        <w:t xml:space="preserve">които 13,4 млн.лв. за компенсация за наличието на несправедлива финансова тежест от извършването на универсалната пощенска услуга за 2015 г. и 24,6 млн.лв. за </w:t>
      </w:r>
      <w:proofErr w:type="spellStart"/>
      <w:r w:rsidRPr="00056DFA">
        <w:rPr>
          <w:sz w:val="24"/>
          <w:szCs w:val="24"/>
        </w:rPr>
        <w:t>докомпенсиране</w:t>
      </w:r>
      <w:proofErr w:type="spellEnd"/>
      <w:r w:rsidRPr="00056DFA">
        <w:rPr>
          <w:sz w:val="24"/>
          <w:szCs w:val="24"/>
        </w:rPr>
        <w:t xml:space="preserve"> на дружеството за извършваната от него универсална пощенска услуга за периода 2011-2014 г.</w:t>
      </w:r>
    </w:p>
    <w:p w:rsidR="00D86C17" w:rsidRPr="00056DFA" w:rsidRDefault="00D86C17" w:rsidP="00D86C17">
      <w:pPr>
        <w:widowControl w:val="0"/>
        <w:autoSpaceDE w:val="0"/>
        <w:autoSpaceDN w:val="0"/>
        <w:adjustRightInd w:val="0"/>
        <w:spacing w:after="0"/>
        <w:jc w:val="both"/>
        <w:rPr>
          <w:bCs/>
          <w:i/>
          <w:sz w:val="24"/>
          <w:szCs w:val="24"/>
        </w:rPr>
      </w:pPr>
      <w:r w:rsidRPr="00056DFA">
        <w:rPr>
          <w:bCs/>
          <w:i/>
          <w:sz w:val="24"/>
          <w:szCs w:val="24"/>
        </w:rPr>
        <w:t>Информационни технологии</w:t>
      </w:r>
    </w:p>
    <w:p w:rsidR="00D86C17" w:rsidRPr="00056DFA" w:rsidRDefault="00D86C17" w:rsidP="002A1989">
      <w:pPr>
        <w:autoSpaceDE w:val="0"/>
        <w:autoSpaceDN w:val="0"/>
        <w:adjustRightInd w:val="0"/>
        <w:spacing w:before="0" w:after="0"/>
        <w:jc w:val="both"/>
        <w:rPr>
          <w:sz w:val="24"/>
          <w:szCs w:val="24"/>
        </w:rPr>
      </w:pPr>
      <w:r w:rsidRPr="00056DFA">
        <w:rPr>
          <w:sz w:val="24"/>
          <w:szCs w:val="24"/>
        </w:rPr>
        <w:t>През 2017 г. дейностите по изпълнение на стратегическите цели на политиката са подчинени на разбирането, че развитието на информационните технологии е споделена цел. Широкото въвеждане и използване на електронни публични услуги подпомага за значителното намаляване на разходите, ускорява оборота, създава нови пазари, стимулира производството на продукти и услуги с висока добавена стойност. МТИТС координира процеса по прилагане на Стратегическата рамка за развитие на информационното общество в България до 2020 г., формира политиката</w:t>
      </w:r>
      <w:r w:rsidRPr="00056DFA">
        <w:rPr>
          <w:b/>
          <w:i/>
          <w:color w:val="339966"/>
          <w:sz w:val="24"/>
          <w:szCs w:val="24"/>
        </w:rPr>
        <w:t xml:space="preserve"> </w:t>
      </w:r>
      <w:r w:rsidRPr="00056DFA">
        <w:rPr>
          <w:sz w:val="24"/>
          <w:szCs w:val="24"/>
        </w:rPr>
        <w:t xml:space="preserve">за </w:t>
      </w:r>
      <w:proofErr w:type="spellStart"/>
      <w:r w:rsidRPr="00056DFA">
        <w:rPr>
          <w:sz w:val="24"/>
          <w:szCs w:val="24"/>
        </w:rPr>
        <w:t>разитие</w:t>
      </w:r>
      <w:proofErr w:type="spellEnd"/>
      <w:r w:rsidRPr="00056DFA">
        <w:rPr>
          <w:sz w:val="24"/>
          <w:szCs w:val="24"/>
        </w:rPr>
        <w:t xml:space="preserve"> на широколентовия достъп и изпълнение на приложни </w:t>
      </w:r>
      <w:proofErr w:type="spellStart"/>
      <w:r w:rsidRPr="00056DFA">
        <w:rPr>
          <w:sz w:val="24"/>
          <w:szCs w:val="24"/>
        </w:rPr>
        <w:t>поректи</w:t>
      </w:r>
      <w:proofErr w:type="spellEnd"/>
      <w:r w:rsidRPr="00056DFA">
        <w:rPr>
          <w:sz w:val="24"/>
          <w:szCs w:val="24"/>
        </w:rPr>
        <w:t xml:space="preserve"> в областта на информационните технологии и</w:t>
      </w:r>
      <w:r w:rsidRPr="00056DFA">
        <w:rPr>
          <w:b/>
          <w:i/>
          <w:color w:val="339966"/>
          <w:sz w:val="24"/>
          <w:szCs w:val="24"/>
        </w:rPr>
        <w:t xml:space="preserve"> </w:t>
      </w:r>
      <w:r w:rsidRPr="00056DFA">
        <w:rPr>
          <w:sz w:val="24"/>
          <w:szCs w:val="24"/>
        </w:rPr>
        <w:t xml:space="preserve">подпомага научните изследвания, технологичното развитие и иновациите в областта на </w:t>
      </w:r>
      <w:proofErr w:type="spellStart"/>
      <w:r w:rsidRPr="00056DFA">
        <w:rPr>
          <w:sz w:val="24"/>
          <w:szCs w:val="24"/>
        </w:rPr>
        <w:t>инфрмационните</w:t>
      </w:r>
      <w:proofErr w:type="spellEnd"/>
      <w:r w:rsidRPr="00056DFA">
        <w:rPr>
          <w:sz w:val="24"/>
          <w:szCs w:val="24"/>
        </w:rPr>
        <w:t xml:space="preserve"> и комуникационни технологии.</w:t>
      </w:r>
    </w:p>
    <w:p w:rsidR="00D86C17" w:rsidRPr="00056DFA" w:rsidRDefault="00D86C17" w:rsidP="002A1989">
      <w:pPr>
        <w:autoSpaceDE w:val="0"/>
        <w:autoSpaceDN w:val="0"/>
        <w:adjustRightInd w:val="0"/>
        <w:spacing w:before="0"/>
        <w:ind w:right="-30"/>
        <w:jc w:val="both"/>
        <w:rPr>
          <w:color w:val="000000"/>
          <w:sz w:val="24"/>
          <w:szCs w:val="24"/>
        </w:rPr>
      </w:pPr>
      <w:r w:rsidRPr="00056DFA">
        <w:rPr>
          <w:sz w:val="24"/>
          <w:szCs w:val="24"/>
        </w:rPr>
        <w:t xml:space="preserve">Добри показатели са постигнати при реализирането на стратегическа цел „Предоставяне на експертна подкрепа за организации от сектора на ИКТ, кандидатстващи по програмите на Европейската общност“. Ползите за българските участници – ИКТ фирми, университети, институти на БАН, държавни институции и неправителствени организации се изразяват не само в директната финансова помощ от Европейската общност, но и във възможностите за изграждане на делови партньорства, осигуряване на достъп до европейския и световен пазар и др. </w:t>
      </w:r>
      <w:r w:rsidRPr="00056DFA">
        <w:rPr>
          <w:rFonts w:eastAsia="TimesNewRomanPSMT"/>
          <w:color w:val="000000"/>
          <w:sz w:val="24"/>
          <w:szCs w:val="24"/>
        </w:rPr>
        <w:t>Одобреното финансиране за български участници по рамковите програми  на Европейската общност в областта на ИКТ (програма „ИКТ“ и програма „Наука с и за обществото“ от Рамковата програма „Хоризонт 2020“ и Механизма за свързване на Европа) са в размер на 2 206 552 евро</w:t>
      </w:r>
      <w:r w:rsidRPr="00056DFA">
        <w:rPr>
          <w:sz w:val="24"/>
          <w:szCs w:val="24"/>
        </w:rPr>
        <w:t>.</w:t>
      </w:r>
    </w:p>
    <w:p w:rsidR="00D86C17" w:rsidRPr="00056DFA" w:rsidRDefault="00D86C17" w:rsidP="00D86C17">
      <w:pPr>
        <w:spacing w:before="0" w:after="0"/>
        <w:ind w:right="-30"/>
        <w:jc w:val="both"/>
        <w:rPr>
          <w:b/>
          <w:i/>
          <w:sz w:val="24"/>
          <w:szCs w:val="24"/>
          <w:lang w:eastAsia="en-US"/>
        </w:rPr>
      </w:pPr>
      <w:r w:rsidRPr="00056DFA">
        <w:rPr>
          <w:b/>
          <w:i/>
          <w:sz w:val="24"/>
          <w:szCs w:val="24"/>
          <w:lang w:eastAsia="en-US"/>
        </w:rPr>
        <w:t>Бюджетна програма „Административно обслужване, медицинска и психологическа експертиза“ – 17,5 млн.лв.</w:t>
      </w:r>
    </w:p>
    <w:p w:rsidR="00D86C17" w:rsidRPr="00056DFA" w:rsidRDefault="00D86C17" w:rsidP="00D86C17">
      <w:pPr>
        <w:spacing w:before="0" w:after="0"/>
        <w:ind w:right="-30"/>
        <w:jc w:val="both"/>
        <w:rPr>
          <w:sz w:val="24"/>
          <w:szCs w:val="24"/>
          <w:lang w:eastAsia="en-US"/>
        </w:rPr>
      </w:pPr>
      <w:r w:rsidRPr="00056DFA">
        <w:rPr>
          <w:sz w:val="24"/>
          <w:szCs w:val="24"/>
          <w:lang w:eastAsia="en-US"/>
        </w:rPr>
        <w:t xml:space="preserve">По програмата Административно обслужване, медицинска и психологическа експертиза са отчетени средствата в размер 17,5 млн.лв., изразходвани за централната администрация на министерството, както и за транспортните болници в системата на МТИТС, в които през 2017 г. са извършени около 157 хил. експертни болнични прегледа и освидетелстване, преминали са 9 480 болни за стационарно лечение и са извършени 7 152 бр. психологически прегледи. </w:t>
      </w:r>
    </w:p>
    <w:p w:rsidR="006818F0" w:rsidRDefault="006818F0" w:rsidP="00056DFA">
      <w:pPr>
        <w:rPr>
          <w:sz w:val="24"/>
          <w:szCs w:val="24"/>
        </w:rPr>
      </w:pPr>
    </w:p>
    <w:p w:rsidR="006818F0" w:rsidRDefault="006818F0" w:rsidP="00056DFA">
      <w:pPr>
        <w:rPr>
          <w:sz w:val="24"/>
          <w:szCs w:val="24"/>
        </w:rPr>
      </w:pPr>
    </w:p>
    <w:p w:rsidR="004310B2" w:rsidRPr="00447CCE" w:rsidRDefault="004310B2" w:rsidP="007E4882">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8" w:name="_Toc523492640"/>
      <w:r w:rsidRPr="00447CCE">
        <w:rPr>
          <w:rFonts w:ascii="Times New Roman" w:eastAsia="Batang" w:hAnsi="Times New Roman" w:cs="Times New Roman"/>
          <w:b/>
          <w:bCs/>
          <w:caps/>
          <w:lang w:val="bg-BG" w:eastAsia="ko-KR"/>
        </w:rPr>
        <w:t>М</w:t>
      </w:r>
      <w:r w:rsidR="006818F0" w:rsidRPr="00447CCE">
        <w:rPr>
          <w:rFonts w:ascii="Times New Roman" w:eastAsia="Batang" w:hAnsi="Times New Roman" w:cs="Times New Roman"/>
          <w:b/>
          <w:bCs/>
          <w:caps/>
          <w:lang w:val="bg-BG" w:eastAsia="ko-KR"/>
        </w:rPr>
        <w:t>инистерство на младежта и спорта</w:t>
      </w:r>
      <w:bookmarkEnd w:id="28"/>
      <w:r w:rsidRPr="00447CCE">
        <w:rPr>
          <w:rFonts w:ascii="Times New Roman" w:eastAsia="Batang" w:hAnsi="Times New Roman" w:cs="Times New Roman"/>
          <w:b/>
          <w:bCs/>
          <w:caps/>
          <w:lang w:val="bg-BG" w:eastAsia="ko-KR"/>
        </w:rPr>
        <w:t xml:space="preserve"> </w:t>
      </w:r>
    </w:p>
    <w:p w:rsidR="004310B2" w:rsidRPr="00056DFA" w:rsidRDefault="004310B2" w:rsidP="00056DFA">
      <w:pPr>
        <w:tabs>
          <w:tab w:val="left" w:pos="360"/>
        </w:tabs>
        <w:spacing w:before="0" w:after="0"/>
        <w:jc w:val="both"/>
        <w:rPr>
          <w:sz w:val="24"/>
          <w:szCs w:val="24"/>
          <w:lang w:val="ru-RU"/>
        </w:rPr>
      </w:pPr>
      <w:r w:rsidRPr="00056DFA">
        <w:rPr>
          <w:sz w:val="24"/>
          <w:szCs w:val="24"/>
        </w:rPr>
        <w:t xml:space="preserve">Със Закона за държавния бюджет на Република България за 2017 г. и Постановление № 374 от 22 декември 2016 г. на Министерския съвет за изпълнението на държавния бюджет на Република България за 2017 г., разходите по бюджета на Министерство на </w:t>
      </w:r>
      <w:proofErr w:type="spellStart"/>
      <w:r w:rsidRPr="00056DFA">
        <w:rPr>
          <w:sz w:val="24"/>
          <w:szCs w:val="24"/>
        </w:rPr>
        <w:t>младежта</w:t>
      </w:r>
      <w:proofErr w:type="spellEnd"/>
      <w:r w:rsidRPr="00056DFA">
        <w:rPr>
          <w:sz w:val="24"/>
          <w:szCs w:val="24"/>
        </w:rPr>
        <w:t xml:space="preserve"> и спорта </w:t>
      </w:r>
      <w:r w:rsidRPr="00BF123C">
        <w:rPr>
          <w:sz w:val="24"/>
          <w:szCs w:val="24"/>
        </w:rPr>
        <w:t>(</w:t>
      </w:r>
      <w:r w:rsidRPr="00056DFA">
        <w:rPr>
          <w:sz w:val="24"/>
          <w:szCs w:val="24"/>
        </w:rPr>
        <w:t>ММС</w:t>
      </w:r>
      <w:r w:rsidRPr="00BF123C">
        <w:rPr>
          <w:sz w:val="24"/>
          <w:szCs w:val="24"/>
        </w:rPr>
        <w:t>)</w:t>
      </w:r>
      <w:r w:rsidRPr="00056DFA">
        <w:rPr>
          <w:sz w:val="24"/>
          <w:szCs w:val="24"/>
        </w:rPr>
        <w:t>, за 2017 г. са утвърдени по програми в рамките на пет области на политики:</w:t>
      </w:r>
    </w:p>
    <w:p w:rsidR="004310B2" w:rsidRPr="006818F0" w:rsidRDefault="004310B2" w:rsidP="006818F0">
      <w:pPr>
        <w:tabs>
          <w:tab w:val="left" w:pos="360"/>
        </w:tabs>
        <w:spacing w:before="0" w:after="0"/>
        <w:ind w:left="567" w:firstLine="0"/>
        <w:jc w:val="both"/>
        <w:rPr>
          <w:b/>
          <w:sz w:val="24"/>
          <w:szCs w:val="24"/>
        </w:rPr>
      </w:pPr>
      <w:r w:rsidRPr="006818F0">
        <w:rPr>
          <w:b/>
          <w:sz w:val="24"/>
          <w:szCs w:val="24"/>
        </w:rPr>
        <w:t>Политика в областта на спорта за учащи и спорта в свободното време</w:t>
      </w:r>
    </w:p>
    <w:p w:rsidR="004310B2" w:rsidRPr="00056DFA" w:rsidRDefault="004310B2" w:rsidP="006818F0">
      <w:pPr>
        <w:tabs>
          <w:tab w:val="left" w:pos="360"/>
          <w:tab w:val="num" w:pos="2157"/>
        </w:tabs>
        <w:spacing w:before="0" w:after="0"/>
        <w:ind w:left="567" w:firstLine="0"/>
        <w:jc w:val="both"/>
        <w:rPr>
          <w:sz w:val="24"/>
          <w:szCs w:val="24"/>
        </w:rPr>
      </w:pPr>
      <w:r w:rsidRPr="00056DFA">
        <w:rPr>
          <w:sz w:val="24"/>
          <w:szCs w:val="24"/>
        </w:rPr>
        <w:t>Бюджетна програма „Спорт за учащи”</w:t>
      </w:r>
    </w:p>
    <w:p w:rsidR="004310B2" w:rsidRPr="00056DFA" w:rsidRDefault="004310B2" w:rsidP="006818F0">
      <w:pPr>
        <w:tabs>
          <w:tab w:val="left" w:pos="360"/>
          <w:tab w:val="num" w:pos="2157"/>
        </w:tabs>
        <w:spacing w:before="0" w:after="0"/>
        <w:ind w:left="567" w:firstLine="0"/>
        <w:jc w:val="both"/>
        <w:rPr>
          <w:sz w:val="24"/>
          <w:szCs w:val="24"/>
        </w:rPr>
      </w:pPr>
      <w:r w:rsidRPr="00056DFA">
        <w:rPr>
          <w:sz w:val="24"/>
          <w:szCs w:val="24"/>
        </w:rPr>
        <w:t>Бюджетна програма ”Спорт в свободното време”</w:t>
      </w:r>
    </w:p>
    <w:p w:rsidR="004310B2" w:rsidRPr="006818F0" w:rsidRDefault="004310B2" w:rsidP="006818F0">
      <w:pPr>
        <w:tabs>
          <w:tab w:val="left" w:pos="360"/>
        </w:tabs>
        <w:spacing w:before="0" w:after="0"/>
        <w:ind w:left="567" w:firstLine="0"/>
        <w:jc w:val="both"/>
        <w:rPr>
          <w:b/>
          <w:sz w:val="24"/>
          <w:szCs w:val="24"/>
        </w:rPr>
      </w:pPr>
      <w:r w:rsidRPr="006818F0">
        <w:rPr>
          <w:b/>
          <w:sz w:val="24"/>
          <w:szCs w:val="24"/>
        </w:rPr>
        <w:t>Политика в областта на спорта за високи постижения</w:t>
      </w:r>
    </w:p>
    <w:p w:rsidR="004310B2" w:rsidRPr="00056DFA" w:rsidRDefault="004310B2" w:rsidP="006818F0">
      <w:pPr>
        <w:tabs>
          <w:tab w:val="left" w:pos="360"/>
        </w:tabs>
        <w:spacing w:before="0" w:after="0"/>
        <w:ind w:left="567" w:firstLine="0"/>
        <w:jc w:val="both"/>
        <w:rPr>
          <w:sz w:val="24"/>
          <w:szCs w:val="24"/>
        </w:rPr>
      </w:pPr>
      <w:r w:rsidRPr="00056DFA">
        <w:rPr>
          <w:sz w:val="24"/>
          <w:szCs w:val="24"/>
        </w:rPr>
        <w:t>Бюджетна програма „Олимпийска подготовка”</w:t>
      </w:r>
    </w:p>
    <w:p w:rsidR="004310B2" w:rsidRPr="00056DFA" w:rsidRDefault="004310B2" w:rsidP="006818F0">
      <w:pPr>
        <w:tabs>
          <w:tab w:val="left" w:pos="360"/>
        </w:tabs>
        <w:spacing w:before="0" w:after="0"/>
        <w:ind w:left="567" w:firstLine="0"/>
        <w:jc w:val="both"/>
        <w:rPr>
          <w:sz w:val="24"/>
          <w:szCs w:val="24"/>
        </w:rPr>
      </w:pPr>
      <w:r w:rsidRPr="00056DFA">
        <w:rPr>
          <w:sz w:val="24"/>
          <w:szCs w:val="24"/>
        </w:rPr>
        <w:t>Бюджетна програма „Спорт за високи постижения”</w:t>
      </w:r>
    </w:p>
    <w:p w:rsidR="004310B2" w:rsidRPr="006818F0" w:rsidRDefault="004310B2" w:rsidP="006818F0">
      <w:pPr>
        <w:tabs>
          <w:tab w:val="left" w:pos="360"/>
        </w:tabs>
        <w:spacing w:before="0" w:after="0"/>
        <w:jc w:val="both"/>
        <w:rPr>
          <w:b/>
          <w:sz w:val="24"/>
          <w:szCs w:val="24"/>
        </w:rPr>
      </w:pPr>
      <w:r w:rsidRPr="006818F0">
        <w:rPr>
          <w:b/>
          <w:sz w:val="24"/>
          <w:szCs w:val="24"/>
        </w:rPr>
        <w:lastRenderedPageBreak/>
        <w:t>Политика в областта на привеждането на спортните обекти и съоръжения във вид, отговарящ на съвременните международни стандарти</w:t>
      </w:r>
    </w:p>
    <w:p w:rsidR="004310B2" w:rsidRPr="00056DFA" w:rsidRDefault="004310B2" w:rsidP="006818F0">
      <w:pPr>
        <w:tabs>
          <w:tab w:val="left" w:pos="360"/>
        </w:tabs>
        <w:spacing w:before="0" w:after="0"/>
        <w:ind w:left="567" w:firstLine="0"/>
        <w:jc w:val="both"/>
        <w:rPr>
          <w:sz w:val="24"/>
          <w:szCs w:val="24"/>
        </w:rPr>
      </w:pPr>
      <w:r w:rsidRPr="00056DFA">
        <w:rPr>
          <w:sz w:val="24"/>
          <w:szCs w:val="24"/>
        </w:rPr>
        <w:t>Бюджетна програма „Спортни обекти и съоръжения”</w:t>
      </w:r>
    </w:p>
    <w:p w:rsidR="004310B2" w:rsidRPr="00D35AF7" w:rsidRDefault="004310B2" w:rsidP="00D35AF7">
      <w:pPr>
        <w:tabs>
          <w:tab w:val="left" w:pos="360"/>
        </w:tabs>
        <w:spacing w:before="0" w:after="0"/>
        <w:jc w:val="both"/>
        <w:rPr>
          <w:b/>
          <w:sz w:val="24"/>
          <w:szCs w:val="24"/>
        </w:rPr>
      </w:pPr>
      <w:r w:rsidRPr="00D35AF7">
        <w:rPr>
          <w:b/>
          <w:sz w:val="24"/>
          <w:szCs w:val="24"/>
        </w:rPr>
        <w:t>Политика в областта на усвояването и прилагането на добри международни практики  за спорта</w:t>
      </w:r>
    </w:p>
    <w:p w:rsidR="004310B2" w:rsidRPr="00056DFA" w:rsidRDefault="004310B2" w:rsidP="00D35AF7">
      <w:pPr>
        <w:tabs>
          <w:tab w:val="left" w:pos="360"/>
        </w:tabs>
        <w:spacing w:before="0" w:after="0"/>
        <w:ind w:left="567" w:firstLine="0"/>
        <w:jc w:val="both"/>
        <w:rPr>
          <w:sz w:val="24"/>
          <w:szCs w:val="24"/>
        </w:rPr>
      </w:pPr>
      <w:r w:rsidRPr="00056DFA">
        <w:rPr>
          <w:sz w:val="24"/>
          <w:szCs w:val="24"/>
        </w:rPr>
        <w:t>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туризъм”</w:t>
      </w:r>
    </w:p>
    <w:p w:rsidR="004310B2" w:rsidRPr="00D35AF7" w:rsidRDefault="004310B2" w:rsidP="00D35AF7">
      <w:pPr>
        <w:tabs>
          <w:tab w:val="left" w:pos="360"/>
        </w:tabs>
        <w:spacing w:before="0" w:after="0"/>
        <w:ind w:left="567" w:firstLine="0"/>
        <w:jc w:val="both"/>
        <w:rPr>
          <w:b/>
          <w:sz w:val="24"/>
          <w:szCs w:val="24"/>
        </w:rPr>
      </w:pPr>
      <w:r w:rsidRPr="00D35AF7">
        <w:rPr>
          <w:b/>
          <w:sz w:val="24"/>
          <w:szCs w:val="24"/>
        </w:rPr>
        <w:t>Политика в областта на младите хора</w:t>
      </w:r>
    </w:p>
    <w:p w:rsidR="004310B2" w:rsidRPr="00056DFA" w:rsidRDefault="004310B2" w:rsidP="00D35AF7">
      <w:pPr>
        <w:tabs>
          <w:tab w:val="left" w:pos="360"/>
        </w:tabs>
        <w:spacing w:before="0" w:after="0"/>
        <w:ind w:left="567" w:firstLine="0"/>
        <w:jc w:val="both"/>
        <w:rPr>
          <w:sz w:val="24"/>
          <w:szCs w:val="24"/>
        </w:rPr>
      </w:pPr>
      <w:r w:rsidRPr="00056DFA">
        <w:rPr>
          <w:sz w:val="24"/>
          <w:szCs w:val="24"/>
        </w:rPr>
        <w:t>Бюджетна програма „Младите в действие”</w:t>
      </w:r>
    </w:p>
    <w:p w:rsidR="00E926BB" w:rsidRPr="00056DFA" w:rsidRDefault="00E926BB" w:rsidP="00E926BB">
      <w:pPr>
        <w:tabs>
          <w:tab w:val="left" w:pos="360"/>
        </w:tabs>
        <w:spacing w:before="0" w:after="0"/>
        <w:jc w:val="both"/>
        <w:rPr>
          <w:sz w:val="24"/>
          <w:szCs w:val="24"/>
        </w:rPr>
      </w:pPr>
      <w:r w:rsidRPr="00056DFA">
        <w:rPr>
          <w:sz w:val="24"/>
          <w:szCs w:val="24"/>
        </w:rPr>
        <w:t>Отчетът за степента на изпълнение на утвърдените политики и програми за  2017 г. на ММС съдържа информация за разходи</w:t>
      </w:r>
      <w:r>
        <w:rPr>
          <w:sz w:val="24"/>
          <w:szCs w:val="24"/>
        </w:rPr>
        <w:t>те</w:t>
      </w:r>
      <w:r w:rsidRPr="00056DFA">
        <w:rPr>
          <w:sz w:val="24"/>
          <w:szCs w:val="24"/>
        </w:rPr>
        <w:t xml:space="preserve"> по програмите за развитие на младежките дейности, физическото възпитание и спорта, включително извършваните от средства от Европейския съюз и по други международни програми.  Отчетът за изпълнение на всяка отделна програма съдържа консолидирана информация за всички извършени разходи през 2017 г., независимо от източника на финансиране, допринасящи за изпълнението на дейностите и програмите, планирани в програмния и ориентиран към резултатите бюджет на Министерство на </w:t>
      </w:r>
      <w:proofErr w:type="spellStart"/>
      <w:r w:rsidRPr="00056DFA">
        <w:rPr>
          <w:sz w:val="24"/>
          <w:szCs w:val="24"/>
        </w:rPr>
        <w:t>младежта</w:t>
      </w:r>
      <w:proofErr w:type="spellEnd"/>
      <w:r w:rsidRPr="00056DFA">
        <w:rPr>
          <w:sz w:val="24"/>
          <w:szCs w:val="24"/>
        </w:rPr>
        <w:t xml:space="preserve"> и спорта. При отчитане изпълнението на всяка една от програмите са представени и отчетни данни по идентифицираните и дефинирани показатели за изпълнение.</w:t>
      </w:r>
    </w:p>
    <w:p w:rsidR="00E926BB" w:rsidRPr="00E926BB" w:rsidRDefault="00E926BB" w:rsidP="00E926BB">
      <w:pPr>
        <w:tabs>
          <w:tab w:val="left" w:pos="360"/>
          <w:tab w:val="left" w:pos="900"/>
          <w:tab w:val="num" w:pos="1440"/>
        </w:tabs>
        <w:spacing w:before="0" w:after="0"/>
        <w:jc w:val="both"/>
        <w:rPr>
          <w:sz w:val="24"/>
          <w:szCs w:val="24"/>
        </w:rPr>
      </w:pPr>
      <w:r w:rsidRPr="00E926BB">
        <w:rPr>
          <w:sz w:val="24"/>
          <w:szCs w:val="24"/>
        </w:rPr>
        <w:t xml:space="preserve">Утвърдените общи разходи със Закона за държавния бюджет за 2017 г. са в размер на 73,4 млн. лв. Във връзка с извършени корекции по бюджета на ММС по реда на чл. 109 и 110 от Закона за публичните финанси, към 31.12.2017 г., уточненият план на разходите възлиза на 81,7 млн. лв.  </w:t>
      </w:r>
    </w:p>
    <w:p w:rsidR="004310B2" w:rsidRPr="00056DFA" w:rsidRDefault="004310B2" w:rsidP="00056DFA">
      <w:pPr>
        <w:tabs>
          <w:tab w:val="num" w:pos="360"/>
        </w:tabs>
        <w:spacing w:before="0" w:after="0"/>
        <w:jc w:val="both"/>
        <w:rPr>
          <w:sz w:val="24"/>
          <w:szCs w:val="24"/>
        </w:rPr>
      </w:pPr>
      <w:r w:rsidRPr="00056DFA">
        <w:rPr>
          <w:sz w:val="24"/>
          <w:szCs w:val="24"/>
        </w:rPr>
        <w:t xml:space="preserve">При отчитане спецификата на дейностите и проектите, финансирани за провеждане на политиките в областта на </w:t>
      </w:r>
      <w:proofErr w:type="spellStart"/>
      <w:r w:rsidRPr="00056DFA">
        <w:rPr>
          <w:sz w:val="24"/>
          <w:szCs w:val="24"/>
        </w:rPr>
        <w:t>младежта</w:t>
      </w:r>
      <w:proofErr w:type="spellEnd"/>
      <w:r w:rsidRPr="00056DFA">
        <w:rPr>
          <w:sz w:val="24"/>
          <w:szCs w:val="24"/>
        </w:rPr>
        <w:t xml:space="preserve"> и спорта, отчетените общи бюджетни разходи за  2017 г. са на стойност 80,3 млн. лв. или изпълнението спрямо уточнения план възлиза на</w:t>
      </w:r>
      <w:r w:rsidRPr="00056DFA">
        <w:rPr>
          <w:sz w:val="24"/>
          <w:szCs w:val="24"/>
          <w:lang w:val="ru-RU"/>
        </w:rPr>
        <w:t xml:space="preserve"> </w:t>
      </w:r>
      <w:r w:rsidRPr="00056DFA">
        <w:rPr>
          <w:sz w:val="24"/>
          <w:szCs w:val="24"/>
        </w:rPr>
        <w:t>9</w:t>
      </w:r>
      <w:r w:rsidRPr="00BF123C">
        <w:rPr>
          <w:sz w:val="24"/>
          <w:szCs w:val="24"/>
        </w:rPr>
        <w:t>8</w:t>
      </w:r>
      <w:r w:rsidRPr="00056DFA">
        <w:rPr>
          <w:sz w:val="24"/>
          <w:szCs w:val="24"/>
        </w:rPr>
        <w:t>,</w:t>
      </w:r>
      <w:r w:rsidRPr="00BF123C">
        <w:rPr>
          <w:sz w:val="24"/>
          <w:szCs w:val="24"/>
        </w:rPr>
        <w:t>4</w:t>
      </w:r>
      <w:r w:rsidRPr="00056DFA">
        <w:rPr>
          <w:sz w:val="24"/>
          <w:szCs w:val="24"/>
        </w:rPr>
        <w:t xml:space="preserve">%. С най- висок относителен дял (66,4%) от общите разходи е изпълнението на субсидиите на организации с нестопанска цел, което произтича от спецификата на финансираните дейности. Изпълнението на общите бюджетни разходи за 2017 г. е в рамките на отпусканите лимити за разходи в системата за електронни бюджетни разплащания СЕБРА. </w:t>
      </w:r>
    </w:p>
    <w:p w:rsidR="00B56F3D" w:rsidRPr="00B56F3D" w:rsidRDefault="00B56F3D" w:rsidP="00B56F3D">
      <w:pPr>
        <w:tabs>
          <w:tab w:val="left" w:pos="360"/>
        </w:tabs>
        <w:spacing w:before="0" w:after="0"/>
        <w:jc w:val="both"/>
        <w:rPr>
          <w:sz w:val="24"/>
          <w:szCs w:val="24"/>
          <w:lang w:val="en-US"/>
        </w:rPr>
      </w:pPr>
      <w:r w:rsidRPr="00BF123C">
        <w:rPr>
          <w:sz w:val="24"/>
          <w:szCs w:val="24"/>
        </w:rPr>
        <w:t xml:space="preserve">                                                                                                       </w:t>
      </w:r>
      <w:r w:rsidRPr="00B56F3D">
        <w:rPr>
          <w:sz w:val="24"/>
          <w:szCs w:val="24"/>
        </w:rPr>
        <w:t>/в млн.лв./</w:t>
      </w:r>
    </w:p>
    <w:tbl>
      <w:tblPr>
        <w:tblStyle w:val="TableGrid"/>
        <w:tblW w:w="8755" w:type="dxa"/>
        <w:tblLayout w:type="fixed"/>
        <w:tblLook w:val="04A0" w:firstRow="1" w:lastRow="0" w:firstColumn="1" w:lastColumn="0" w:noHBand="0" w:noVBand="1"/>
      </w:tblPr>
      <w:tblGrid>
        <w:gridCol w:w="5637"/>
        <w:gridCol w:w="992"/>
        <w:gridCol w:w="1134"/>
        <w:gridCol w:w="992"/>
      </w:tblGrid>
      <w:tr w:rsidR="00B56F3D" w:rsidRPr="00B56F3D" w:rsidTr="001D352B">
        <w:tc>
          <w:tcPr>
            <w:tcW w:w="5637" w:type="dxa"/>
          </w:tcPr>
          <w:p w:rsidR="00B56F3D" w:rsidRPr="00B56F3D" w:rsidRDefault="00B56F3D" w:rsidP="00B56F3D">
            <w:pPr>
              <w:tabs>
                <w:tab w:val="left" w:pos="360"/>
              </w:tabs>
              <w:spacing w:before="0" w:after="0"/>
              <w:ind w:firstLine="0"/>
              <w:jc w:val="both"/>
              <w:rPr>
                <w:sz w:val="22"/>
                <w:szCs w:val="22"/>
              </w:rPr>
            </w:pPr>
          </w:p>
          <w:p w:rsidR="00B56F3D" w:rsidRPr="00B56F3D" w:rsidRDefault="00B56F3D" w:rsidP="00B56F3D">
            <w:pPr>
              <w:tabs>
                <w:tab w:val="left" w:pos="360"/>
              </w:tabs>
              <w:spacing w:before="0" w:after="0"/>
              <w:ind w:firstLine="0"/>
              <w:jc w:val="center"/>
              <w:rPr>
                <w:b/>
                <w:sz w:val="22"/>
                <w:szCs w:val="22"/>
              </w:rPr>
            </w:pPr>
            <w:r w:rsidRPr="00B56F3D">
              <w:rPr>
                <w:b/>
                <w:sz w:val="22"/>
                <w:szCs w:val="22"/>
              </w:rPr>
              <w:t>ОТЧЕТ НА РАЗХОДИТЕ ЗА 2017 г.</w:t>
            </w:r>
          </w:p>
          <w:p w:rsidR="00B56F3D" w:rsidRPr="00B56F3D" w:rsidRDefault="00B56F3D" w:rsidP="00B56F3D">
            <w:pPr>
              <w:tabs>
                <w:tab w:val="left" w:pos="360"/>
              </w:tabs>
              <w:spacing w:before="0" w:after="0"/>
              <w:ind w:firstLine="0"/>
              <w:jc w:val="both"/>
              <w:rPr>
                <w:sz w:val="22"/>
                <w:szCs w:val="22"/>
              </w:rPr>
            </w:pPr>
            <w:r w:rsidRPr="00B56F3D">
              <w:rPr>
                <w:sz w:val="22"/>
                <w:szCs w:val="22"/>
              </w:rPr>
              <w:t xml:space="preserve"> </w:t>
            </w:r>
          </w:p>
        </w:tc>
        <w:tc>
          <w:tcPr>
            <w:tcW w:w="992" w:type="dxa"/>
          </w:tcPr>
          <w:p w:rsidR="00B56F3D" w:rsidRPr="00B56F3D" w:rsidRDefault="00B56F3D" w:rsidP="00B56F3D">
            <w:pPr>
              <w:tabs>
                <w:tab w:val="left" w:pos="360"/>
              </w:tabs>
              <w:spacing w:before="0" w:after="0"/>
              <w:ind w:firstLine="0"/>
              <w:jc w:val="both"/>
              <w:rPr>
                <w:sz w:val="22"/>
                <w:szCs w:val="22"/>
              </w:rPr>
            </w:pPr>
          </w:p>
          <w:p w:rsidR="00B56F3D" w:rsidRPr="00B56F3D" w:rsidRDefault="00B56F3D" w:rsidP="002A1989">
            <w:pPr>
              <w:keepNext/>
              <w:tabs>
                <w:tab w:val="left" w:pos="360"/>
              </w:tabs>
              <w:spacing w:before="0" w:after="0"/>
              <w:ind w:firstLine="0"/>
              <w:jc w:val="center"/>
              <w:outlineLvl w:val="3"/>
              <w:rPr>
                <w:b/>
                <w:sz w:val="22"/>
                <w:szCs w:val="22"/>
              </w:rPr>
            </w:pPr>
            <w:r w:rsidRPr="00B56F3D">
              <w:rPr>
                <w:b/>
                <w:sz w:val="22"/>
                <w:szCs w:val="22"/>
              </w:rPr>
              <w:t>Закон</w:t>
            </w:r>
          </w:p>
        </w:tc>
        <w:tc>
          <w:tcPr>
            <w:tcW w:w="1134" w:type="dxa"/>
          </w:tcPr>
          <w:p w:rsidR="00B56F3D" w:rsidRPr="00B56F3D" w:rsidRDefault="00B56F3D" w:rsidP="00B56F3D">
            <w:pPr>
              <w:tabs>
                <w:tab w:val="left" w:pos="360"/>
              </w:tabs>
              <w:spacing w:before="0" w:after="0"/>
              <w:ind w:firstLine="0"/>
              <w:jc w:val="center"/>
              <w:rPr>
                <w:b/>
                <w:sz w:val="22"/>
                <w:szCs w:val="22"/>
              </w:rPr>
            </w:pPr>
            <w:r w:rsidRPr="00B56F3D">
              <w:rPr>
                <w:b/>
                <w:sz w:val="22"/>
                <w:szCs w:val="22"/>
              </w:rPr>
              <w:t>Уточнен план</w:t>
            </w:r>
          </w:p>
        </w:tc>
        <w:tc>
          <w:tcPr>
            <w:tcW w:w="992" w:type="dxa"/>
          </w:tcPr>
          <w:p w:rsidR="00B56F3D" w:rsidRPr="00B56F3D" w:rsidRDefault="00B56F3D" w:rsidP="00B56F3D">
            <w:pPr>
              <w:tabs>
                <w:tab w:val="left" w:pos="360"/>
              </w:tabs>
              <w:spacing w:before="0" w:after="0"/>
              <w:ind w:firstLine="0"/>
              <w:jc w:val="center"/>
              <w:rPr>
                <w:sz w:val="22"/>
                <w:szCs w:val="22"/>
              </w:rPr>
            </w:pPr>
          </w:p>
          <w:p w:rsidR="00B56F3D" w:rsidRPr="00B56F3D" w:rsidRDefault="00B56F3D" w:rsidP="00B56F3D">
            <w:pPr>
              <w:keepNext/>
              <w:tabs>
                <w:tab w:val="left" w:pos="360"/>
              </w:tabs>
              <w:spacing w:before="0" w:after="0"/>
              <w:ind w:firstLine="0"/>
              <w:jc w:val="center"/>
              <w:outlineLvl w:val="3"/>
              <w:rPr>
                <w:b/>
                <w:sz w:val="22"/>
                <w:szCs w:val="22"/>
              </w:rPr>
            </w:pPr>
            <w:r w:rsidRPr="00B56F3D">
              <w:rPr>
                <w:b/>
                <w:sz w:val="22"/>
                <w:szCs w:val="22"/>
              </w:rPr>
              <w:t>Отчет</w:t>
            </w:r>
          </w:p>
        </w:tc>
      </w:tr>
      <w:tr w:rsidR="00B56F3D" w:rsidRPr="00B56F3D" w:rsidTr="001D352B">
        <w:tc>
          <w:tcPr>
            <w:tcW w:w="5637" w:type="dxa"/>
          </w:tcPr>
          <w:p w:rsidR="00B56F3D" w:rsidRPr="00BF123C" w:rsidRDefault="00B56F3D" w:rsidP="00B56F3D">
            <w:pPr>
              <w:tabs>
                <w:tab w:val="left" w:pos="360"/>
              </w:tabs>
              <w:spacing w:before="0" w:after="0"/>
              <w:ind w:firstLine="0"/>
            </w:pPr>
            <w:r w:rsidRPr="00B56F3D">
              <w:rPr>
                <w:b/>
              </w:rPr>
              <w:t>Политика в областта на спорта за учащи и спорта в свободното време</w:t>
            </w:r>
          </w:p>
        </w:tc>
        <w:tc>
          <w:tcPr>
            <w:tcW w:w="992"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rPr>
                <w:b/>
              </w:rPr>
            </w:pPr>
            <w:r w:rsidRPr="00B56F3D">
              <w:rPr>
                <w:b/>
              </w:rPr>
              <w:t>15,4</w:t>
            </w:r>
          </w:p>
        </w:tc>
        <w:tc>
          <w:tcPr>
            <w:tcW w:w="1134"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rPr>
                <w:b/>
              </w:rPr>
            </w:pPr>
            <w:r w:rsidRPr="00B56F3D">
              <w:rPr>
                <w:b/>
              </w:rPr>
              <w:t>16,7</w:t>
            </w:r>
          </w:p>
        </w:tc>
        <w:tc>
          <w:tcPr>
            <w:tcW w:w="992"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rPr>
                <w:b/>
              </w:rPr>
            </w:pPr>
            <w:r w:rsidRPr="00B56F3D">
              <w:rPr>
                <w:b/>
              </w:rPr>
              <w:t>15,7</w:t>
            </w:r>
          </w:p>
        </w:tc>
      </w:tr>
      <w:tr w:rsidR="00B56F3D" w:rsidRPr="00B56F3D" w:rsidTr="001D352B">
        <w:tc>
          <w:tcPr>
            <w:tcW w:w="5637" w:type="dxa"/>
          </w:tcPr>
          <w:p w:rsidR="00B56F3D" w:rsidRPr="00BF123C" w:rsidRDefault="00B56F3D" w:rsidP="00B56F3D">
            <w:pPr>
              <w:tabs>
                <w:tab w:val="left" w:pos="360"/>
                <w:tab w:val="num" w:pos="2157"/>
              </w:tabs>
              <w:spacing w:before="0" w:after="0"/>
              <w:ind w:firstLine="0"/>
            </w:pPr>
            <w:r w:rsidRPr="00B56F3D">
              <w:t>Бюджетна програма „Спорт за учащи”</w:t>
            </w:r>
          </w:p>
        </w:tc>
        <w:tc>
          <w:tcPr>
            <w:tcW w:w="992" w:type="dxa"/>
          </w:tcPr>
          <w:p w:rsidR="00B56F3D" w:rsidRPr="00B56F3D" w:rsidRDefault="00B56F3D" w:rsidP="00B56F3D">
            <w:pPr>
              <w:tabs>
                <w:tab w:val="left" w:pos="360"/>
              </w:tabs>
              <w:spacing w:before="0" w:after="0"/>
              <w:ind w:firstLine="0"/>
              <w:jc w:val="right"/>
            </w:pPr>
            <w:r w:rsidRPr="00B56F3D">
              <w:t>10,2</w:t>
            </w:r>
          </w:p>
        </w:tc>
        <w:tc>
          <w:tcPr>
            <w:tcW w:w="1134" w:type="dxa"/>
          </w:tcPr>
          <w:p w:rsidR="00B56F3D" w:rsidRPr="00B56F3D" w:rsidRDefault="00B56F3D" w:rsidP="00B56F3D">
            <w:pPr>
              <w:tabs>
                <w:tab w:val="left" w:pos="360"/>
              </w:tabs>
              <w:spacing w:before="0" w:after="0"/>
              <w:ind w:firstLine="0"/>
              <w:jc w:val="right"/>
            </w:pPr>
            <w:r w:rsidRPr="00B56F3D">
              <w:t>11,5</w:t>
            </w:r>
          </w:p>
        </w:tc>
        <w:tc>
          <w:tcPr>
            <w:tcW w:w="992" w:type="dxa"/>
          </w:tcPr>
          <w:p w:rsidR="00B56F3D" w:rsidRPr="00B56F3D" w:rsidRDefault="00B56F3D" w:rsidP="00B56F3D">
            <w:pPr>
              <w:tabs>
                <w:tab w:val="left" w:pos="360"/>
              </w:tabs>
              <w:spacing w:before="0" w:after="0"/>
              <w:ind w:firstLine="0"/>
              <w:jc w:val="right"/>
            </w:pPr>
            <w:r w:rsidRPr="00B56F3D">
              <w:t>10,6</w:t>
            </w:r>
          </w:p>
        </w:tc>
      </w:tr>
      <w:tr w:rsidR="00B56F3D" w:rsidRPr="00B56F3D" w:rsidTr="001D352B">
        <w:tc>
          <w:tcPr>
            <w:tcW w:w="5637" w:type="dxa"/>
          </w:tcPr>
          <w:p w:rsidR="00B56F3D" w:rsidRPr="00BF123C" w:rsidRDefault="00B56F3D" w:rsidP="00B56F3D">
            <w:pPr>
              <w:tabs>
                <w:tab w:val="left" w:pos="360"/>
                <w:tab w:val="num" w:pos="2157"/>
              </w:tabs>
              <w:spacing w:before="0" w:after="0"/>
              <w:ind w:firstLine="0"/>
            </w:pPr>
            <w:r w:rsidRPr="00B56F3D">
              <w:t>Бюджетна програма ”Спорт в свободното време”</w:t>
            </w:r>
          </w:p>
        </w:tc>
        <w:tc>
          <w:tcPr>
            <w:tcW w:w="992" w:type="dxa"/>
          </w:tcPr>
          <w:p w:rsidR="00B56F3D" w:rsidRPr="00B56F3D" w:rsidRDefault="00B56F3D" w:rsidP="00B56F3D">
            <w:pPr>
              <w:tabs>
                <w:tab w:val="left" w:pos="360"/>
              </w:tabs>
              <w:spacing w:before="0" w:after="0"/>
              <w:ind w:firstLine="0"/>
              <w:jc w:val="right"/>
            </w:pPr>
            <w:r w:rsidRPr="00B56F3D">
              <w:t>5,2</w:t>
            </w:r>
          </w:p>
        </w:tc>
        <w:tc>
          <w:tcPr>
            <w:tcW w:w="1134" w:type="dxa"/>
          </w:tcPr>
          <w:p w:rsidR="00B56F3D" w:rsidRPr="00B56F3D" w:rsidRDefault="00B56F3D" w:rsidP="00B56F3D">
            <w:pPr>
              <w:tabs>
                <w:tab w:val="left" w:pos="360"/>
              </w:tabs>
              <w:spacing w:before="0" w:after="0"/>
              <w:ind w:firstLine="0"/>
              <w:jc w:val="right"/>
            </w:pPr>
            <w:r w:rsidRPr="00B56F3D">
              <w:t>5,2</w:t>
            </w:r>
          </w:p>
        </w:tc>
        <w:tc>
          <w:tcPr>
            <w:tcW w:w="992" w:type="dxa"/>
          </w:tcPr>
          <w:p w:rsidR="00B56F3D" w:rsidRPr="00B56F3D" w:rsidRDefault="00B56F3D" w:rsidP="00B56F3D">
            <w:pPr>
              <w:tabs>
                <w:tab w:val="left" w:pos="360"/>
              </w:tabs>
              <w:spacing w:before="0" w:after="0"/>
              <w:ind w:firstLine="0"/>
              <w:jc w:val="right"/>
            </w:pPr>
            <w:r w:rsidRPr="00B56F3D">
              <w:t>5,1</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F123C" w:rsidRDefault="00B56F3D" w:rsidP="00B56F3D">
            <w:pPr>
              <w:tabs>
                <w:tab w:val="left" w:pos="360"/>
              </w:tabs>
              <w:spacing w:before="0" w:after="0"/>
              <w:ind w:right="-108" w:firstLine="0"/>
            </w:pPr>
            <w:r w:rsidRPr="00B56F3D">
              <w:rPr>
                <w:b/>
              </w:rPr>
              <w:t>Политика в областта на спорта за високи постижения</w:t>
            </w:r>
          </w:p>
        </w:tc>
        <w:tc>
          <w:tcPr>
            <w:tcW w:w="992" w:type="dxa"/>
          </w:tcPr>
          <w:p w:rsidR="00B56F3D" w:rsidRPr="00B56F3D" w:rsidRDefault="00B56F3D" w:rsidP="00B56F3D">
            <w:pPr>
              <w:tabs>
                <w:tab w:val="left" w:pos="360"/>
              </w:tabs>
              <w:spacing w:before="0" w:after="0"/>
              <w:ind w:firstLine="0"/>
              <w:jc w:val="right"/>
              <w:rPr>
                <w:b/>
              </w:rPr>
            </w:pPr>
            <w:r w:rsidRPr="00B56F3D">
              <w:rPr>
                <w:b/>
              </w:rPr>
              <w:t>49,6</w:t>
            </w:r>
          </w:p>
        </w:tc>
        <w:tc>
          <w:tcPr>
            <w:tcW w:w="1134" w:type="dxa"/>
          </w:tcPr>
          <w:p w:rsidR="00B56F3D" w:rsidRPr="00B56F3D" w:rsidRDefault="00B56F3D" w:rsidP="00B56F3D">
            <w:pPr>
              <w:tabs>
                <w:tab w:val="left" w:pos="360"/>
              </w:tabs>
              <w:spacing w:before="0" w:after="0"/>
              <w:ind w:firstLine="0"/>
              <w:jc w:val="right"/>
              <w:rPr>
                <w:b/>
              </w:rPr>
            </w:pPr>
            <w:r w:rsidRPr="00B56F3D">
              <w:rPr>
                <w:b/>
              </w:rPr>
              <w:t>55,</w:t>
            </w:r>
            <w:r w:rsidRPr="00B56F3D">
              <w:rPr>
                <w:b/>
                <w:lang w:val="en-US"/>
              </w:rPr>
              <w:t>6</w:t>
            </w:r>
          </w:p>
        </w:tc>
        <w:tc>
          <w:tcPr>
            <w:tcW w:w="992" w:type="dxa"/>
          </w:tcPr>
          <w:p w:rsidR="00B56F3D" w:rsidRPr="00B56F3D" w:rsidRDefault="00B56F3D" w:rsidP="00B56F3D">
            <w:pPr>
              <w:tabs>
                <w:tab w:val="left" w:pos="360"/>
              </w:tabs>
              <w:spacing w:before="0" w:after="0"/>
              <w:ind w:right="-108" w:firstLine="0"/>
              <w:jc w:val="right"/>
              <w:rPr>
                <w:b/>
              </w:rPr>
            </w:pPr>
            <w:r w:rsidRPr="00B56F3D">
              <w:rPr>
                <w:b/>
              </w:rPr>
              <w:t>55,3</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r w:rsidRPr="00B56F3D">
              <w:t>Бюджетна програма „Олимпийска подготовка”</w:t>
            </w:r>
          </w:p>
        </w:tc>
        <w:tc>
          <w:tcPr>
            <w:tcW w:w="992" w:type="dxa"/>
          </w:tcPr>
          <w:p w:rsidR="00B56F3D" w:rsidRPr="00B56F3D" w:rsidRDefault="00B56F3D" w:rsidP="00B56F3D">
            <w:pPr>
              <w:tabs>
                <w:tab w:val="left" w:pos="360"/>
              </w:tabs>
              <w:spacing w:before="0" w:after="0"/>
              <w:ind w:firstLine="0"/>
              <w:jc w:val="right"/>
            </w:pPr>
            <w:r w:rsidRPr="00B56F3D">
              <w:t>10,5</w:t>
            </w:r>
          </w:p>
        </w:tc>
        <w:tc>
          <w:tcPr>
            <w:tcW w:w="1134" w:type="dxa"/>
          </w:tcPr>
          <w:p w:rsidR="00B56F3D" w:rsidRPr="00B56F3D" w:rsidRDefault="00B56F3D" w:rsidP="00B56F3D">
            <w:pPr>
              <w:tabs>
                <w:tab w:val="left" w:pos="360"/>
              </w:tabs>
              <w:spacing w:before="0" w:after="0"/>
              <w:ind w:firstLine="0"/>
              <w:jc w:val="right"/>
            </w:pPr>
            <w:r w:rsidRPr="00B56F3D">
              <w:t>7,9</w:t>
            </w:r>
          </w:p>
        </w:tc>
        <w:tc>
          <w:tcPr>
            <w:tcW w:w="992" w:type="dxa"/>
          </w:tcPr>
          <w:p w:rsidR="00B56F3D" w:rsidRPr="00B56F3D" w:rsidRDefault="00B56F3D" w:rsidP="00B56F3D">
            <w:pPr>
              <w:tabs>
                <w:tab w:val="left" w:pos="360"/>
              </w:tabs>
              <w:spacing w:before="0" w:after="0"/>
              <w:ind w:firstLine="0"/>
              <w:jc w:val="right"/>
            </w:pPr>
            <w:r w:rsidRPr="00B56F3D">
              <w:t xml:space="preserve"> 7,8</w:t>
            </w:r>
          </w:p>
        </w:tc>
      </w:tr>
      <w:tr w:rsidR="00B56F3D" w:rsidRPr="00B56F3D" w:rsidTr="001D352B">
        <w:tc>
          <w:tcPr>
            <w:tcW w:w="5637" w:type="dxa"/>
          </w:tcPr>
          <w:p w:rsidR="00B56F3D" w:rsidRPr="00BF123C" w:rsidRDefault="00B56F3D" w:rsidP="00B56F3D">
            <w:pPr>
              <w:tabs>
                <w:tab w:val="left" w:pos="360"/>
              </w:tabs>
              <w:spacing w:before="0" w:after="0"/>
              <w:ind w:firstLine="0"/>
            </w:pPr>
            <w:r w:rsidRPr="00B56F3D">
              <w:t>Бюджетна програма „Спорт за високи постижения”</w:t>
            </w:r>
          </w:p>
        </w:tc>
        <w:tc>
          <w:tcPr>
            <w:tcW w:w="992" w:type="dxa"/>
          </w:tcPr>
          <w:p w:rsidR="00B56F3D" w:rsidRPr="00B56F3D" w:rsidRDefault="00B56F3D" w:rsidP="00B56F3D">
            <w:pPr>
              <w:tabs>
                <w:tab w:val="left" w:pos="360"/>
              </w:tabs>
              <w:spacing w:before="0" w:after="0"/>
              <w:ind w:firstLine="0"/>
              <w:jc w:val="right"/>
            </w:pPr>
            <w:r w:rsidRPr="00B56F3D">
              <w:t>39,1</w:t>
            </w:r>
          </w:p>
        </w:tc>
        <w:tc>
          <w:tcPr>
            <w:tcW w:w="1134" w:type="dxa"/>
          </w:tcPr>
          <w:p w:rsidR="00B56F3D" w:rsidRPr="00B56F3D" w:rsidRDefault="00B56F3D" w:rsidP="00B56F3D">
            <w:pPr>
              <w:tabs>
                <w:tab w:val="left" w:pos="360"/>
              </w:tabs>
              <w:spacing w:before="0" w:after="0"/>
              <w:ind w:firstLine="0"/>
              <w:jc w:val="right"/>
            </w:pPr>
            <w:r w:rsidRPr="00B56F3D">
              <w:t>47,</w:t>
            </w:r>
            <w:r w:rsidRPr="00B56F3D">
              <w:rPr>
                <w:lang w:val="en-US"/>
              </w:rPr>
              <w:t>7</w:t>
            </w:r>
          </w:p>
        </w:tc>
        <w:tc>
          <w:tcPr>
            <w:tcW w:w="992" w:type="dxa"/>
          </w:tcPr>
          <w:p w:rsidR="00B56F3D" w:rsidRPr="00B56F3D" w:rsidRDefault="00B56F3D" w:rsidP="00B56F3D">
            <w:pPr>
              <w:tabs>
                <w:tab w:val="left" w:pos="360"/>
              </w:tabs>
              <w:spacing w:before="0" w:after="0"/>
              <w:ind w:firstLine="0"/>
              <w:jc w:val="right"/>
            </w:pPr>
            <w:r w:rsidRPr="00B56F3D">
              <w:t>47,5</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F123C" w:rsidRDefault="00B56F3D" w:rsidP="00B56F3D">
            <w:pPr>
              <w:tabs>
                <w:tab w:val="left" w:pos="360"/>
              </w:tabs>
              <w:spacing w:before="0" w:after="0"/>
              <w:ind w:right="-108" w:firstLine="0"/>
            </w:pPr>
            <w:r w:rsidRPr="00B56F3D">
              <w:rPr>
                <w:b/>
              </w:rPr>
              <w:t>Политика в областта на привеждането на спортните обекти и съоръжения във вид, отговарящ на съвременните международни стандарти</w:t>
            </w:r>
          </w:p>
        </w:tc>
        <w:tc>
          <w:tcPr>
            <w:tcW w:w="992"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3,2</w:t>
            </w:r>
          </w:p>
        </w:tc>
        <w:tc>
          <w:tcPr>
            <w:tcW w:w="1134"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4,1</w:t>
            </w:r>
          </w:p>
        </w:tc>
        <w:tc>
          <w:tcPr>
            <w:tcW w:w="992"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4,1</w:t>
            </w:r>
          </w:p>
        </w:tc>
      </w:tr>
      <w:tr w:rsidR="00B56F3D" w:rsidRPr="00B56F3D" w:rsidTr="001D352B">
        <w:tc>
          <w:tcPr>
            <w:tcW w:w="5637" w:type="dxa"/>
          </w:tcPr>
          <w:p w:rsidR="00B56F3D" w:rsidRPr="00BF123C" w:rsidRDefault="00B56F3D" w:rsidP="00B56F3D">
            <w:pPr>
              <w:tabs>
                <w:tab w:val="left" w:pos="360"/>
              </w:tabs>
              <w:spacing w:before="0" w:after="0"/>
              <w:ind w:firstLine="0"/>
            </w:pPr>
            <w:r w:rsidRPr="00B56F3D">
              <w:t>Бюджетна програма „Спортни обекти и съоръжения”</w:t>
            </w:r>
          </w:p>
        </w:tc>
        <w:tc>
          <w:tcPr>
            <w:tcW w:w="992" w:type="dxa"/>
          </w:tcPr>
          <w:p w:rsidR="00B56F3D" w:rsidRPr="00B56F3D" w:rsidRDefault="00B56F3D" w:rsidP="00B56F3D">
            <w:pPr>
              <w:tabs>
                <w:tab w:val="left" w:pos="360"/>
              </w:tabs>
              <w:spacing w:before="0" w:after="0"/>
              <w:ind w:firstLine="0"/>
              <w:jc w:val="right"/>
            </w:pPr>
            <w:r w:rsidRPr="00B56F3D">
              <w:t>3,2</w:t>
            </w:r>
          </w:p>
        </w:tc>
        <w:tc>
          <w:tcPr>
            <w:tcW w:w="1134" w:type="dxa"/>
          </w:tcPr>
          <w:p w:rsidR="00B56F3D" w:rsidRPr="00B56F3D" w:rsidRDefault="00B56F3D" w:rsidP="00B56F3D">
            <w:pPr>
              <w:tabs>
                <w:tab w:val="left" w:pos="360"/>
              </w:tabs>
              <w:spacing w:before="0" w:after="0"/>
              <w:ind w:firstLine="0"/>
              <w:jc w:val="right"/>
            </w:pPr>
            <w:r w:rsidRPr="00B56F3D">
              <w:t>4,1</w:t>
            </w:r>
          </w:p>
        </w:tc>
        <w:tc>
          <w:tcPr>
            <w:tcW w:w="992" w:type="dxa"/>
          </w:tcPr>
          <w:p w:rsidR="00B56F3D" w:rsidRPr="00B56F3D" w:rsidRDefault="00B56F3D" w:rsidP="00B56F3D">
            <w:pPr>
              <w:tabs>
                <w:tab w:val="left" w:pos="360"/>
              </w:tabs>
              <w:spacing w:before="0" w:after="0"/>
              <w:ind w:firstLine="0"/>
              <w:jc w:val="right"/>
            </w:pPr>
            <w:r w:rsidRPr="00B56F3D">
              <w:t>4,1</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F123C" w:rsidRDefault="00B56F3D" w:rsidP="00B56F3D">
            <w:pPr>
              <w:tabs>
                <w:tab w:val="left" w:pos="360"/>
              </w:tabs>
              <w:spacing w:before="0" w:after="0"/>
              <w:ind w:firstLine="0"/>
            </w:pPr>
            <w:r w:rsidRPr="00B56F3D">
              <w:rPr>
                <w:b/>
              </w:rPr>
              <w:t>Политика в областта на усвояването и прилагането на добри международни практики  за спорта</w:t>
            </w:r>
          </w:p>
        </w:tc>
        <w:tc>
          <w:tcPr>
            <w:tcW w:w="992"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0,3</w:t>
            </w:r>
          </w:p>
        </w:tc>
        <w:tc>
          <w:tcPr>
            <w:tcW w:w="1134"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0,3</w:t>
            </w:r>
          </w:p>
        </w:tc>
        <w:tc>
          <w:tcPr>
            <w:tcW w:w="992" w:type="dxa"/>
          </w:tcPr>
          <w:p w:rsidR="00B56F3D" w:rsidRPr="00B56F3D" w:rsidRDefault="00B56F3D" w:rsidP="00B56F3D">
            <w:pPr>
              <w:tabs>
                <w:tab w:val="left" w:pos="360"/>
              </w:tabs>
              <w:spacing w:before="0" w:after="0"/>
              <w:ind w:firstLine="0"/>
              <w:jc w:val="right"/>
              <w:rPr>
                <w:b/>
              </w:rPr>
            </w:pPr>
          </w:p>
          <w:p w:rsidR="00B56F3D" w:rsidRPr="00B56F3D" w:rsidRDefault="00B56F3D" w:rsidP="00B56F3D">
            <w:pPr>
              <w:tabs>
                <w:tab w:val="left" w:pos="360"/>
              </w:tabs>
              <w:spacing w:before="0" w:after="0"/>
              <w:ind w:firstLine="0"/>
              <w:jc w:val="right"/>
              <w:rPr>
                <w:b/>
              </w:rPr>
            </w:pPr>
            <w:r w:rsidRPr="00B56F3D">
              <w:rPr>
                <w:b/>
              </w:rPr>
              <w:t>0,3</w:t>
            </w:r>
          </w:p>
        </w:tc>
      </w:tr>
      <w:tr w:rsidR="00B56F3D" w:rsidRPr="00B56F3D" w:rsidTr="001D352B">
        <w:tc>
          <w:tcPr>
            <w:tcW w:w="5637" w:type="dxa"/>
          </w:tcPr>
          <w:p w:rsidR="00B56F3D" w:rsidRPr="00B56F3D" w:rsidRDefault="00B56F3D" w:rsidP="00B56F3D">
            <w:pPr>
              <w:tabs>
                <w:tab w:val="left" w:pos="360"/>
              </w:tabs>
              <w:spacing w:before="0" w:after="0"/>
              <w:ind w:firstLine="0"/>
            </w:pPr>
            <w:r w:rsidRPr="00B56F3D">
              <w:t xml:space="preserve">Бюджетна програма „Изграждане на високоефективен </w:t>
            </w:r>
            <w:r w:rsidRPr="00B56F3D">
              <w:lastRenderedPageBreak/>
              <w:t>капацитет за активно международно сътрудничество  в сферата на физическото възпитание, спорта и социалния туризъм”</w:t>
            </w:r>
          </w:p>
        </w:tc>
        <w:tc>
          <w:tcPr>
            <w:tcW w:w="992"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r w:rsidRPr="00B56F3D">
              <w:t>0,3</w:t>
            </w:r>
          </w:p>
        </w:tc>
        <w:tc>
          <w:tcPr>
            <w:tcW w:w="1134"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r w:rsidRPr="00B56F3D">
              <w:t>0,3</w:t>
            </w:r>
          </w:p>
        </w:tc>
        <w:tc>
          <w:tcPr>
            <w:tcW w:w="992" w:type="dxa"/>
          </w:tcPr>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p>
          <w:p w:rsidR="00B56F3D" w:rsidRPr="00B56F3D" w:rsidRDefault="00B56F3D" w:rsidP="00B56F3D">
            <w:pPr>
              <w:tabs>
                <w:tab w:val="left" w:pos="360"/>
              </w:tabs>
              <w:spacing w:before="0" w:after="0"/>
              <w:ind w:firstLine="0"/>
              <w:jc w:val="right"/>
            </w:pPr>
            <w:r w:rsidRPr="00B56F3D">
              <w:t>0,3</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F123C" w:rsidRDefault="00B56F3D" w:rsidP="00B56F3D">
            <w:pPr>
              <w:keepNext/>
              <w:tabs>
                <w:tab w:val="left" w:pos="360"/>
              </w:tabs>
              <w:spacing w:before="0" w:after="0"/>
              <w:ind w:firstLine="0"/>
              <w:jc w:val="both"/>
              <w:outlineLvl w:val="4"/>
              <w:rPr>
                <w:b/>
              </w:rPr>
            </w:pPr>
            <w:r w:rsidRPr="00B56F3D">
              <w:rPr>
                <w:b/>
              </w:rPr>
              <w:t>Политика в областта на младите хора</w:t>
            </w:r>
          </w:p>
        </w:tc>
        <w:tc>
          <w:tcPr>
            <w:tcW w:w="992" w:type="dxa"/>
          </w:tcPr>
          <w:p w:rsidR="00B56F3D" w:rsidRPr="00B56F3D" w:rsidRDefault="00B56F3D" w:rsidP="00B56F3D">
            <w:pPr>
              <w:tabs>
                <w:tab w:val="left" w:pos="360"/>
              </w:tabs>
              <w:spacing w:before="0" w:after="0"/>
              <w:ind w:firstLine="0"/>
              <w:jc w:val="right"/>
              <w:rPr>
                <w:b/>
              </w:rPr>
            </w:pPr>
            <w:r w:rsidRPr="00B56F3D">
              <w:rPr>
                <w:b/>
              </w:rPr>
              <w:t>3,</w:t>
            </w:r>
            <w:r w:rsidRPr="00B56F3D">
              <w:rPr>
                <w:b/>
                <w:lang w:val="en-US"/>
              </w:rPr>
              <w:t>3</w:t>
            </w:r>
          </w:p>
        </w:tc>
        <w:tc>
          <w:tcPr>
            <w:tcW w:w="1134" w:type="dxa"/>
          </w:tcPr>
          <w:p w:rsidR="00B56F3D" w:rsidRPr="00B56F3D" w:rsidRDefault="00B56F3D" w:rsidP="00B56F3D">
            <w:pPr>
              <w:tabs>
                <w:tab w:val="left" w:pos="360"/>
              </w:tabs>
              <w:spacing w:before="0" w:after="0"/>
              <w:ind w:firstLine="0"/>
              <w:jc w:val="right"/>
              <w:rPr>
                <w:b/>
              </w:rPr>
            </w:pPr>
            <w:r w:rsidRPr="00B56F3D">
              <w:rPr>
                <w:b/>
              </w:rPr>
              <w:t>3,2</w:t>
            </w:r>
          </w:p>
        </w:tc>
        <w:tc>
          <w:tcPr>
            <w:tcW w:w="992" w:type="dxa"/>
          </w:tcPr>
          <w:p w:rsidR="00B56F3D" w:rsidRPr="00B56F3D" w:rsidRDefault="00B56F3D" w:rsidP="00B56F3D">
            <w:pPr>
              <w:tabs>
                <w:tab w:val="left" w:pos="360"/>
              </w:tabs>
              <w:spacing w:before="0" w:after="0"/>
              <w:ind w:firstLine="0"/>
              <w:jc w:val="right"/>
              <w:rPr>
                <w:b/>
              </w:rPr>
            </w:pPr>
            <w:r w:rsidRPr="00B56F3D">
              <w:rPr>
                <w:b/>
              </w:rPr>
              <w:t>3,1</w:t>
            </w:r>
          </w:p>
        </w:tc>
      </w:tr>
      <w:tr w:rsidR="00B56F3D" w:rsidRPr="00B56F3D" w:rsidTr="001D352B">
        <w:tc>
          <w:tcPr>
            <w:tcW w:w="5637" w:type="dxa"/>
          </w:tcPr>
          <w:p w:rsidR="00B56F3D" w:rsidRPr="00B56F3D" w:rsidRDefault="00B56F3D" w:rsidP="00B56F3D">
            <w:pPr>
              <w:tabs>
                <w:tab w:val="left" w:pos="360"/>
              </w:tabs>
              <w:spacing w:before="0" w:after="0"/>
              <w:ind w:firstLine="0"/>
            </w:pPr>
            <w:r w:rsidRPr="00B56F3D">
              <w:t>Бюджетна програма „Младите в действие”</w:t>
            </w:r>
          </w:p>
        </w:tc>
        <w:tc>
          <w:tcPr>
            <w:tcW w:w="992" w:type="dxa"/>
          </w:tcPr>
          <w:p w:rsidR="00B56F3D" w:rsidRPr="00B56F3D" w:rsidRDefault="00B56F3D" w:rsidP="00B56F3D">
            <w:pPr>
              <w:tabs>
                <w:tab w:val="left" w:pos="360"/>
              </w:tabs>
              <w:spacing w:before="0" w:after="0"/>
              <w:ind w:firstLine="0"/>
              <w:jc w:val="right"/>
            </w:pPr>
            <w:r w:rsidRPr="00B56F3D">
              <w:t>3,</w:t>
            </w:r>
            <w:r w:rsidRPr="00B56F3D">
              <w:rPr>
                <w:lang w:val="en-US"/>
              </w:rPr>
              <w:t>3</w:t>
            </w:r>
          </w:p>
        </w:tc>
        <w:tc>
          <w:tcPr>
            <w:tcW w:w="1134" w:type="dxa"/>
          </w:tcPr>
          <w:p w:rsidR="00B56F3D" w:rsidRPr="00B56F3D" w:rsidRDefault="00B56F3D" w:rsidP="00B56F3D">
            <w:pPr>
              <w:tabs>
                <w:tab w:val="left" w:pos="360"/>
              </w:tabs>
              <w:spacing w:before="0" w:after="0"/>
              <w:ind w:firstLine="0"/>
              <w:jc w:val="right"/>
            </w:pPr>
            <w:r w:rsidRPr="00B56F3D">
              <w:t>3,2</w:t>
            </w:r>
          </w:p>
        </w:tc>
        <w:tc>
          <w:tcPr>
            <w:tcW w:w="992" w:type="dxa"/>
          </w:tcPr>
          <w:p w:rsidR="00B56F3D" w:rsidRPr="00B56F3D" w:rsidRDefault="00B56F3D" w:rsidP="00B56F3D">
            <w:pPr>
              <w:tabs>
                <w:tab w:val="left" w:pos="360"/>
              </w:tabs>
              <w:spacing w:before="0" w:after="0"/>
              <w:ind w:firstLine="0"/>
              <w:jc w:val="right"/>
            </w:pPr>
            <w:r w:rsidRPr="00B56F3D">
              <w:t>3,1</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56F3D" w:rsidRDefault="00B56F3D" w:rsidP="00B56F3D">
            <w:pPr>
              <w:tabs>
                <w:tab w:val="left" w:pos="360"/>
              </w:tabs>
              <w:spacing w:before="0" w:after="0"/>
              <w:ind w:firstLine="0"/>
              <w:rPr>
                <w:b/>
              </w:rPr>
            </w:pPr>
            <w:r w:rsidRPr="00B56F3D">
              <w:rPr>
                <w:b/>
              </w:rPr>
              <w:t>Бюджетна програма „Администрация“</w:t>
            </w:r>
          </w:p>
        </w:tc>
        <w:tc>
          <w:tcPr>
            <w:tcW w:w="992" w:type="dxa"/>
          </w:tcPr>
          <w:p w:rsidR="00B56F3D" w:rsidRPr="00B56F3D" w:rsidRDefault="00B56F3D" w:rsidP="00B56F3D">
            <w:pPr>
              <w:tabs>
                <w:tab w:val="left" w:pos="360"/>
              </w:tabs>
              <w:spacing w:before="0" w:after="0"/>
              <w:ind w:firstLine="0"/>
              <w:jc w:val="right"/>
              <w:rPr>
                <w:b/>
              </w:rPr>
            </w:pPr>
            <w:r w:rsidRPr="00B56F3D">
              <w:rPr>
                <w:b/>
              </w:rPr>
              <w:t>1,</w:t>
            </w:r>
            <w:r w:rsidRPr="00B56F3D">
              <w:rPr>
                <w:b/>
                <w:lang w:val="en-US"/>
              </w:rPr>
              <w:t>6</w:t>
            </w:r>
          </w:p>
        </w:tc>
        <w:tc>
          <w:tcPr>
            <w:tcW w:w="1134" w:type="dxa"/>
          </w:tcPr>
          <w:p w:rsidR="00B56F3D" w:rsidRPr="00B56F3D" w:rsidRDefault="00B56F3D" w:rsidP="00B56F3D">
            <w:pPr>
              <w:tabs>
                <w:tab w:val="left" w:pos="360"/>
              </w:tabs>
              <w:spacing w:before="0" w:after="0"/>
              <w:ind w:firstLine="0"/>
              <w:jc w:val="right"/>
              <w:rPr>
                <w:b/>
              </w:rPr>
            </w:pPr>
            <w:r w:rsidRPr="00B56F3D">
              <w:rPr>
                <w:b/>
              </w:rPr>
              <w:t>1,8</w:t>
            </w:r>
          </w:p>
        </w:tc>
        <w:tc>
          <w:tcPr>
            <w:tcW w:w="992" w:type="dxa"/>
          </w:tcPr>
          <w:p w:rsidR="00B56F3D" w:rsidRPr="00B56F3D" w:rsidRDefault="00B56F3D" w:rsidP="00B56F3D">
            <w:pPr>
              <w:tabs>
                <w:tab w:val="left" w:pos="360"/>
              </w:tabs>
              <w:spacing w:before="0" w:after="0"/>
              <w:ind w:firstLine="0"/>
              <w:jc w:val="right"/>
              <w:rPr>
                <w:b/>
              </w:rPr>
            </w:pPr>
            <w:r w:rsidRPr="00B56F3D">
              <w:rPr>
                <w:b/>
              </w:rPr>
              <w:t>1,8</w:t>
            </w:r>
          </w:p>
        </w:tc>
      </w:tr>
      <w:tr w:rsidR="00B56F3D" w:rsidRPr="00B56F3D" w:rsidTr="001D352B">
        <w:tc>
          <w:tcPr>
            <w:tcW w:w="5637" w:type="dxa"/>
          </w:tcPr>
          <w:p w:rsidR="00B56F3D" w:rsidRPr="00B56F3D" w:rsidRDefault="00B56F3D" w:rsidP="00B56F3D">
            <w:pPr>
              <w:tabs>
                <w:tab w:val="left" w:pos="360"/>
              </w:tabs>
              <w:spacing w:before="0" w:after="0"/>
              <w:ind w:firstLine="0"/>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c>
          <w:tcPr>
            <w:tcW w:w="1134" w:type="dxa"/>
          </w:tcPr>
          <w:p w:rsidR="00B56F3D" w:rsidRPr="00B56F3D" w:rsidRDefault="00B56F3D" w:rsidP="00B56F3D">
            <w:pPr>
              <w:tabs>
                <w:tab w:val="left" w:pos="360"/>
              </w:tabs>
              <w:spacing w:before="0" w:after="0"/>
              <w:ind w:firstLine="0"/>
              <w:jc w:val="right"/>
              <w:rPr>
                <w:lang w:val="en-US"/>
              </w:rPr>
            </w:pPr>
          </w:p>
        </w:tc>
        <w:tc>
          <w:tcPr>
            <w:tcW w:w="992" w:type="dxa"/>
          </w:tcPr>
          <w:p w:rsidR="00B56F3D" w:rsidRPr="00B56F3D" w:rsidRDefault="00B56F3D" w:rsidP="00B56F3D">
            <w:pPr>
              <w:tabs>
                <w:tab w:val="left" w:pos="360"/>
              </w:tabs>
              <w:spacing w:before="0" w:after="0"/>
              <w:ind w:firstLine="0"/>
              <w:jc w:val="right"/>
              <w:rPr>
                <w:lang w:val="en-US"/>
              </w:rPr>
            </w:pPr>
          </w:p>
        </w:tc>
      </w:tr>
      <w:tr w:rsidR="00B56F3D" w:rsidRPr="00B56F3D" w:rsidTr="001D352B">
        <w:tc>
          <w:tcPr>
            <w:tcW w:w="5637" w:type="dxa"/>
          </w:tcPr>
          <w:p w:rsidR="00B56F3D" w:rsidRPr="00B56F3D" w:rsidRDefault="00B56F3D" w:rsidP="00B56F3D">
            <w:pPr>
              <w:tabs>
                <w:tab w:val="left" w:pos="360"/>
              </w:tabs>
              <w:spacing w:before="0" w:after="0"/>
              <w:ind w:firstLine="0"/>
              <w:rPr>
                <w:b/>
              </w:rPr>
            </w:pPr>
            <w:r w:rsidRPr="00B56F3D">
              <w:rPr>
                <w:b/>
              </w:rPr>
              <w:t>Общо разходи на ММС:</w:t>
            </w:r>
          </w:p>
        </w:tc>
        <w:tc>
          <w:tcPr>
            <w:tcW w:w="992" w:type="dxa"/>
          </w:tcPr>
          <w:p w:rsidR="00B56F3D" w:rsidRPr="00B56F3D" w:rsidRDefault="00B56F3D" w:rsidP="00B56F3D">
            <w:pPr>
              <w:tabs>
                <w:tab w:val="left" w:pos="360"/>
              </w:tabs>
              <w:spacing w:before="0" w:after="0"/>
              <w:ind w:firstLine="0"/>
              <w:jc w:val="right"/>
              <w:rPr>
                <w:b/>
              </w:rPr>
            </w:pPr>
            <w:r w:rsidRPr="00B56F3D">
              <w:rPr>
                <w:b/>
              </w:rPr>
              <w:t>73,4</w:t>
            </w:r>
          </w:p>
        </w:tc>
        <w:tc>
          <w:tcPr>
            <w:tcW w:w="1134" w:type="dxa"/>
          </w:tcPr>
          <w:p w:rsidR="00B56F3D" w:rsidRPr="00B56F3D" w:rsidRDefault="00B56F3D" w:rsidP="00B56F3D">
            <w:pPr>
              <w:tabs>
                <w:tab w:val="left" w:pos="360"/>
              </w:tabs>
              <w:spacing w:before="0" w:after="0"/>
              <w:ind w:firstLine="0"/>
              <w:jc w:val="right"/>
              <w:rPr>
                <w:b/>
              </w:rPr>
            </w:pPr>
            <w:r w:rsidRPr="00B56F3D">
              <w:rPr>
                <w:b/>
              </w:rPr>
              <w:t>81,7</w:t>
            </w:r>
          </w:p>
        </w:tc>
        <w:tc>
          <w:tcPr>
            <w:tcW w:w="992" w:type="dxa"/>
          </w:tcPr>
          <w:p w:rsidR="00B56F3D" w:rsidRPr="00B56F3D" w:rsidRDefault="00B56F3D" w:rsidP="00B56F3D">
            <w:pPr>
              <w:tabs>
                <w:tab w:val="left" w:pos="360"/>
              </w:tabs>
              <w:spacing w:before="0" w:after="0"/>
              <w:ind w:firstLine="0"/>
              <w:jc w:val="right"/>
              <w:rPr>
                <w:b/>
              </w:rPr>
            </w:pPr>
            <w:r w:rsidRPr="00B56F3D">
              <w:rPr>
                <w:b/>
              </w:rPr>
              <w:t>80,3</w:t>
            </w:r>
          </w:p>
        </w:tc>
      </w:tr>
    </w:tbl>
    <w:p w:rsidR="00150A77" w:rsidRDefault="00150A77" w:rsidP="00056DFA">
      <w:pPr>
        <w:tabs>
          <w:tab w:val="left" w:pos="360"/>
        </w:tabs>
        <w:spacing w:before="0" w:after="0"/>
        <w:jc w:val="both"/>
        <w:rPr>
          <w:sz w:val="24"/>
          <w:szCs w:val="24"/>
        </w:rPr>
      </w:pPr>
    </w:p>
    <w:p w:rsidR="004310B2" w:rsidRPr="00056DFA" w:rsidRDefault="004310B2" w:rsidP="00056DFA">
      <w:pPr>
        <w:tabs>
          <w:tab w:val="left" w:pos="360"/>
        </w:tabs>
        <w:spacing w:before="0" w:after="0"/>
        <w:jc w:val="both"/>
        <w:rPr>
          <w:sz w:val="24"/>
          <w:szCs w:val="24"/>
        </w:rPr>
      </w:pPr>
      <w:r w:rsidRPr="00056DFA">
        <w:rPr>
          <w:sz w:val="24"/>
          <w:szCs w:val="24"/>
        </w:rPr>
        <w:t xml:space="preserve">Общите консолидирани разходи за 2017 г., отчетени по програмния и ориентиран към резултатите бюджет на </w:t>
      </w:r>
      <w:r w:rsidRPr="00056DFA">
        <w:rPr>
          <w:sz w:val="24"/>
          <w:szCs w:val="24"/>
          <w:lang w:val="ru-RU"/>
        </w:rPr>
        <w:t xml:space="preserve"> </w:t>
      </w:r>
      <w:r w:rsidRPr="00056DFA">
        <w:rPr>
          <w:sz w:val="24"/>
          <w:szCs w:val="24"/>
        </w:rPr>
        <w:t>Министерство</w:t>
      </w:r>
      <w:r w:rsidRPr="00056DFA">
        <w:rPr>
          <w:sz w:val="24"/>
          <w:szCs w:val="24"/>
          <w:lang w:val="ru-RU"/>
        </w:rPr>
        <w:t xml:space="preserve"> </w:t>
      </w:r>
      <w:r w:rsidRPr="00056DFA">
        <w:rPr>
          <w:sz w:val="24"/>
          <w:szCs w:val="24"/>
        </w:rPr>
        <w:t>на</w:t>
      </w:r>
      <w:r w:rsidRPr="00056DFA">
        <w:rPr>
          <w:sz w:val="24"/>
          <w:szCs w:val="24"/>
          <w:lang w:val="ru-RU"/>
        </w:rPr>
        <w:t xml:space="preserve"> </w:t>
      </w:r>
      <w:proofErr w:type="spellStart"/>
      <w:r w:rsidRPr="00056DFA">
        <w:rPr>
          <w:sz w:val="24"/>
          <w:szCs w:val="24"/>
        </w:rPr>
        <w:t>младежта</w:t>
      </w:r>
      <w:proofErr w:type="spellEnd"/>
      <w:r w:rsidRPr="00056DFA">
        <w:rPr>
          <w:sz w:val="24"/>
          <w:szCs w:val="24"/>
          <w:lang w:val="ru-RU"/>
        </w:rPr>
        <w:t xml:space="preserve"> и </w:t>
      </w:r>
      <w:r w:rsidRPr="00056DFA">
        <w:rPr>
          <w:sz w:val="24"/>
          <w:szCs w:val="24"/>
        </w:rPr>
        <w:t xml:space="preserve">спорта, са извършвани при спазване разпоредбите на действащото финансово законодателство в страната, на Закона за </w:t>
      </w:r>
      <w:proofErr w:type="spellStart"/>
      <w:r w:rsidRPr="00056DFA">
        <w:rPr>
          <w:sz w:val="24"/>
          <w:szCs w:val="24"/>
        </w:rPr>
        <w:t>младежта</w:t>
      </w:r>
      <w:proofErr w:type="spellEnd"/>
      <w:r w:rsidRPr="00056DFA">
        <w:rPr>
          <w:sz w:val="24"/>
          <w:szCs w:val="24"/>
        </w:rPr>
        <w:t xml:space="preserve">, Закона за физическото възпитание и спорта и подзаконовите актове по прилагането им и са в размер на 80,9 млн.лв.  </w:t>
      </w:r>
    </w:p>
    <w:p w:rsidR="004310B2" w:rsidRPr="00056DFA" w:rsidRDefault="004310B2" w:rsidP="00056DFA">
      <w:pPr>
        <w:tabs>
          <w:tab w:val="left" w:pos="360"/>
        </w:tabs>
        <w:spacing w:before="0" w:after="0"/>
        <w:jc w:val="both"/>
        <w:rPr>
          <w:sz w:val="24"/>
          <w:szCs w:val="24"/>
        </w:rPr>
      </w:pPr>
      <w:r w:rsidRPr="00056DFA">
        <w:rPr>
          <w:sz w:val="24"/>
          <w:szCs w:val="24"/>
        </w:rPr>
        <w:t xml:space="preserve">В рамките на отчетния период са извършвани плащания по: реализиран проект на спортните училища „Твоя час”, проект „Борба с дигиталното изключване”, финансиран по програма „Еразъм +”, проект”Спортен панаир” и </w:t>
      </w:r>
      <w:r w:rsidR="00B56F3D" w:rsidRPr="00056DFA">
        <w:rPr>
          <w:sz w:val="24"/>
          <w:szCs w:val="24"/>
        </w:rPr>
        <w:t>ант</w:t>
      </w:r>
      <w:r w:rsidR="00B56F3D">
        <w:rPr>
          <w:sz w:val="24"/>
          <w:szCs w:val="24"/>
        </w:rPr>
        <w:t>и</w:t>
      </w:r>
      <w:r w:rsidR="00B56F3D" w:rsidRPr="00056DFA">
        <w:rPr>
          <w:sz w:val="24"/>
          <w:szCs w:val="24"/>
        </w:rPr>
        <w:t>д</w:t>
      </w:r>
      <w:r w:rsidR="00B56F3D">
        <w:rPr>
          <w:sz w:val="24"/>
          <w:szCs w:val="24"/>
        </w:rPr>
        <w:t>о</w:t>
      </w:r>
      <w:r w:rsidR="00B56F3D" w:rsidRPr="00056DFA">
        <w:rPr>
          <w:sz w:val="24"/>
          <w:szCs w:val="24"/>
        </w:rPr>
        <w:t>п</w:t>
      </w:r>
      <w:r w:rsidR="00B56F3D">
        <w:rPr>
          <w:sz w:val="24"/>
          <w:szCs w:val="24"/>
        </w:rPr>
        <w:t>и</w:t>
      </w:r>
      <w:r w:rsidR="00B56F3D" w:rsidRPr="00056DFA">
        <w:rPr>
          <w:sz w:val="24"/>
          <w:szCs w:val="24"/>
        </w:rPr>
        <w:t>нгов</w:t>
      </w:r>
      <w:r w:rsidRPr="00056DFA">
        <w:rPr>
          <w:sz w:val="24"/>
          <w:szCs w:val="24"/>
        </w:rPr>
        <w:t xml:space="preserve"> семинар, финансирани по програма „Еразъм””+”, два проекта финансирани по програма „Региони в растеж”, програми и проекти за развитие на ученическия и студентския спорт и програма за развитие на спорта в детските градини по</w:t>
      </w:r>
      <w:r w:rsidRPr="00056DFA">
        <w:rPr>
          <w:sz w:val="24"/>
          <w:szCs w:val="24"/>
          <w:lang w:val="ru-RU"/>
        </w:rPr>
        <w:t xml:space="preserve"> бюджетна</w:t>
      </w:r>
      <w:r w:rsidRPr="00056DFA">
        <w:rPr>
          <w:sz w:val="24"/>
          <w:szCs w:val="24"/>
        </w:rPr>
        <w:t xml:space="preserve"> програма „Спорт за учащи”, договори за финансово подпомагане дейността на </w:t>
      </w:r>
      <w:proofErr w:type="spellStart"/>
      <w:r w:rsidRPr="00056DFA">
        <w:rPr>
          <w:sz w:val="24"/>
          <w:szCs w:val="24"/>
        </w:rPr>
        <w:t>многоспортови</w:t>
      </w:r>
      <w:proofErr w:type="spellEnd"/>
      <w:r w:rsidRPr="00056DFA">
        <w:rPr>
          <w:sz w:val="24"/>
          <w:szCs w:val="24"/>
        </w:rPr>
        <w:t xml:space="preserve"> федерации и осигуряване на възможности за физическа активност, спортно състезателна дейност и спортни резултати - програма „Спорт за децата в свободното време”, подпомагане на програми за развитието на детския футбол  и проект „Научи се да плуваш”, проект „Децата и спортния клуб”, проект „Тенисът спорт за всички”, подпомагане на развитието на детския футбол, Програма „Голфът спорт без граници”, Програма „Развитие на детската лека атлетика”; финансиране дейността на български спортни федерации и спортни клубове; месечни премии за олимпийски медалисти, прекратили активна състезателна дейност; финансово подпомагане организацията и провеждането на домакинства на състезания от международния спортен календар; договори за олимпийска подготовка; подпомагане на спортни организации и общини стопанисващи и управляващи обекти общинска или държавна собственост за ремонт, реконструкция и модернизация на обектите и съоръженията; на други дейности в областта на олимпийската подготовка и спорта за високи постижения, дейности по осъществяване на държавната политика в областта на </w:t>
      </w:r>
      <w:proofErr w:type="spellStart"/>
      <w:r w:rsidRPr="00056DFA">
        <w:rPr>
          <w:sz w:val="24"/>
          <w:szCs w:val="24"/>
        </w:rPr>
        <w:t>младежта</w:t>
      </w:r>
      <w:proofErr w:type="spellEnd"/>
      <w:r w:rsidRPr="00056DFA">
        <w:rPr>
          <w:sz w:val="24"/>
          <w:szCs w:val="24"/>
        </w:rPr>
        <w:t xml:space="preserve"> в страната. </w:t>
      </w:r>
    </w:p>
    <w:p w:rsidR="004310B2" w:rsidRPr="00056DFA" w:rsidRDefault="0035502E" w:rsidP="00056DFA">
      <w:pPr>
        <w:tabs>
          <w:tab w:val="left" w:pos="360"/>
        </w:tabs>
        <w:spacing w:before="0" w:after="0"/>
        <w:jc w:val="both"/>
        <w:rPr>
          <w:b/>
          <w:sz w:val="24"/>
          <w:szCs w:val="24"/>
        </w:rPr>
      </w:pPr>
      <w:r w:rsidRPr="00056DFA">
        <w:rPr>
          <w:b/>
          <w:sz w:val="24"/>
          <w:szCs w:val="24"/>
        </w:rPr>
        <w:t xml:space="preserve">Преглед на изпълнението на политиката в областта на спорта за учащи и спорта в свободното време </w:t>
      </w:r>
    </w:p>
    <w:p w:rsidR="004310B2" w:rsidRPr="00056DFA" w:rsidRDefault="004310B2" w:rsidP="00056DFA">
      <w:pPr>
        <w:tabs>
          <w:tab w:val="left" w:pos="360"/>
        </w:tabs>
        <w:spacing w:before="0" w:after="0"/>
        <w:jc w:val="both"/>
        <w:rPr>
          <w:b/>
          <w:sz w:val="24"/>
          <w:szCs w:val="24"/>
        </w:rPr>
      </w:pPr>
      <w:r w:rsidRPr="00056DFA">
        <w:rPr>
          <w:b/>
          <w:sz w:val="24"/>
          <w:szCs w:val="24"/>
        </w:rPr>
        <w:t>Стратегически цели на политиката са:</w:t>
      </w:r>
    </w:p>
    <w:p w:rsidR="004310B2" w:rsidRPr="00056DFA" w:rsidRDefault="004310B2" w:rsidP="00056DFA">
      <w:pPr>
        <w:numPr>
          <w:ilvl w:val="0"/>
          <w:numId w:val="59"/>
        </w:numPr>
        <w:tabs>
          <w:tab w:val="left" w:pos="360"/>
        </w:tabs>
        <w:autoSpaceDE w:val="0"/>
        <w:autoSpaceDN w:val="0"/>
        <w:adjustRightInd w:val="0"/>
        <w:spacing w:before="0" w:after="0"/>
        <w:ind w:left="0" w:firstLine="567"/>
        <w:jc w:val="both"/>
        <w:rPr>
          <w:bCs/>
          <w:sz w:val="24"/>
          <w:szCs w:val="24"/>
        </w:rPr>
      </w:pPr>
      <w:r w:rsidRPr="00056DFA">
        <w:rPr>
          <w:sz w:val="24"/>
          <w:szCs w:val="24"/>
        </w:rPr>
        <w:t>Подобряване на условията за практикуване на спорта в свободното време, възможностите за изява и реализиране на лични спортни резултати и у</w:t>
      </w:r>
      <w:r w:rsidRPr="00056DFA">
        <w:rPr>
          <w:bCs/>
          <w:sz w:val="24"/>
          <w:szCs w:val="24"/>
        </w:rPr>
        <w:t>крепване на здравето на хората чрез здравословна двигателна активност през свободното им време;</w:t>
      </w:r>
    </w:p>
    <w:p w:rsidR="004310B2" w:rsidRPr="00056DFA" w:rsidRDefault="004310B2" w:rsidP="00056DFA">
      <w:pPr>
        <w:numPr>
          <w:ilvl w:val="0"/>
          <w:numId w:val="59"/>
        </w:numPr>
        <w:tabs>
          <w:tab w:val="left" w:pos="360"/>
        </w:tabs>
        <w:autoSpaceDE w:val="0"/>
        <w:autoSpaceDN w:val="0"/>
        <w:adjustRightInd w:val="0"/>
        <w:spacing w:before="0" w:after="0"/>
        <w:ind w:left="0" w:firstLine="567"/>
        <w:jc w:val="both"/>
        <w:rPr>
          <w:bCs/>
          <w:sz w:val="24"/>
          <w:szCs w:val="24"/>
        </w:rPr>
      </w:pPr>
      <w:r w:rsidRPr="00056DFA">
        <w:rPr>
          <w:color w:val="000000"/>
          <w:sz w:val="24"/>
          <w:szCs w:val="24"/>
        </w:rPr>
        <w:t>Пълноценен учебно тренировъчен процес и спортно-техническа подготовка на учениците в спортните училища за създаване на високо мотивирани състезатели с възможности за спечелване на призови класирания от държавни, европейски, световни първенства и олимпийски игри;</w:t>
      </w:r>
    </w:p>
    <w:p w:rsidR="004310B2" w:rsidRPr="00056DFA" w:rsidRDefault="004310B2" w:rsidP="00056DFA">
      <w:pPr>
        <w:numPr>
          <w:ilvl w:val="0"/>
          <w:numId w:val="59"/>
        </w:numPr>
        <w:tabs>
          <w:tab w:val="left" w:pos="360"/>
        </w:tabs>
        <w:autoSpaceDE w:val="0"/>
        <w:autoSpaceDN w:val="0"/>
        <w:adjustRightInd w:val="0"/>
        <w:spacing w:before="0" w:after="0"/>
        <w:ind w:left="0" w:firstLine="567"/>
        <w:jc w:val="both"/>
        <w:rPr>
          <w:bCs/>
          <w:sz w:val="24"/>
          <w:szCs w:val="24"/>
        </w:rPr>
      </w:pPr>
      <w:r w:rsidRPr="00056DFA">
        <w:rPr>
          <w:color w:val="000000"/>
          <w:sz w:val="24"/>
          <w:szCs w:val="24"/>
        </w:rPr>
        <w:t>Разширяване обхвата на учащите в т.ч. и на децата с увреждания и децата в риск за системно практикуване на физически упражнения и спорт и утвърждаване на физическото възпитание и спорта като средство</w:t>
      </w:r>
      <w:r w:rsidRPr="00056DFA">
        <w:rPr>
          <w:color w:val="000000"/>
          <w:sz w:val="24"/>
          <w:szCs w:val="24"/>
          <w:lang w:val="ru-RU"/>
        </w:rPr>
        <w:t xml:space="preserve"> </w:t>
      </w:r>
      <w:r w:rsidRPr="00056DFA">
        <w:rPr>
          <w:color w:val="000000"/>
          <w:sz w:val="24"/>
          <w:szCs w:val="24"/>
        </w:rPr>
        <w:t>за здравословен начин на живот и превенция на зависимостите, насилието и вредните навици.</w:t>
      </w:r>
    </w:p>
    <w:p w:rsidR="004310B2" w:rsidRPr="00056DFA" w:rsidRDefault="004310B2" w:rsidP="00056DFA">
      <w:pPr>
        <w:tabs>
          <w:tab w:val="left" w:pos="360"/>
        </w:tabs>
        <w:autoSpaceDE w:val="0"/>
        <w:autoSpaceDN w:val="0"/>
        <w:adjustRightInd w:val="0"/>
        <w:spacing w:before="0" w:after="0"/>
        <w:jc w:val="both"/>
        <w:rPr>
          <w:sz w:val="24"/>
          <w:szCs w:val="24"/>
        </w:rPr>
      </w:pPr>
      <w:r w:rsidRPr="00056DFA">
        <w:rPr>
          <w:sz w:val="24"/>
          <w:szCs w:val="24"/>
        </w:rPr>
        <w:lastRenderedPageBreak/>
        <w:t>Постигната е висока степен на изпълнение на определените цели.</w:t>
      </w:r>
    </w:p>
    <w:p w:rsidR="004310B2" w:rsidRPr="00056DFA" w:rsidRDefault="004310B2" w:rsidP="00056DFA">
      <w:pPr>
        <w:tabs>
          <w:tab w:val="left" w:pos="360"/>
        </w:tabs>
        <w:autoSpaceDE w:val="0"/>
        <w:autoSpaceDN w:val="0"/>
        <w:adjustRightInd w:val="0"/>
        <w:spacing w:before="0" w:after="0"/>
        <w:jc w:val="both"/>
        <w:rPr>
          <w:sz w:val="24"/>
          <w:szCs w:val="24"/>
        </w:rPr>
      </w:pPr>
      <w:r w:rsidRPr="00056DFA">
        <w:rPr>
          <w:sz w:val="24"/>
          <w:szCs w:val="24"/>
        </w:rPr>
        <w:t>През отчетния период са осигурени оптимални условия и възможности за двигателна активност и спорт за децата от детските градини, ученици, студенти, деца в риск и хора с увреждания, като са постигнати част от заложените цели за постигане на подобрена двигателна активност, здравословен начин на живот, както и на възможности за изява и постигане на лични спортни резултати.</w:t>
      </w:r>
    </w:p>
    <w:p w:rsidR="004310B2" w:rsidRPr="00056DFA" w:rsidRDefault="004310B2" w:rsidP="00056DFA">
      <w:pPr>
        <w:tabs>
          <w:tab w:val="left" w:pos="0"/>
          <w:tab w:val="left" w:pos="187"/>
          <w:tab w:val="left" w:pos="360"/>
        </w:tabs>
        <w:spacing w:before="0" w:after="0"/>
        <w:jc w:val="both"/>
        <w:rPr>
          <w:sz w:val="24"/>
          <w:szCs w:val="24"/>
        </w:rPr>
      </w:pPr>
      <w:r w:rsidRPr="00056DFA">
        <w:rPr>
          <w:sz w:val="24"/>
          <w:szCs w:val="24"/>
        </w:rPr>
        <w:t>Проведените дейности и реализираните програми през отчетния период имат следния ефект за обществото – реализирани програми и проекти, включване на деца в спортни занимания и участие на хора от различни възрастови, отраслови и социални групи от населението</w:t>
      </w:r>
      <w:r w:rsidRPr="00056DFA">
        <w:rPr>
          <w:sz w:val="24"/>
          <w:szCs w:val="24"/>
          <w:lang w:val="ru-RU"/>
        </w:rPr>
        <w:t xml:space="preserve"> в спортни дейности и прояви</w:t>
      </w:r>
      <w:r w:rsidRPr="00056DFA">
        <w:rPr>
          <w:sz w:val="24"/>
          <w:szCs w:val="24"/>
        </w:rPr>
        <w:t xml:space="preserve">, повишена активност и капацитет на спортните организации и утвърждаване на програмно и проектно финансиране при подпомагане обществено полезната дейност на спортните организации при реализиране на проектите по програмите в областта на спорта за всички. </w:t>
      </w:r>
    </w:p>
    <w:p w:rsidR="004310B2" w:rsidRPr="00056DFA" w:rsidRDefault="0035502E" w:rsidP="00056DFA">
      <w:pPr>
        <w:tabs>
          <w:tab w:val="left" w:pos="360"/>
        </w:tabs>
        <w:autoSpaceDE w:val="0"/>
        <w:autoSpaceDN w:val="0"/>
        <w:adjustRightInd w:val="0"/>
        <w:spacing w:before="0" w:after="0"/>
        <w:jc w:val="both"/>
        <w:rPr>
          <w:b/>
          <w:sz w:val="24"/>
          <w:szCs w:val="24"/>
        </w:rPr>
      </w:pPr>
      <w:r w:rsidRPr="00056DFA">
        <w:rPr>
          <w:b/>
          <w:sz w:val="24"/>
          <w:szCs w:val="24"/>
        </w:rPr>
        <w:t>Преглед на изпълнението на политиката в областта на спорта за високи постижения</w:t>
      </w:r>
    </w:p>
    <w:p w:rsidR="004310B2" w:rsidRPr="00056DFA" w:rsidRDefault="004310B2" w:rsidP="00056DFA">
      <w:pPr>
        <w:tabs>
          <w:tab w:val="left" w:pos="360"/>
          <w:tab w:val="num" w:pos="1080"/>
        </w:tabs>
        <w:spacing w:before="0" w:after="0"/>
        <w:jc w:val="both"/>
        <w:rPr>
          <w:b/>
          <w:caps/>
          <w:sz w:val="24"/>
          <w:szCs w:val="24"/>
        </w:rPr>
      </w:pPr>
      <w:r w:rsidRPr="00056DFA">
        <w:rPr>
          <w:sz w:val="24"/>
          <w:szCs w:val="24"/>
        </w:rPr>
        <w:t>Основните стратегически цели са: реализиране на програми за спорт за високи постижения и осигуряване на ефективен тренировъчен процес за постигане на спортни резултати на международно ниво;</w:t>
      </w:r>
      <w:r w:rsidRPr="00BF123C">
        <w:rPr>
          <w:sz w:val="24"/>
          <w:szCs w:val="24"/>
        </w:rPr>
        <w:t xml:space="preserve"> </w:t>
      </w:r>
      <w:r w:rsidRPr="00056DFA">
        <w:rPr>
          <w:sz w:val="24"/>
          <w:szCs w:val="24"/>
        </w:rPr>
        <w:t>разработване и внедряване на нови методики за оптимизиране на методите за контрол и оценка на ефективността на тренировъчните въздействия; реализиране на проекти за провеждане на европейски, световни и други международни първенства на територията на Република България; координация и контрол на тренировъчния процес на елитните български спортисти, чрез прилагане на научно-обосновани методики  за постигане на високи спортни резултати; създаване на устойчиви механизми за борба срещу допинга и срещу използването в спорта на вредни за здравето медикаменти.</w:t>
      </w:r>
    </w:p>
    <w:p w:rsidR="004310B2" w:rsidRPr="00056DFA" w:rsidRDefault="004310B2" w:rsidP="00056DFA">
      <w:pPr>
        <w:tabs>
          <w:tab w:val="left" w:pos="360"/>
        </w:tabs>
        <w:spacing w:before="0" w:after="0"/>
        <w:jc w:val="both"/>
        <w:rPr>
          <w:sz w:val="24"/>
          <w:szCs w:val="24"/>
        </w:rPr>
      </w:pPr>
      <w:r w:rsidRPr="00056DFA">
        <w:rPr>
          <w:sz w:val="24"/>
          <w:szCs w:val="24"/>
        </w:rPr>
        <w:t xml:space="preserve">Основните стратегически цели се изпълняват чрез програмите на ММС за олимпийска подготовка и за развитие на спорта за високи постижения за олимпийски и неолимпийски спортове. По програмите са разгледани и одобрени проектите на </w:t>
      </w:r>
      <w:r w:rsidRPr="00056DFA">
        <w:rPr>
          <w:sz w:val="24"/>
          <w:szCs w:val="24"/>
          <w:lang w:val="ru-RU"/>
        </w:rPr>
        <w:t xml:space="preserve">47 </w:t>
      </w:r>
      <w:r w:rsidRPr="00056DFA">
        <w:rPr>
          <w:sz w:val="24"/>
          <w:szCs w:val="24"/>
        </w:rPr>
        <w:t xml:space="preserve">спортни федерации, като са сключени договори за финансово подпомагане на дейностите по проектите. Изготвени договори за подпомагане от ММС за провеждането на </w:t>
      </w:r>
      <w:r w:rsidRPr="00056DFA">
        <w:rPr>
          <w:sz w:val="24"/>
          <w:szCs w:val="24"/>
          <w:lang w:val="ru-RU"/>
        </w:rPr>
        <w:t>16</w:t>
      </w:r>
      <w:r w:rsidRPr="00056DFA">
        <w:rPr>
          <w:color w:val="FF0000"/>
          <w:sz w:val="24"/>
          <w:szCs w:val="24"/>
        </w:rPr>
        <w:t xml:space="preserve"> </w:t>
      </w:r>
      <w:r w:rsidRPr="00056DFA">
        <w:rPr>
          <w:sz w:val="24"/>
          <w:szCs w:val="24"/>
        </w:rPr>
        <w:t>световни и европейски първенства, световни и европейски купи на територията на Република България по одобрени проекти.  През периода 01.01-3</w:t>
      </w:r>
      <w:r w:rsidRPr="00BF123C">
        <w:rPr>
          <w:sz w:val="24"/>
          <w:szCs w:val="24"/>
        </w:rPr>
        <w:t>1</w:t>
      </w:r>
      <w:r w:rsidRPr="00056DFA">
        <w:rPr>
          <w:sz w:val="24"/>
          <w:szCs w:val="24"/>
        </w:rPr>
        <w:t>.</w:t>
      </w:r>
      <w:r w:rsidRPr="00BF123C">
        <w:rPr>
          <w:sz w:val="24"/>
          <w:szCs w:val="24"/>
        </w:rPr>
        <w:t>12</w:t>
      </w:r>
      <w:r w:rsidRPr="00056DFA">
        <w:rPr>
          <w:sz w:val="24"/>
          <w:szCs w:val="24"/>
        </w:rPr>
        <w:t>.201</w:t>
      </w:r>
      <w:r w:rsidRPr="00056DFA">
        <w:rPr>
          <w:sz w:val="24"/>
          <w:szCs w:val="24"/>
          <w:lang w:val="ru-RU"/>
        </w:rPr>
        <w:t xml:space="preserve">7 </w:t>
      </w:r>
      <w:r w:rsidRPr="00056DFA">
        <w:rPr>
          <w:sz w:val="24"/>
          <w:szCs w:val="24"/>
        </w:rPr>
        <w:t xml:space="preserve">г. са подновени </w:t>
      </w:r>
      <w:r w:rsidRPr="00BF123C">
        <w:rPr>
          <w:sz w:val="24"/>
          <w:szCs w:val="24"/>
        </w:rPr>
        <w:t>56</w:t>
      </w:r>
      <w:r w:rsidRPr="00056DFA">
        <w:rPr>
          <w:sz w:val="24"/>
          <w:szCs w:val="24"/>
        </w:rPr>
        <w:t xml:space="preserve"> спортни лицензии, вписани са </w:t>
      </w:r>
      <w:r w:rsidRPr="00BF123C">
        <w:rPr>
          <w:sz w:val="24"/>
          <w:szCs w:val="24"/>
        </w:rPr>
        <w:t>243</w:t>
      </w:r>
      <w:r w:rsidRPr="00056DFA">
        <w:rPr>
          <w:sz w:val="24"/>
          <w:szCs w:val="24"/>
        </w:rPr>
        <w:t xml:space="preserve"> спортни клуба и са направени </w:t>
      </w:r>
      <w:r w:rsidRPr="00056DFA">
        <w:rPr>
          <w:sz w:val="24"/>
          <w:szCs w:val="24"/>
          <w:lang w:val="ru-RU"/>
        </w:rPr>
        <w:t>1</w:t>
      </w:r>
      <w:r w:rsidRPr="00BF123C">
        <w:rPr>
          <w:sz w:val="24"/>
          <w:szCs w:val="24"/>
        </w:rPr>
        <w:t>702</w:t>
      </w:r>
      <w:r w:rsidRPr="00056DFA">
        <w:rPr>
          <w:sz w:val="24"/>
          <w:szCs w:val="24"/>
        </w:rPr>
        <w:t xml:space="preserve"> актуализации на данните на спортни федерации и спортни клубове.</w:t>
      </w:r>
    </w:p>
    <w:p w:rsidR="004310B2" w:rsidRPr="00056DFA" w:rsidRDefault="004310B2" w:rsidP="00056DFA">
      <w:pPr>
        <w:spacing w:before="0" w:after="0"/>
        <w:jc w:val="both"/>
        <w:rPr>
          <w:sz w:val="24"/>
          <w:szCs w:val="24"/>
        </w:rPr>
      </w:pPr>
      <w:r w:rsidRPr="00056DFA">
        <w:rPr>
          <w:sz w:val="24"/>
          <w:szCs w:val="24"/>
        </w:rPr>
        <w:t xml:space="preserve">Извърши се планов </w:t>
      </w:r>
      <w:r w:rsidRPr="00056DFA">
        <w:rPr>
          <w:spacing w:val="-2"/>
          <w:sz w:val="24"/>
          <w:szCs w:val="24"/>
          <w:lang w:eastAsia="en-US"/>
        </w:rPr>
        <w:t>надзорен одит</w:t>
      </w:r>
      <w:r w:rsidRPr="00056DFA">
        <w:rPr>
          <w:sz w:val="24"/>
          <w:szCs w:val="24"/>
        </w:rPr>
        <w:t xml:space="preserve"> </w:t>
      </w:r>
      <w:r w:rsidRPr="00056DFA">
        <w:rPr>
          <w:spacing w:val="-2"/>
          <w:sz w:val="24"/>
          <w:szCs w:val="24"/>
        </w:rPr>
        <w:t xml:space="preserve">на Лабораторията за допингов контрол </w:t>
      </w:r>
      <w:r w:rsidRPr="00056DFA">
        <w:rPr>
          <w:sz w:val="24"/>
          <w:szCs w:val="24"/>
        </w:rPr>
        <w:t>по стандарт БДС EN ISO/IEC 17025:200</w:t>
      </w:r>
      <w:r w:rsidRPr="00BF123C">
        <w:rPr>
          <w:sz w:val="24"/>
          <w:szCs w:val="24"/>
        </w:rPr>
        <w:t>6</w:t>
      </w:r>
      <w:r w:rsidRPr="00056DFA">
        <w:rPr>
          <w:spacing w:val="-2"/>
          <w:sz w:val="24"/>
          <w:szCs w:val="24"/>
        </w:rPr>
        <w:t xml:space="preserve"> и се </w:t>
      </w:r>
      <w:r w:rsidRPr="00056DFA">
        <w:rPr>
          <w:sz w:val="24"/>
          <w:szCs w:val="24"/>
        </w:rPr>
        <w:t>разшири обхвата  на акредитация.</w:t>
      </w:r>
      <w:r w:rsidRPr="00056DFA">
        <w:rPr>
          <w:spacing w:val="-2"/>
          <w:sz w:val="24"/>
          <w:szCs w:val="24"/>
        </w:rPr>
        <w:t xml:space="preserve"> По предложение на </w:t>
      </w:r>
      <w:proofErr w:type="spellStart"/>
      <w:r w:rsidRPr="00056DFA">
        <w:rPr>
          <w:spacing w:val="-2"/>
          <w:sz w:val="24"/>
          <w:szCs w:val="24"/>
        </w:rPr>
        <w:t>о</w:t>
      </w:r>
      <w:r w:rsidRPr="00056DFA">
        <w:rPr>
          <w:sz w:val="24"/>
          <w:szCs w:val="24"/>
        </w:rPr>
        <w:t>диторите</w:t>
      </w:r>
      <w:proofErr w:type="spellEnd"/>
      <w:r w:rsidRPr="00056DFA">
        <w:rPr>
          <w:sz w:val="24"/>
          <w:szCs w:val="24"/>
        </w:rPr>
        <w:t xml:space="preserve"> са включени два нови вътрешно-лабораторни </w:t>
      </w:r>
      <w:proofErr w:type="spellStart"/>
      <w:r w:rsidRPr="00056DFA">
        <w:rPr>
          <w:sz w:val="24"/>
          <w:szCs w:val="24"/>
        </w:rPr>
        <w:t>валидирани</w:t>
      </w:r>
      <w:proofErr w:type="spellEnd"/>
      <w:r w:rsidRPr="00056DFA">
        <w:rPr>
          <w:sz w:val="24"/>
          <w:szCs w:val="24"/>
        </w:rPr>
        <w:t xml:space="preserve"> методи по Забранителния списък на САА. От 14.07.2017 г. Лабораторията за допингов контрол  получи нов </w:t>
      </w:r>
      <w:proofErr w:type="spellStart"/>
      <w:r w:rsidRPr="00056DFA">
        <w:rPr>
          <w:sz w:val="24"/>
          <w:szCs w:val="24"/>
        </w:rPr>
        <w:t>акредитационен</w:t>
      </w:r>
      <w:proofErr w:type="spellEnd"/>
      <w:r w:rsidRPr="00056DFA">
        <w:rPr>
          <w:sz w:val="24"/>
          <w:szCs w:val="24"/>
        </w:rPr>
        <w:t xml:space="preserve"> сертификат за 7 метода.</w:t>
      </w:r>
    </w:p>
    <w:p w:rsidR="004310B2" w:rsidRPr="00056DFA" w:rsidRDefault="004310B2" w:rsidP="00056DFA">
      <w:pPr>
        <w:spacing w:before="0" w:after="0"/>
        <w:jc w:val="both"/>
        <w:rPr>
          <w:sz w:val="24"/>
          <w:szCs w:val="24"/>
        </w:rPr>
      </w:pPr>
      <w:r w:rsidRPr="00056DFA">
        <w:rPr>
          <w:sz w:val="24"/>
          <w:szCs w:val="24"/>
        </w:rPr>
        <w:t>Продължава подготовката на Лабораторията за допингов контрол за встъпване в акредитация към Световната антидопингова агенция и в съответствие с изискванията на Международния стандарт за лабораториите и ISO/IEC 17025.</w:t>
      </w:r>
    </w:p>
    <w:p w:rsidR="004310B2" w:rsidRPr="00056DFA" w:rsidRDefault="004310B2" w:rsidP="00056DFA">
      <w:pPr>
        <w:spacing w:before="0" w:after="0"/>
        <w:jc w:val="both"/>
        <w:rPr>
          <w:sz w:val="24"/>
          <w:szCs w:val="24"/>
        </w:rPr>
      </w:pPr>
      <w:r w:rsidRPr="00056DFA">
        <w:rPr>
          <w:sz w:val="24"/>
          <w:szCs w:val="24"/>
        </w:rPr>
        <w:t xml:space="preserve">Изготвени са </w:t>
      </w:r>
      <w:r w:rsidRPr="00BF123C">
        <w:rPr>
          <w:sz w:val="24"/>
          <w:szCs w:val="24"/>
        </w:rPr>
        <w:t>49</w:t>
      </w:r>
      <w:r w:rsidRPr="00056DFA">
        <w:rPr>
          <w:sz w:val="24"/>
          <w:szCs w:val="24"/>
        </w:rPr>
        <w:t xml:space="preserve"> заповеди за материално стимулиране на спортисти и треньори и са наградени общо  </w:t>
      </w:r>
      <w:r w:rsidRPr="00BF123C">
        <w:rPr>
          <w:sz w:val="24"/>
          <w:szCs w:val="24"/>
        </w:rPr>
        <w:t>266</w:t>
      </w:r>
      <w:r w:rsidRPr="00056DFA">
        <w:rPr>
          <w:sz w:val="24"/>
          <w:szCs w:val="24"/>
        </w:rPr>
        <w:t xml:space="preserve"> спортисти</w:t>
      </w:r>
      <w:r w:rsidRPr="00BF123C">
        <w:rPr>
          <w:sz w:val="24"/>
          <w:szCs w:val="24"/>
        </w:rPr>
        <w:t xml:space="preserve">, </w:t>
      </w:r>
      <w:r w:rsidRPr="00056DFA">
        <w:rPr>
          <w:sz w:val="24"/>
          <w:szCs w:val="24"/>
        </w:rPr>
        <w:t>в това число 91 спортисти по олимпийски спортове и 175 спортисти по неолимпийски спортове, 168 треньори и 134 длъжностни лица и административен персонал.</w:t>
      </w:r>
    </w:p>
    <w:p w:rsidR="004310B2" w:rsidRPr="00056DFA" w:rsidRDefault="0035502E" w:rsidP="00056DFA">
      <w:pPr>
        <w:tabs>
          <w:tab w:val="left" w:pos="360"/>
        </w:tabs>
        <w:spacing w:before="0" w:after="0"/>
        <w:jc w:val="both"/>
        <w:rPr>
          <w:b/>
          <w:sz w:val="24"/>
          <w:szCs w:val="24"/>
        </w:rPr>
      </w:pPr>
      <w:r w:rsidRPr="00056DFA">
        <w:rPr>
          <w:b/>
          <w:sz w:val="24"/>
          <w:szCs w:val="24"/>
        </w:rPr>
        <w:tab/>
        <w:t>Преглед на изпълнението на политиката в областта на привеждането на спортните обекти и съоръжения във вид, отговарящ на съвременните международни стандарти</w:t>
      </w:r>
    </w:p>
    <w:p w:rsidR="004310B2" w:rsidRPr="00056DFA" w:rsidRDefault="004310B2" w:rsidP="00056DFA">
      <w:pPr>
        <w:tabs>
          <w:tab w:val="left" w:pos="360"/>
        </w:tabs>
        <w:spacing w:before="0" w:after="0"/>
        <w:jc w:val="both"/>
        <w:rPr>
          <w:sz w:val="24"/>
          <w:szCs w:val="24"/>
        </w:rPr>
      </w:pPr>
      <w:r w:rsidRPr="00056DFA">
        <w:rPr>
          <w:sz w:val="24"/>
          <w:szCs w:val="24"/>
        </w:rPr>
        <w:lastRenderedPageBreak/>
        <w:t>Държавната политика в тази област е насочена към привеждане на спортните обекти и съоръжения и обектите за социален туризъм във вид, отговарящ на съвременните международни стандарти. Друга насока на тази политика е реконструкцията и модернизацията на материално-техническата база, ползвана от държавните спортни училища.</w:t>
      </w:r>
    </w:p>
    <w:p w:rsidR="004310B2" w:rsidRPr="00056DFA" w:rsidRDefault="004310B2" w:rsidP="00056DFA">
      <w:pPr>
        <w:tabs>
          <w:tab w:val="left" w:pos="360"/>
          <w:tab w:val="left" w:pos="7755"/>
        </w:tabs>
        <w:spacing w:before="0" w:after="0"/>
        <w:jc w:val="both"/>
        <w:rPr>
          <w:sz w:val="24"/>
          <w:szCs w:val="24"/>
        </w:rPr>
      </w:pPr>
      <w:r w:rsidRPr="00056DFA">
        <w:rPr>
          <w:sz w:val="24"/>
          <w:szCs w:val="24"/>
        </w:rPr>
        <w:t xml:space="preserve">Изпълнението на заложените цели по политиката се постига чрез изграждане на нова спортна инфраструктура, ремонт, реконструкция, модернизация и поддръжка на съществуващите спортни обекти и съоръжения, в съответствие с изискванията на </w:t>
      </w:r>
      <w:proofErr w:type="spellStart"/>
      <w:r w:rsidRPr="00056DFA">
        <w:rPr>
          <w:sz w:val="24"/>
          <w:szCs w:val="24"/>
        </w:rPr>
        <w:t>относимите</w:t>
      </w:r>
      <w:proofErr w:type="spellEnd"/>
      <w:r w:rsidRPr="00056DFA">
        <w:rPr>
          <w:sz w:val="24"/>
          <w:szCs w:val="24"/>
        </w:rPr>
        <w:t xml:space="preserve"> международни нормативи и създаване на условия за достъп до тях на хора с увреждания. Посочената стратегическа цел е залегнала и в Програмата на правителството за стабилно развитие на Република България 2014-2018 (приоритет 21.6)</w:t>
      </w:r>
      <w:r w:rsidR="00124C1A">
        <w:rPr>
          <w:sz w:val="24"/>
          <w:szCs w:val="24"/>
        </w:rPr>
        <w:t>.</w:t>
      </w:r>
    </w:p>
    <w:p w:rsidR="004310B2" w:rsidRPr="00056DFA" w:rsidRDefault="004310B2" w:rsidP="00056DFA">
      <w:pPr>
        <w:spacing w:before="0" w:after="0"/>
        <w:jc w:val="both"/>
        <w:rPr>
          <w:sz w:val="24"/>
          <w:szCs w:val="24"/>
        </w:rPr>
      </w:pPr>
      <w:r w:rsidRPr="00056DFA">
        <w:rPr>
          <w:sz w:val="24"/>
          <w:szCs w:val="24"/>
        </w:rPr>
        <w:t xml:space="preserve">Реализирането на стратегическите цели на ММС в областта на </w:t>
      </w:r>
      <w:r w:rsidRPr="00056DFA">
        <w:rPr>
          <w:i/>
          <w:sz w:val="24"/>
          <w:szCs w:val="24"/>
        </w:rPr>
        <w:t>спорта за учащи</w:t>
      </w:r>
      <w:r w:rsidRPr="00056DFA">
        <w:rPr>
          <w:sz w:val="24"/>
          <w:szCs w:val="24"/>
        </w:rPr>
        <w:t xml:space="preserve"> е свързано с поетапното осигуряване на подходяща материално-техническа база и оборудване със спортни уреди и пособия на субекти, изпълняващи функции в областта на спорта за учащи. Към настоящия момент са проведени процедури по обществени поръчки за възлагане на инженеринг, строителни работи и др. на сгради на държавните спортни училища със средства предоставени по „Операт</w:t>
      </w:r>
      <w:r w:rsidR="00124C1A">
        <w:rPr>
          <w:sz w:val="24"/>
          <w:szCs w:val="24"/>
        </w:rPr>
        <w:t>ивна програма Региони в растеж“.</w:t>
      </w:r>
    </w:p>
    <w:p w:rsidR="004310B2" w:rsidRPr="00056DFA" w:rsidRDefault="0035502E" w:rsidP="00056DFA">
      <w:pPr>
        <w:tabs>
          <w:tab w:val="left" w:pos="360"/>
        </w:tabs>
        <w:spacing w:before="0" w:after="0"/>
        <w:jc w:val="both"/>
        <w:rPr>
          <w:b/>
          <w:caps/>
          <w:sz w:val="24"/>
          <w:szCs w:val="24"/>
        </w:rPr>
      </w:pPr>
      <w:r w:rsidRPr="00056DFA">
        <w:rPr>
          <w:b/>
          <w:sz w:val="24"/>
          <w:szCs w:val="24"/>
        </w:rPr>
        <w:t>Преглед на изпълнението на политиката в областта на усвояването и прилагането на добри международни практики за спорта</w:t>
      </w:r>
    </w:p>
    <w:p w:rsidR="004310B2" w:rsidRPr="00056DFA" w:rsidRDefault="004310B2" w:rsidP="00056DFA">
      <w:pPr>
        <w:tabs>
          <w:tab w:val="left" w:pos="360"/>
        </w:tabs>
        <w:spacing w:before="0" w:after="0"/>
        <w:jc w:val="both"/>
        <w:rPr>
          <w:sz w:val="24"/>
          <w:szCs w:val="24"/>
        </w:rPr>
      </w:pPr>
      <w:r w:rsidRPr="00056DFA">
        <w:rPr>
          <w:sz w:val="24"/>
          <w:szCs w:val="24"/>
        </w:rPr>
        <w:t>Стратегическата цел на програмата е внедряване на модерния европейски опит и добрите международни практики в Република България.</w:t>
      </w:r>
    </w:p>
    <w:p w:rsidR="004310B2" w:rsidRPr="00056DFA" w:rsidRDefault="004310B2" w:rsidP="00056DFA">
      <w:pPr>
        <w:tabs>
          <w:tab w:val="left" w:pos="360"/>
        </w:tabs>
        <w:spacing w:before="0" w:after="0"/>
        <w:jc w:val="both"/>
        <w:rPr>
          <w:sz w:val="24"/>
          <w:szCs w:val="24"/>
        </w:rPr>
      </w:pPr>
      <w:r w:rsidRPr="00056DFA">
        <w:rPr>
          <w:sz w:val="24"/>
          <w:szCs w:val="24"/>
        </w:rPr>
        <w:t>Постигането на стратегическата цел се извършва чрез реализирането на следните оперативни цели:</w:t>
      </w:r>
    </w:p>
    <w:p w:rsidR="004310B2" w:rsidRPr="00056DFA" w:rsidRDefault="004310B2" w:rsidP="00056DFA">
      <w:pPr>
        <w:keepLines/>
        <w:numPr>
          <w:ilvl w:val="0"/>
          <w:numId w:val="58"/>
        </w:numPr>
        <w:tabs>
          <w:tab w:val="num" w:pos="360"/>
        </w:tabs>
        <w:spacing w:before="0" w:after="0"/>
        <w:ind w:left="0" w:firstLine="567"/>
        <w:jc w:val="both"/>
        <w:rPr>
          <w:sz w:val="24"/>
          <w:szCs w:val="24"/>
        </w:rPr>
      </w:pPr>
      <w:r w:rsidRPr="00056DFA">
        <w:rPr>
          <w:sz w:val="24"/>
          <w:szCs w:val="24"/>
        </w:rPr>
        <w:t xml:space="preserve">Подкрепа на дейността на спортните организации за внедряване на нови европейски и световни управленски практики. </w:t>
      </w:r>
    </w:p>
    <w:p w:rsidR="004310B2" w:rsidRPr="00056DFA" w:rsidRDefault="004310B2" w:rsidP="00056DFA">
      <w:pPr>
        <w:keepLines/>
        <w:numPr>
          <w:ilvl w:val="0"/>
          <w:numId w:val="58"/>
        </w:numPr>
        <w:tabs>
          <w:tab w:val="num" w:pos="360"/>
        </w:tabs>
        <w:spacing w:before="0" w:after="0"/>
        <w:ind w:left="0" w:firstLine="567"/>
        <w:jc w:val="both"/>
        <w:rPr>
          <w:sz w:val="24"/>
          <w:szCs w:val="24"/>
        </w:rPr>
      </w:pPr>
      <w:r w:rsidRPr="00056DFA">
        <w:rPr>
          <w:i/>
          <w:sz w:val="24"/>
          <w:szCs w:val="24"/>
        </w:rPr>
        <w:t xml:space="preserve"> </w:t>
      </w:r>
      <w:r w:rsidRPr="00056DFA">
        <w:rPr>
          <w:sz w:val="24"/>
          <w:szCs w:val="24"/>
        </w:rPr>
        <w:t xml:space="preserve">Изграждане на целеви мрежи за двустранно и многостранно сътрудничество с държавите-членки на ЕС и извън него. </w:t>
      </w:r>
    </w:p>
    <w:p w:rsidR="004310B2" w:rsidRPr="00056DFA" w:rsidRDefault="004310B2" w:rsidP="00056DFA">
      <w:pPr>
        <w:numPr>
          <w:ilvl w:val="0"/>
          <w:numId w:val="61"/>
        </w:numPr>
        <w:tabs>
          <w:tab w:val="left" w:pos="360"/>
        </w:tabs>
        <w:spacing w:before="0" w:after="0"/>
        <w:ind w:left="0" w:firstLine="567"/>
        <w:jc w:val="both"/>
        <w:rPr>
          <w:sz w:val="24"/>
          <w:szCs w:val="24"/>
        </w:rPr>
      </w:pPr>
      <w:r w:rsidRPr="00056DFA">
        <w:rPr>
          <w:sz w:val="24"/>
          <w:szCs w:val="24"/>
        </w:rPr>
        <w:t xml:space="preserve">Модернизиране на българското младежко и спортно законодателство в съответствие с добрите достижения в ЕС и в света. </w:t>
      </w:r>
    </w:p>
    <w:p w:rsidR="004310B2" w:rsidRPr="00056DFA" w:rsidRDefault="004310B2" w:rsidP="00056DFA">
      <w:pPr>
        <w:numPr>
          <w:ilvl w:val="0"/>
          <w:numId w:val="61"/>
        </w:numPr>
        <w:tabs>
          <w:tab w:val="left" w:pos="360"/>
        </w:tabs>
        <w:spacing w:before="0" w:after="0"/>
        <w:ind w:left="0" w:firstLine="567"/>
        <w:jc w:val="both"/>
        <w:rPr>
          <w:sz w:val="24"/>
          <w:szCs w:val="24"/>
        </w:rPr>
      </w:pPr>
      <w:r w:rsidRPr="00056DFA">
        <w:rPr>
          <w:sz w:val="24"/>
          <w:szCs w:val="24"/>
        </w:rPr>
        <w:t>Повишаване информираността на обществото за успехите и постиженията на Република България в областта на спорта</w:t>
      </w:r>
    </w:p>
    <w:p w:rsidR="004310B2" w:rsidRPr="00056DFA" w:rsidRDefault="004310B2" w:rsidP="00056DFA">
      <w:pPr>
        <w:spacing w:before="0" w:after="0"/>
        <w:jc w:val="both"/>
        <w:rPr>
          <w:sz w:val="24"/>
          <w:szCs w:val="24"/>
        </w:rPr>
      </w:pPr>
      <w:r w:rsidRPr="00056DFA">
        <w:rPr>
          <w:sz w:val="24"/>
          <w:szCs w:val="24"/>
        </w:rPr>
        <w:t>Постигната е добра степен на изпълнение на заложените стратегически и оперативни цели.</w:t>
      </w:r>
    </w:p>
    <w:p w:rsidR="004310B2" w:rsidRPr="00056DFA" w:rsidRDefault="004310B2" w:rsidP="00056DFA">
      <w:pPr>
        <w:tabs>
          <w:tab w:val="left" w:pos="312"/>
          <w:tab w:val="left" w:pos="360"/>
        </w:tabs>
        <w:spacing w:before="0" w:after="0"/>
        <w:jc w:val="both"/>
        <w:rPr>
          <w:sz w:val="24"/>
          <w:szCs w:val="24"/>
        </w:rPr>
      </w:pPr>
      <w:r w:rsidRPr="00056DFA">
        <w:rPr>
          <w:sz w:val="24"/>
          <w:szCs w:val="24"/>
        </w:rPr>
        <w:t>През месец октомври 2017</w:t>
      </w:r>
      <w:r w:rsidR="00124C1A">
        <w:rPr>
          <w:sz w:val="24"/>
          <w:szCs w:val="24"/>
        </w:rPr>
        <w:t xml:space="preserve"> </w:t>
      </w:r>
      <w:r w:rsidRPr="00056DFA">
        <w:rPr>
          <w:sz w:val="24"/>
          <w:szCs w:val="24"/>
        </w:rPr>
        <w:t xml:space="preserve">г. министърът на </w:t>
      </w:r>
      <w:proofErr w:type="spellStart"/>
      <w:r w:rsidRPr="00056DFA">
        <w:rPr>
          <w:sz w:val="24"/>
          <w:szCs w:val="24"/>
        </w:rPr>
        <w:t>младежта</w:t>
      </w:r>
      <w:proofErr w:type="spellEnd"/>
      <w:r w:rsidRPr="00056DFA">
        <w:rPr>
          <w:sz w:val="24"/>
          <w:szCs w:val="24"/>
        </w:rPr>
        <w:t xml:space="preserve"> и спорта г-н Красен Кралев беше избран за член на Управителния съвет на Световната антидопингова агенция като представител на ЕС с мандат до 31 декември 2018 г. В тази връзка беше подготвено неговото участие в заседанията на Управителния съвет на Световната антидопингова агенция през месец ноември 2017г. в Сеул, Република Корея, а след това и представяне на резултатите от проведените заседания пред министрите на спорта от държавите членки на Е</w:t>
      </w:r>
      <w:r w:rsidR="00124C1A">
        <w:rPr>
          <w:sz w:val="24"/>
          <w:szCs w:val="24"/>
        </w:rPr>
        <w:t>в</w:t>
      </w:r>
      <w:r w:rsidRPr="00056DFA">
        <w:rPr>
          <w:sz w:val="24"/>
          <w:szCs w:val="24"/>
        </w:rPr>
        <w:t>ропейския съюз.</w:t>
      </w:r>
    </w:p>
    <w:p w:rsidR="004310B2" w:rsidRPr="00056DFA" w:rsidRDefault="004310B2" w:rsidP="00056DFA">
      <w:pPr>
        <w:tabs>
          <w:tab w:val="left" w:pos="312"/>
          <w:tab w:val="left" w:pos="360"/>
        </w:tabs>
        <w:spacing w:before="0" w:after="0"/>
        <w:jc w:val="both"/>
        <w:rPr>
          <w:bCs/>
          <w:sz w:val="24"/>
          <w:szCs w:val="24"/>
        </w:rPr>
      </w:pPr>
      <w:r w:rsidRPr="00056DFA">
        <w:rPr>
          <w:sz w:val="24"/>
          <w:szCs w:val="24"/>
        </w:rPr>
        <w:t xml:space="preserve">Беше оказано съдействие за организирането на участие на младежки представители в програмата за ежегоден обмен на младежи с Република Корея през месец септември 2017 г. по силата на Споразумението за сътрудничество в областта на </w:t>
      </w:r>
      <w:proofErr w:type="spellStart"/>
      <w:r w:rsidRPr="00056DFA">
        <w:rPr>
          <w:sz w:val="24"/>
          <w:szCs w:val="24"/>
        </w:rPr>
        <w:t>младежта</w:t>
      </w:r>
      <w:proofErr w:type="spellEnd"/>
      <w:r w:rsidRPr="00056DFA">
        <w:rPr>
          <w:sz w:val="24"/>
          <w:szCs w:val="24"/>
        </w:rPr>
        <w:t xml:space="preserve"> между България и Република Корея.</w:t>
      </w:r>
    </w:p>
    <w:p w:rsidR="00124C1A" w:rsidRPr="00124C1A" w:rsidRDefault="00124C1A" w:rsidP="00124C1A">
      <w:pPr>
        <w:tabs>
          <w:tab w:val="left" w:pos="360"/>
        </w:tabs>
        <w:autoSpaceDE w:val="0"/>
        <w:autoSpaceDN w:val="0"/>
        <w:adjustRightInd w:val="0"/>
        <w:spacing w:before="0" w:after="0"/>
        <w:jc w:val="both"/>
        <w:rPr>
          <w:b/>
          <w:sz w:val="24"/>
          <w:szCs w:val="24"/>
        </w:rPr>
      </w:pPr>
      <w:r w:rsidRPr="00124C1A">
        <w:rPr>
          <w:b/>
          <w:sz w:val="24"/>
          <w:szCs w:val="24"/>
        </w:rPr>
        <w:t xml:space="preserve">Преглед на изпълнението на политиката в областта на младите хора </w:t>
      </w:r>
    </w:p>
    <w:p w:rsidR="004310B2" w:rsidRPr="00056DFA" w:rsidRDefault="004310B2" w:rsidP="00056DFA">
      <w:pPr>
        <w:tabs>
          <w:tab w:val="left" w:pos="360"/>
        </w:tabs>
        <w:spacing w:before="0" w:after="0"/>
        <w:jc w:val="both"/>
        <w:rPr>
          <w:sz w:val="24"/>
          <w:szCs w:val="24"/>
        </w:rPr>
      </w:pPr>
      <w:r w:rsidRPr="00056DFA">
        <w:rPr>
          <w:sz w:val="24"/>
          <w:szCs w:val="24"/>
        </w:rPr>
        <w:t xml:space="preserve">Основната стратегическа цел в политиката за </w:t>
      </w:r>
      <w:proofErr w:type="spellStart"/>
      <w:r w:rsidRPr="00056DFA">
        <w:rPr>
          <w:sz w:val="24"/>
          <w:szCs w:val="24"/>
        </w:rPr>
        <w:t>младежта</w:t>
      </w:r>
      <w:proofErr w:type="spellEnd"/>
      <w:r w:rsidRPr="00056DFA">
        <w:rPr>
          <w:sz w:val="24"/>
          <w:szCs w:val="24"/>
        </w:rPr>
        <w:t xml:space="preserve"> е подобряване на качеството на живот на младите хора и на условията за успех на всеки млад човек чрез създаване на устойчиви механизми за инвестиране в </w:t>
      </w:r>
      <w:proofErr w:type="spellStart"/>
      <w:r w:rsidRPr="00056DFA">
        <w:rPr>
          <w:sz w:val="24"/>
          <w:szCs w:val="24"/>
        </w:rPr>
        <w:t>младежта</w:t>
      </w:r>
      <w:proofErr w:type="spellEnd"/>
      <w:r w:rsidRPr="00056DFA">
        <w:rPr>
          <w:sz w:val="24"/>
          <w:szCs w:val="24"/>
        </w:rPr>
        <w:t xml:space="preserve"> като значим социален </w:t>
      </w:r>
      <w:r w:rsidRPr="00056DFA">
        <w:rPr>
          <w:sz w:val="24"/>
          <w:szCs w:val="24"/>
        </w:rPr>
        <w:lastRenderedPageBreak/>
        <w:t xml:space="preserve">капитал и за мобилизиране на потенциала на младите хора в развитието на България и Европейския съюз. Политиката в областта на младите хора се управлява посредством програма „Младите в действие”. </w:t>
      </w:r>
    </w:p>
    <w:p w:rsidR="004310B2" w:rsidRPr="00056DFA" w:rsidRDefault="004310B2" w:rsidP="00056DFA">
      <w:pPr>
        <w:tabs>
          <w:tab w:val="left" w:pos="360"/>
        </w:tabs>
        <w:spacing w:before="0" w:after="0"/>
        <w:jc w:val="both"/>
        <w:rPr>
          <w:color w:val="FF0000"/>
          <w:sz w:val="24"/>
          <w:szCs w:val="24"/>
        </w:rPr>
      </w:pPr>
      <w:r w:rsidRPr="00056DFA">
        <w:rPr>
          <w:sz w:val="24"/>
          <w:szCs w:val="24"/>
        </w:rPr>
        <w:t xml:space="preserve">През отчетния период оперативните цели в областта на младежката политика са насочени към улесняване на достъпа до качествени услуги за специална подкрепа на пълноценното личностно и обществено развитие на младите хора в съответствие с потребностите и интересите им, развитие на </w:t>
      </w:r>
      <w:proofErr w:type="spellStart"/>
      <w:r w:rsidRPr="00056DFA">
        <w:rPr>
          <w:sz w:val="24"/>
          <w:szCs w:val="24"/>
        </w:rPr>
        <w:t>доброволчеството</w:t>
      </w:r>
      <w:proofErr w:type="spellEnd"/>
      <w:r w:rsidRPr="00056DFA">
        <w:rPr>
          <w:sz w:val="24"/>
          <w:szCs w:val="24"/>
        </w:rPr>
        <w:t xml:space="preserve"> сред младите хора като движеща сила за личностно развитие, мобилност, учене, </w:t>
      </w:r>
      <w:proofErr w:type="spellStart"/>
      <w:r w:rsidRPr="00056DFA">
        <w:rPr>
          <w:sz w:val="24"/>
          <w:szCs w:val="24"/>
        </w:rPr>
        <w:t>конкуретноспособност</w:t>
      </w:r>
      <w:proofErr w:type="spellEnd"/>
      <w:r w:rsidRPr="00056DFA">
        <w:rPr>
          <w:sz w:val="24"/>
          <w:szCs w:val="24"/>
        </w:rPr>
        <w:t>, социално сближаване, солидарност между поколенията и формиране на гражданско самосъзнание, осигуряване на възможности за пълноценно участие на младите хора в гражданския живот и за приобщаване към основните демократични ценности</w:t>
      </w:r>
      <w:r w:rsidRPr="00056DFA">
        <w:rPr>
          <w:sz w:val="24"/>
          <w:szCs w:val="24"/>
          <w:lang w:val="ru-RU"/>
        </w:rPr>
        <w:t xml:space="preserve"> </w:t>
      </w:r>
      <w:r w:rsidRPr="00056DFA">
        <w:rPr>
          <w:sz w:val="24"/>
          <w:szCs w:val="24"/>
        </w:rPr>
        <w:t>и стандарти.</w:t>
      </w:r>
    </w:p>
    <w:p w:rsidR="004310B2" w:rsidRPr="00056DFA" w:rsidRDefault="004310B2" w:rsidP="00056DFA">
      <w:pPr>
        <w:tabs>
          <w:tab w:val="left" w:pos="360"/>
        </w:tabs>
        <w:spacing w:before="0" w:after="0"/>
        <w:jc w:val="both"/>
        <w:rPr>
          <w:sz w:val="24"/>
          <w:szCs w:val="24"/>
        </w:rPr>
      </w:pPr>
      <w:r w:rsidRPr="00056DFA">
        <w:rPr>
          <w:sz w:val="24"/>
          <w:szCs w:val="24"/>
        </w:rPr>
        <w:t xml:space="preserve">Целите на Програма „Младите в действие” са насочени към осъществяване на ефективна национална политика за </w:t>
      </w:r>
      <w:proofErr w:type="spellStart"/>
      <w:r w:rsidRPr="00056DFA">
        <w:rPr>
          <w:sz w:val="24"/>
          <w:szCs w:val="24"/>
        </w:rPr>
        <w:t>младежта</w:t>
      </w:r>
      <w:proofErr w:type="spellEnd"/>
      <w:r w:rsidRPr="00056DFA">
        <w:rPr>
          <w:sz w:val="24"/>
          <w:szCs w:val="24"/>
        </w:rPr>
        <w:t xml:space="preserve">, която да стимулира инициативността на младите хора, техните организации и структури за успешното им развитие и реализация в обществения живот на страната и Европейския съюз. </w:t>
      </w:r>
    </w:p>
    <w:p w:rsidR="004310B2" w:rsidRPr="00D35AF7" w:rsidRDefault="004310B2" w:rsidP="00056DFA">
      <w:pPr>
        <w:tabs>
          <w:tab w:val="left" w:pos="7200"/>
        </w:tabs>
        <w:spacing w:before="0" w:after="0"/>
        <w:jc w:val="both"/>
        <w:rPr>
          <w:b/>
          <w:sz w:val="24"/>
          <w:szCs w:val="24"/>
        </w:rPr>
      </w:pPr>
      <w:r w:rsidRPr="00D35AF7">
        <w:rPr>
          <w:b/>
          <w:sz w:val="24"/>
          <w:szCs w:val="24"/>
        </w:rPr>
        <w:t>П</w:t>
      </w:r>
      <w:r w:rsidR="00D35AF7">
        <w:rPr>
          <w:b/>
          <w:sz w:val="24"/>
          <w:szCs w:val="24"/>
        </w:rPr>
        <w:t xml:space="preserve">редседателство на съвет на </w:t>
      </w:r>
      <w:r w:rsidRPr="00D35AF7">
        <w:rPr>
          <w:b/>
          <w:sz w:val="24"/>
          <w:szCs w:val="24"/>
        </w:rPr>
        <w:t>ЕС 2018 г.</w:t>
      </w:r>
    </w:p>
    <w:p w:rsidR="004310B2" w:rsidRPr="00056DFA" w:rsidRDefault="004310B2" w:rsidP="00056DFA">
      <w:pPr>
        <w:tabs>
          <w:tab w:val="left" w:pos="7200"/>
        </w:tabs>
        <w:spacing w:before="0" w:after="0"/>
        <w:jc w:val="both"/>
        <w:rPr>
          <w:color w:val="000000"/>
          <w:sz w:val="24"/>
          <w:szCs w:val="24"/>
        </w:rPr>
      </w:pPr>
      <w:r w:rsidRPr="00056DFA">
        <w:rPr>
          <w:sz w:val="24"/>
          <w:szCs w:val="24"/>
          <w:shd w:val="clear" w:color="auto" w:fill="FFFFFF"/>
        </w:rPr>
        <w:t xml:space="preserve">Подготовка на събитията в сектор „Младеж“ – </w:t>
      </w:r>
      <w:r w:rsidRPr="00056DFA">
        <w:rPr>
          <w:color w:val="000000"/>
          <w:sz w:val="24"/>
          <w:szCs w:val="24"/>
        </w:rPr>
        <w:t>Работна среща на Комитета за наблюдение на инициативата на ЕК „Структурен диалог“ (20-</w:t>
      </w:r>
      <w:r w:rsidRPr="00056DFA">
        <w:rPr>
          <w:sz w:val="24"/>
          <w:szCs w:val="24"/>
        </w:rPr>
        <w:t xml:space="preserve">22 март 2018 г.); </w:t>
      </w:r>
      <w:r w:rsidRPr="00056DFA">
        <w:rPr>
          <w:sz w:val="24"/>
          <w:szCs w:val="24"/>
          <w:shd w:val="clear" w:color="auto" w:fill="FFFFFF"/>
        </w:rPr>
        <w:t xml:space="preserve"> Европейска младежка конференция </w:t>
      </w:r>
      <w:r w:rsidRPr="00056DFA">
        <w:rPr>
          <w:color w:val="000000"/>
          <w:sz w:val="24"/>
          <w:szCs w:val="24"/>
        </w:rPr>
        <w:t>(16 - 19 април 2018 г.)</w:t>
      </w:r>
      <w:r w:rsidRPr="00056DFA">
        <w:rPr>
          <w:sz w:val="24"/>
          <w:szCs w:val="24"/>
          <w:shd w:val="clear" w:color="auto" w:fill="FFFFFF"/>
        </w:rPr>
        <w:t xml:space="preserve">; Среща на Генералните директори за младеж </w:t>
      </w:r>
      <w:r w:rsidRPr="00056DFA">
        <w:rPr>
          <w:color w:val="000000"/>
          <w:sz w:val="24"/>
          <w:szCs w:val="24"/>
        </w:rPr>
        <w:t>(19 – 20 април 2018 г.).</w:t>
      </w:r>
      <w:r w:rsidRPr="00056DFA">
        <w:rPr>
          <w:sz w:val="24"/>
          <w:szCs w:val="24"/>
        </w:rPr>
        <w:t xml:space="preserve"> </w:t>
      </w:r>
      <w:r w:rsidRPr="00056DFA">
        <w:rPr>
          <w:color w:val="000000"/>
          <w:sz w:val="24"/>
          <w:szCs w:val="24"/>
        </w:rPr>
        <w:t>6 участия в работна група „Младеж“ в гр. Брюксел.</w:t>
      </w:r>
      <w:r w:rsidRPr="00056DFA">
        <w:rPr>
          <w:color w:val="000000"/>
          <w:sz w:val="24"/>
          <w:szCs w:val="24"/>
        </w:rPr>
        <w:tab/>
      </w:r>
    </w:p>
    <w:p w:rsidR="004310B2" w:rsidRPr="00056DFA" w:rsidRDefault="004310B2" w:rsidP="00056DFA">
      <w:pPr>
        <w:tabs>
          <w:tab w:val="left" w:pos="7200"/>
        </w:tabs>
        <w:spacing w:before="0" w:after="0"/>
        <w:jc w:val="both"/>
        <w:rPr>
          <w:sz w:val="24"/>
          <w:szCs w:val="24"/>
        </w:rPr>
      </w:pPr>
      <w:r w:rsidRPr="00056DFA">
        <w:rPr>
          <w:sz w:val="24"/>
          <w:szCs w:val="24"/>
        </w:rPr>
        <w:t xml:space="preserve">Проведена е процедура по подбор на </w:t>
      </w:r>
      <w:proofErr w:type="spellStart"/>
      <w:r w:rsidRPr="00056DFA">
        <w:rPr>
          <w:sz w:val="24"/>
          <w:szCs w:val="24"/>
        </w:rPr>
        <w:t>фасилитатори</w:t>
      </w:r>
      <w:proofErr w:type="spellEnd"/>
      <w:r w:rsidRPr="00056DFA">
        <w:rPr>
          <w:sz w:val="24"/>
          <w:szCs w:val="24"/>
        </w:rPr>
        <w:t xml:space="preserve"> и </w:t>
      </w:r>
      <w:proofErr w:type="spellStart"/>
      <w:r w:rsidRPr="00056DFA">
        <w:rPr>
          <w:sz w:val="24"/>
          <w:szCs w:val="24"/>
        </w:rPr>
        <w:t>ко-фасилитатори</w:t>
      </w:r>
      <w:proofErr w:type="spellEnd"/>
      <w:r w:rsidRPr="00056DFA">
        <w:rPr>
          <w:sz w:val="24"/>
          <w:szCs w:val="24"/>
        </w:rPr>
        <w:t xml:space="preserve"> за </w:t>
      </w:r>
      <w:r w:rsidRPr="00056DFA">
        <w:rPr>
          <w:sz w:val="24"/>
          <w:szCs w:val="24"/>
          <w:shd w:val="clear" w:color="auto" w:fill="FFFFFF"/>
        </w:rPr>
        <w:t xml:space="preserve">Европейска младежка конференция. Сформиран е екип от 4 </w:t>
      </w:r>
      <w:proofErr w:type="spellStart"/>
      <w:r w:rsidRPr="00056DFA">
        <w:rPr>
          <w:sz w:val="24"/>
          <w:szCs w:val="24"/>
          <w:shd w:val="clear" w:color="auto" w:fill="FFFFFF"/>
        </w:rPr>
        <w:t>фасилитатори</w:t>
      </w:r>
      <w:proofErr w:type="spellEnd"/>
      <w:r w:rsidRPr="00056DFA">
        <w:rPr>
          <w:sz w:val="24"/>
          <w:szCs w:val="24"/>
          <w:shd w:val="clear" w:color="auto" w:fill="FFFFFF"/>
        </w:rPr>
        <w:t xml:space="preserve"> от Естония, България, Австрия и Европейски младежки форум и екип от 4</w:t>
      </w:r>
      <w:r w:rsidRPr="00056DFA">
        <w:rPr>
          <w:sz w:val="24"/>
          <w:szCs w:val="24"/>
        </w:rPr>
        <w:t xml:space="preserve"> </w:t>
      </w:r>
      <w:proofErr w:type="spellStart"/>
      <w:r w:rsidRPr="00056DFA">
        <w:rPr>
          <w:sz w:val="24"/>
          <w:szCs w:val="24"/>
        </w:rPr>
        <w:t>ко-фасилитатори</w:t>
      </w:r>
      <w:proofErr w:type="spellEnd"/>
      <w:r w:rsidRPr="00056DFA">
        <w:rPr>
          <w:sz w:val="24"/>
          <w:szCs w:val="24"/>
        </w:rPr>
        <w:t xml:space="preserve"> от България. </w:t>
      </w:r>
    </w:p>
    <w:p w:rsidR="004310B2" w:rsidRPr="00056DFA" w:rsidRDefault="004310B2" w:rsidP="00056DFA">
      <w:pPr>
        <w:tabs>
          <w:tab w:val="left" w:pos="7200"/>
        </w:tabs>
        <w:spacing w:before="0" w:after="0"/>
        <w:jc w:val="both"/>
        <w:rPr>
          <w:sz w:val="24"/>
          <w:szCs w:val="24"/>
          <w:shd w:val="clear" w:color="auto" w:fill="FFFFFF"/>
        </w:rPr>
      </w:pPr>
      <w:r w:rsidRPr="00056DFA">
        <w:rPr>
          <w:sz w:val="24"/>
          <w:szCs w:val="24"/>
        </w:rPr>
        <w:t xml:space="preserve">Проведена е процедура </w:t>
      </w:r>
      <w:r w:rsidRPr="00056DFA">
        <w:rPr>
          <w:sz w:val="24"/>
          <w:szCs w:val="24"/>
          <w:shd w:val="clear" w:color="auto" w:fill="FFFFFF"/>
        </w:rPr>
        <w:t>за набиране на доброволци за организиране и провеждане на събитията в сектор „Младеж“ по време на Българското председателството на Съвета на ЕС. Процедурата е преминала на два етапа – подбор по документи и интервюта. Сформиран е екип от 18 младежи.</w:t>
      </w:r>
    </w:p>
    <w:p w:rsidR="004310B2" w:rsidRPr="00056DFA" w:rsidRDefault="004310B2" w:rsidP="00056DFA">
      <w:pPr>
        <w:tabs>
          <w:tab w:val="left" w:pos="7200"/>
        </w:tabs>
        <w:spacing w:before="0" w:after="0"/>
        <w:jc w:val="both"/>
        <w:rPr>
          <w:sz w:val="24"/>
          <w:szCs w:val="24"/>
          <w:shd w:val="clear" w:color="auto" w:fill="FFFFFF"/>
        </w:rPr>
      </w:pPr>
      <w:r w:rsidRPr="00056DFA">
        <w:rPr>
          <w:sz w:val="24"/>
          <w:szCs w:val="24"/>
          <w:shd w:val="clear" w:color="auto" w:fill="FFFFFF"/>
        </w:rPr>
        <w:t>Ползата/ефектът от реализираната политика се измерва със следните показатели:</w:t>
      </w:r>
    </w:p>
    <w:p w:rsidR="004310B2" w:rsidRPr="00056DFA" w:rsidRDefault="004310B2" w:rsidP="00056DFA">
      <w:pPr>
        <w:numPr>
          <w:ilvl w:val="0"/>
          <w:numId w:val="60"/>
        </w:numPr>
        <w:spacing w:before="0" w:after="0"/>
        <w:ind w:left="0" w:firstLine="567"/>
        <w:contextualSpacing/>
        <w:jc w:val="both"/>
        <w:rPr>
          <w:rFonts w:eastAsia="MS Mincho"/>
          <w:sz w:val="24"/>
          <w:szCs w:val="24"/>
          <w:lang w:eastAsia="ja-JP"/>
        </w:rPr>
      </w:pPr>
      <w:r w:rsidRPr="00056DFA">
        <w:rPr>
          <w:rFonts w:eastAsia="MS Mincho"/>
          <w:sz w:val="24"/>
          <w:szCs w:val="24"/>
          <w:lang w:eastAsia="ja-JP"/>
        </w:rPr>
        <w:t xml:space="preserve">Популяризиране и </w:t>
      </w:r>
      <w:proofErr w:type="spellStart"/>
      <w:r w:rsidRPr="00056DFA">
        <w:rPr>
          <w:rFonts w:eastAsia="MS Mincho"/>
          <w:sz w:val="24"/>
          <w:szCs w:val="24"/>
          <w:lang w:eastAsia="ja-JP"/>
        </w:rPr>
        <w:t>изпълн</w:t>
      </w:r>
      <w:proofErr w:type="spellEnd"/>
      <w:r w:rsidRPr="00056DFA">
        <w:rPr>
          <w:rFonts w:eastAsia="MS Mincho"/>
          <w:sz w:val="24"/>
          <w:szCs w:val="24"/>
          <w:lang w:val="en-US" w:eastAsia="ja-JP"/>
        </w:rPr>
        <w:t>e</w:t>
      </w:r>
      <w:r w:rsidRPr="00056DFA">
        <w:rPr>
          <w:rFonts w:eastAsia="MS Mincho"/>
          <w:sz w:val="24"/>
          <w:szCs w:val="24"/>
          <w:lang w:eastAsia="ja-JP"/>
        </w:rPr>
        <w:t xml:space="preserve">ние на Националната стратегия за </w:t>
      </w:r>
      <w:proofErr w:type="spellStart"/>
      <w:r w:rsidRPr="00056DFA">
        <w:rPr>
          <w:rFonts w:eastAsia="MS Mincho"/>
          <w:sz w:val="24"/>
          <w:szCs w:val="24"/>
          <w:lang w:eastAsia="ja-JP"/>
        </w:rPr>
        <w:t>младежта</w:t>
      </w:r>
      <w:proofErr w:type="spellEnd"/>
      <w:r w:rsidRPr="00056DFA">
        <w:rPr>
          <w:rFonts w:eastAsia="MS Mincho"/>
          <w:sz w:val="24"/>
          <w:szCs w:val="24"/>
          <w:lang w:eastAsia="ja-JP"/>
        </w:rPr>
        <w:t xml:space="preserve"> (2010-2020); </w:t>
      </w:r>
    </w:p>
    <w:p w:rsidR="004310B2" w:rsidRPr="00056DFA" w:rsidRDefault="004310B2" w:rsidP="00056DFA">
      <w:pPr>
        <w:numPr>
          <w:ilvl w:val="0"/>
          <w:numId w:val="60"/>
        </w:numPr>
        <w:spacing w:before="0" w:after="0"/>
        <w:ind w:left="0" w:firstLine="567"/>
        <w:contextualSpacing/>
        <w:jc w:val="both"/>
        <w:rPr>
          <w:rFonts w:eastAsia="MS Mincho"/>
          <w:sz w:val="24"/>
          <w:szCs w:val="24"/>
          <w:lang w:eastAsia="ja-JP"/>
        </w:rPr>
      </w:pPr>
      <w:r w:rsidRPr="00056DFA">
        <w:rPr>
          <w:rFonts w:eastAsia="MS Mincho"/>
          <w:sz w:val="24"/>
          <w:szCs w:val="24"/>
          <w:lang w:eastAsia="ja-JP"/>
        </w:rPr>
        <w:t xml:space="preserve">Популяризиране и </w:t>
      </w:r>
      <w:proofErr w:type="spellStart"/>
      <w:r w:rsidRPr="00056DFA">
        <w:rPr>
          <w:rFonts w:eastAsia="MS Mincho"/>
          <w:sz w:val="24"/>
          <w:szCs w:val="24"/>
          <w:lang w:eastAsia="ja-JP"/>
        </w:rPr>
        <w:t>изпълн</w:t>
      </w:r>
      <w:proofErr w:type="spellEnd"/>
      <w:r w:rsidRPr="00056DFA">
        <w:rPr>
          <w:rFonts w:eastAsia="MS Mincho"/>
          <w:sz w:val="24"/>
          <w:szCs w:val="24"/>
          <w:lang w:val="en-US" w:eastAsia="ja-JP"/>
        </w:rPr>
        <w:t>e</w:t>
      </w:r>
      <w:r w:rsidRPr="00056DFA">
        <w:rPr>
          <w:rFonts w:eastAsia="MS Mincho"/>
          <w:sz w:val="24"/>
          <w:szCs w:val="24"/>
          <w:lang w:eastAsia="ja-JP"/>
        </w:rPr>
        <w:t xml:space="preserve">ние на Закона за </w:t>
      </w:r>
      <w:proofErr w:type="spellStart"/>
      <w:r w:rsidRPr="00056DFA">
        <w:rPr>
          <w:rFonts w:eastAsia="MS Mincho"/>
          <w:sz w:val="24"/>
          <w:szCs w:val="24"/>
          <w:lang w:eastAsia="ja-JP"/>
        </w:rPr>
        <w:t>младежта</w:t>
      </w:r>
      <w:proofErr w:type="spellEnd"/>
      <w:r w:rsidRPr="00056DFA">
        <w:rPr>
          <w:rFonts w:eastAsia="MS Mincho"/>
          <w:sz w:val="24"/>
          <w:szCs w:val="24"/>
          <w:lang w:eastAsia="ja-JP"/>
        </w:rPr>
        <w:t>;</w:t>
      </w:r>
    </w:p>
    <w:p w:rsidR="004310B2" w:rsidRPr="00056DFA" w:rsidRDefault="004310B2" w:rsidP="00056DFA">
      <w:pPr>
        <w:numPr>
          <w:ilvl w:val="0"/>
          <w:numId w:val="62"/>
        </w:numPr>
        <w:spacing w:before="0" w:after="0"/>
        <w:ind w:left="0" w:firstLine="567"/>
        <w:contextualSpacing/>
        <w:jc w:val="both"/>
        <w:rPr>
          <w:rFonts w:eastAsia="MS Mincho"/>
          <w:sz w:val="24"/>
          <w:szCs w:val="24"/>
          <w:lang w:eastAsia="ja-JP"/>
        </w:rPr>
      </w:pPr>
      <w:r w:rsidRPr="00056DFA">
        <w:rPr>
          <w:rFonts w:eastAsia="MS Mincho"/>
          <w:sz w:val="24"/>
          <w:szCs w:val="24"/>
          <w:lang w:eastAsia="ja-JP"/>
        </w:rPr>
        <w:t xml:space="preserve">Разработване на политики за </w:t>
      </w:r>
      <w:proofErr w:type="spellStart"/>
      <w:r w:rsidRPr="00056DFA">
        <w:rPr>
          <w:rFonts w:eastAsia="MS Mincho"/>
          <w:sz w:val="24"/>
          <w:szCs w:val="24"/>
          <w:lang w:eastAsia="ja-JP"/>
        </w:rPr>
        <w:t>младежта</w:t>
      </w:r>
      <w:proofErr w:type="spellEnd"/>
      <w:r w:rsidRPr="00056DFA">
        <w:rPr>
          <w:rFonts w:eastAsia="MS Mincho"/>
          <w:sz w:val="24"/>
          <w:szCs w:val="24"/>
          <w:lang w:eastAsia="ja-JP"/>
        </w:rPr>
        <w:t>, анализи и оценки  на политики и програми;</w:t>
      </w:r>
    </w:p>
    <w:p w:rsidR="004310B2" w:rsidRPr="00056DFA" w:rsidRDefault="004310B2" w:rsidP="00056DFA">
      <w:pPr>
        <w:numPr>
          <w:ilvl w:val="0"/>
          <w:numId w:val="62"/>
        </w:numPr>
        <w:spacing w:before="0" w:after="0"/>
        <w:ind w:left="0" w:firstLine="567"/>
        <w:contextualSpacing/>
        <w:jc w:val="both"/>
        <w:rPr>
          <w:rFonts w:eastAsia="MS Mincho"/>
          <w:i/>
          <w:sz w:val="24"/>
          <w:szCs w:val="24"/>
          <w:lang w:eastAsia="ja-JP"/>
        </w:rPr>
      </w:pPr>
      <w:r w:rsidRPr="00056DFA">
        <w:rPr>
          <w:rFonts w:eastAsia="MS Mincho"/>
          <w:sz w:val="24"/>
          <w:szCs w:val="24"/>
          <w:lang w:eastAsia="ja-JP"/>
        </w:rPr>
        <w:t>Участие в междуведомствени работни групи, инициирани от ММС или други държавни институции;</w:t>
      </w:r>
    </w:p>
    <w:p w:rsidR="004310B2" w:rsidRPr="00056DFA" w:rsidRDefault="004310B2" w:rsidP="00056DFA">
      <w:pPr>
        <w:numPr>
          <w:ilvl w:val="0"/>
          <w:numId w:val="62"/>
        </w:numPr>
        <w:spacing w:before="0" w:after="0"/>
        <w:ind w:left="0" w:firstLine="567"/>
        <w:contextualSpacing/>
        <w:jc w:val="both"/>
        <w:rPr>
          <w:rFonts w:eastAsia="MS Mincho"/>
          <w:i/>
          <w:sz w:val="24"/>
          <w:szCs w:val="24"/>
          <w:lang w:eastAsia="ja-JP"/>
        </w:rPr>
      </w:pPr>
      <w:r w:rsidRPr="00056DFA">
        <w:rPr>
          <w:rFonts w:eastAsia="MS Mincho"/>
          <w:sz w:val="24"/>
          <w:szCs w:val="24"/>
          <w:lang w:eastAsia="ja-JP"/>
        </w:rPr>
        <w:t>Обмен на добри практики и опит в областта на младежките дейности с международни организации и структури;</w:t>
      </w:r>
    </w:p>
    <w:p w:rsidR="004310B2" w:rsidRPr="00056DFA" w:rsidRDefault="004310B2" w:rsidP="00056DFA">
      <w:pPr>
        <w:numPr>
          <w:ilvl w:val="0"/>
          <w:numId w:val="62"/>
        </w:numPr>
        <w:spacing w:before="0" w:after="0"/>
        <w:ind w:left="0" w:firstLine="567"/>
        <w:contextualSpacing/>
        <w:jc w:val="both"/>
        <w:rPr>
          <w:rFonts w:eastAsia="MS Mincho"/>
          <w:i/>
          <w:sz w:val="24"/>
          <w:szCs w:val="24"/>
          <w:lang w:eastAsia="ja-JP"/>
        </w:rPr>
      </w:pPr>
      <w:r w:rsidRPr="00056DFA">
        <w:rPr>
          <w:rFonts w:eastAsia="MS Mincho"/>
          <w:sz w:val="24"/>
          <w:szCs w:val="24"/>
          <w:lang w:eastAsia="ja-JP"/>
        </w:rPr>
        <w:t>Участие в работни групи за синхронизиране на националното законодателство с актовете на ЕС и Съвета на Европа;</w:t>
      </w:r>
    </w:p>
    <w:p w:rsidR="004310B2" w:rsidRPr="00056DFA" w:rsidRDefault="004310B2" w:rsidP="00056DFA">
      <w:pPr>
        <w:numPr>
          <w:ilvl w:val="0"/>
          <w:numId w:val="62"/>
        </w:numPr>
        <w:spacing w:before="0" w:after="0"/>
        <w:ind w:left="0" w:firstLine="567"/>
        <w:contextualSpacing/>
        <w:jc w:val="both"/>
        <w:rPr>
          <w:rFonts w:eastAsia="MS Mincho"/>
          <w:i/>
          <w:sz w:val="24"/>
          <w:szCs w:val="24"/>
          <w:lang w:eastAsia="ja-JP"/>
        </w:rPr>
      </w:pPr>
      <w:r w:rsidRPr="00056DFA">
        <w:rPr>
          <w:rFonts w:eastAsia="MS Mincho"/>
          <w:sz w:val="24"/>
          <w:szCs w:val="24"/>
          <w:lang w:eastAsia="ja-JP"/>
        </w:rPr>
        <w:t>Участие на представители на неправителствения сектор в национални и международни прояви;</w:t>
      </w:r>
    </w:p>
    <w:p w:rsidR="004310B2" w:rsidRPr="00056DFA" w:rsidRDefault="004310B2" w:rsidP="00056DFA">
      <w:pPr>
        <w:numPr>
          <w:ilvl w:val="0"/>
          <w:numId w:val="62"/>
        </w:numPr>
        <w:spacing w:before="0" w:after="0"/>
        <w:ind w:left="0" w:firstLine="567"/>
        <w:contextualSpacing/>
        <w:jc w:val="both"/>
        <w:rPr>
          <w:rFonts w:eastAsia="MS Mincho"/>
          <w:i/>
          <w:sz w:val="24"/>
          <w:szCs w:val="24"/>
          <w:lang w:eastAsia="ja-JP"/>
        </w:rPr>
      </w:pPr>
      <w:r w:rsidRPr="00056DFA">
        <w:rPr>
          <w:rFonts w:eastAsia="MS Mincho"/>
          <w:sz w:val="24"/>
          <w:szCs w:val="24"/>
          <w:lang w:eastAsia="ja-JP"/>
        </w:rPr>
        <w:t xml:space="preserve">Обезпечаване на дейности, свързани с поети ангажименти по подписани меморандуми в областта на младежката политика; </w:t>
      </w:r>
    </w:p>
    <w:p w:rsidR="004310B2" w:rsidRPr="00056DFA" w:rsidRDefault="004310B2" w:rsidP="00056DFA">
      <w:pPr>
        <w:spacing w:before="0" w:after="0"/>
        <w:jc w:val="both"/>
        <w:rPr>
          <w:sz w:val="24"/>
          <w:szCs w:val="24"/>
        </w:rPr>
      </w:pPr>
      <w:r w:rsidRPr="00056DFA">
        <w:rPr>
          <w:sz w:val="24"/>
          <w:szCs w:val="24"/>
        </w:rPr>
        <w:t xml:space="preserve">Създават се предпоставки за преодоляване на отчетените негативни тенденции по отношение на рисково поведение на младите хора за попадане под различни форми на зависимости, в това число и хазартна, както и на идентифицираните потребности на младежите в страната от предоставяне на повече възможности за участие в дейности за </w:t>
      </w:r>
      <w:r w:rsidRPr="00056DFA">
        <w:rPr>
          <w:sz w:val="24"/>
          <w:szCs w:val="24"/>
        </w:rPr>
        <w:lastRenderedPageBreak/>
        <w:t>осмисляне на свободното време. Основната цел е насърчаване на отговорно социално поведение и превенция на различни видове зависимости и подобряване на качеството на живот на младите хора в България.</w:t>
      </w:r>
    </w:p>
    <w:p w:rsidR="00D35AF7" w:rsidRDefault="00D35AF7" w:rsidP="00056DFA">
      <w:pPr>
        <w:spacing w:before="0" w:after="0"/>
        <w:jc w:val="both"/>
        <w:rPr>
          <w:sz w:val="24"/>
          <w:szCs w:val="24"/>
        </w:rPr>
      </w:pPr>
    </w:p>
    <w:p w:rsidR="00D35AF7" w:rsidRPr="00056DFA" w:rsidRDefault="00D35AF7" w:rsidP="00056DFA">
      <w:pPr>
        <w:spacing w:before="0" w:after="0"/>
        <w:jc w:val="both"/>
        <w:rPr>
          <w:sz w:val="24"/>
          <w:szCs w:val="24"/>
        </w:rPr>
      </w:pPr>
    </w:p>
    <w:p w:rsidR="00A131A4" w:rsidRPr="00D86C17" w:rsidRDefault="00A131A4" w:rsidP="00D86C17">
      <w:pPr>
        <w:pStyle w:val="ListParagraph"/>
        <w:keepNext/>
        <w:numPr>
          <w:ilvl w:val="0"/>
          <w:numId w:val="75"/>
        </w:numPr>
        <w:contextualSpacing w:val="0"/>
        <w:jc w:val="center"/>
        <w:outlineLvl w:val="0"/>
        <w:rPr>
          <w:rFonts w:ascii="Times New Roman" w:eastAsia="Batang" w:hAnsi="Times New Roman" w:cs="Times New Roman"/>
          <w:b/>
          <w:bCs/>
          <w:caps/>
          <w:lang w:val="bg-BG" w:eastAsia="ko-KR"/>
        </w:rPr>
      </w:pPr>
      <w:bookmarkStart w:id="29" w:name="_Toc523492641"/>
      <w:r w:rsidRPr="00D86C17">
        <w:rPr>
          <w:rFonts w:ascii="Times New Roman" w:eastAsia="Batang" w:hAnsi="Times New Roman" w:cs="Times New Roman"/>
          <w:b/>
          <w:bCs/>
          <w:caps/>
          <w:lang w:val="bg-BG" w:eastAsia="ko-KR"/>
        </w:rPr>
        <w:t>М</w:t>
      </w:r>
      <w:r w:rsidR="00C55FD1" w:rsidRPr="00D86C17">
        <w:rPr>
          <w:rFonts w:ascii="Times New Roman" w:eastAsia="Batang" w:hAnsi="Times New Roman" w:cs="Times New Roman"/>
          <w:b/>
          <w:bCs/>
          <w:caps/>
          <w:lang w:val="bg-BG" w:eastAsia="ko-KR"/>
        </w:rPr>
        <w:t xml:space="preserve">инистерство за </w:t>
      </w:r>
      <w:r w:rsidRPr="00D86C17">
        <w:rPr>
          <w:rFonts w:ascii="Times New Roman" w:eastAsia="Batang" w:hAnsi="Times New Roman" w:cs="Times New Roman"/>
          <w:b/>
          <w:bCs/>
          <w:caps/>
          <w:lang w:val="bg-BG" w:eastAsia="ko-KR"/>
        </w:rPr>
        <w:t>Б</w:t>
      </w:r>
      <w:r w:rsidR="00C55FD1" w:rsidRPr="00D86C17">
        <w:rPr>
          <w:rFonts w:ascii="Times New Roman" w:eastAsia="Batang" w:hAnsi="Times New Roman" w:cs="Times New Roman"/>
          <w:b/>
          <w:bCs/>
          <w:caps/>
          <w:lang w:val="bg-BG" w:eastAsia="ko-KR"/>
        </w:rPr>
        <w:t xml:space="preserve">ългарското председателство на Съвета на </w:t>
      </w:r>
      <w:r w:rsidRPr="00D86C17">
        <w:rPr>
          <w:rFonts w:ascii="Times New Roman" w:eastAsia="Batang" w:hAnsi="Times New Roman" w:cs="Times New Roman"/>
          <w:b/>
          <w:bCs/>
          <w:caps/>
          <w:lang w:val="bg-BG" w:eastAsia="ko-KR"/>
        </w:rPr>
        <w:t>Е</w:t>
      </w:r>
      <w:r w:rsidR="00C55FD1" w:rsidRPr="00D86C17">
        <w:rPr>
          <w:rFonts w:ascii="Times New Roman" w:eastAsia="Batang" w:hAnsi="Times New Roman" w:cs="Times New Roman"/>
          <w:b/>
          <w:bCs/>
          <w:caps/>
          <w:lang w:val="bg-BG" w:eastAsia="ko-KR"/>
        </w:rPr>
        <w:t xml:space="preserve">вропейския съюз </w:t>
      </w:r>
      <w:r w:rsidRPr="00D86C17">
        <w:rPr>
          <w:rFonts w:ascii="Times New Roman" w:eastAsia="Batang" w:hAnsi="Times New Roman" w:cs="Times New Roman"/>
          <w:b/>
          <w:bCs/>
          <w:caps/>
          <w:lang w:val="bg-BG" w:eastAsia="ko-KR"/>
        </w:rPr>
        <w:t>2018</w:t>
      </w:r>
      <w:bookmarkEnd w:id="29"/>
      <w:r w:rsidRPr="00D86C17">
        <w:rPr>
          <w:rFonts w:ascii="Times New Roman" w:eastAsia="Batang" w:hAnsi="Times New Roman" w:cs="Times New Roman"/>
          <w:b/>
          <w:bCs/>
          <w:caps/>
          <w:lang w:val="bg-BG" w:eastAsia="ko-KR"/>
        </w:rPr>
        <w:t xml:space="preserve"> </w:t>
      </w:r>
    </w:p>
    <w:p w:rsidR="00A131A4" w:rsidRPr="00056DFA" w:rsidRDefault="00A131A4" w:rsidP="00056DFA">
      <w:pPr>
        <w:spacing w:before="0" w:after="0"/>
        <w:jc w:val="both"/>
        <w:rPr>
          <w:sz w:val="24"/>
          <w:szCs w:val="24"/>
        </w:rPr>
      </w:pPr>
      <w:r w:rsidRPr="00056DFA">
        <w:rPr>
          <w:sz w:val="24"/>
          <w:szCs w:val="24"/>
        </w:rPr>
        <w:t xml:space="preserve">Министерството за Българското председателство на Съвета на Европейския съюз 2018 провежда политиката в областта на подготовка и провеждане на Българското председателство на Съвета на ЕС през 2018 г. </w:t>
      </w:r>
    </w:p>
    <w:p w:rsidR="00A131A4" w:rsidRPr="00056DFA" w:rsidRDefault="00A131A4" w:rsidP="00056DFA">
      <w:pPr>
        <w:spacing w:before="0" w:after="0"/>
        <w:jc w:val="both"/>
        <w:rPr>
          <w:sz w:val="24"/>
          <w:szCs w:val="24"/>
        </w:rPr>
      </w:pPr>
      <w:r w:rsidRPr="00056DFA">
        <w:rPr>
          <w:sz w:val="24"/>
          <w:szCs w:val="24"/>
        </w:rPr>
        <w:t>В тази връзка през 2017 г. министерството изпълнява политика „Подготовка и провеждане на българското председателство на С</w:t>
      </w:r>
      <w:r w:rsidR="002C7D1C">
        <w:rPr>
          <w:sz w:val="24"/>
          <w:szCs w:val="24"/>
        </w:rPr>
        <w:t>ъ</w:t>
      </w:r>
      <w:r w:rsidRPr="00056DFA">
        <w:rPr>
          <w:sz w:val="24"/>
          <w:szCs w:val="24"/>
        </w:rPr>
        <w:t>вета на ЕС 2018 г.“ със съответната бюджетна програма „Подготовка на българското председателство на С</w:t>
      </w:r>
      <w:r w:rsidR="002C7D1C">
        <w:rPr>
          <w:sz w:val="24"/>
          <w:szCs w:val="24"/>
        </w:rPr>
        <w:t>ъ</w:t>
      </w:r>
      <w:r w:rsidRPr="00056DFA">
        <w:rPr>
          <w:sz w:val="24"/>
          <w:szCs w:val="24"/>
        </w:rPr>
        <w:t>вета на Европейския съюз 2018 г.“.</w:t>
      </w:r>
    </w:p>
    <w:p w:rsidR="00A131A4" w:rsidRPr="00056DFA" w:rsidRDefault="00A131A4" w:rsidP="00056DFA">
      <w:pPr>
        <w:spacing w:before="0" w:after="0"/>
        <w:jc w:val="both"/>
        <w:rPr>
          <w:sz w:val="24"/>
          <w:szCs w:val="24"/>
        </w:rPr>
      </w:pPr>
      <w:r w:rsidRPr="00056DFA">
        <w:rPr>
          <w:sz w:val="24"/>
          <w:szCs w:val="24"/>
        </w:rPr>
        <w:t>През отчетния период продължава работата по вече започнатите дейности по подготовката и провеждането на Българското председателство на Съвета на ЕС през 2018 г., както и за изпълнението в срок на мерките и задачите от Плана за подготовка на Българското председателство на Съвета на ЕС през 2018 г. (РМС № 965/2016 г.). Целта е недопускане на забава в изпълнението на подготвителните дейности и ускоряване на тези, които имат приоритетно значение за успешното провеждане на Българското председателство.</w:t>
      </w:r>
    </w:p>
    <w:p w:rsidR="00A131A4" w:rsidRPr="00056DFA" w:rsidRDefault="00A131A4" w:rsidP="00056DFA">
      <w:pPr>
        <w:tabs>
          <w:tab w:val="left" w:pos="567"/>
        </w:tabs>
        <w:spacing w:before="0" w:after="0"/>
        <w:jc w:val="both"/>
        <w:rPr>
          <w:b/>
          <w:i/>
          <w:sz w:val="24"/>
          <w:szCs w:val="24"/>
        </w:rPr>
      </w:pPr>
      <w:r w:rsidRPr="00056DFA">
        <w:rPr>
          <w:b/>
          <w:i/>
          <w:sz w:val="24"/>
          <w:szCs w:val="24"/>
        </w:rPr>
        <w:t>Описание на степента на изпълнение на заложените стратегически и оперативни цели, допринасящи за нейното изпълнение:</w:t>
      </w:r>
    </w:p>
    <w:p w:rsidR="00A131A4" w:rsidRPr="00056DFA" w:rsidRDefault="00A131A4" w:rsidP="00056DFA">
      <w:pPr>
        <w:tabs>
          <w:tab w:val="left" w:pos="567"/>
        </w:tabs>
        <w:spacing w:before="0" w:after="0"/>
        <w:jc w:val="both"/>
        <w:rPr>
          <w:sz w:val="24"/>
          <w:szCs w:val="24"/>
        </w:rPr>
      </w:pPr>
      <w:r w:rsidRPr="00056DFA">
        <w:rPr>
          <w:sz w:val="24"/>
          <w:szCs w:val="24"/>
        </w:rPr>
        <w:t>През 2017 г. са предприети необходимите действия за актуализиране на представителите на МБПСЕС във всички създадени за целта междуведомствени работни групи и структури за подготовка на Българското председателство. Актуализирани са основните планови и други документи, с оглед ефективно изпълнение на дейностите, задачите и мерките, свързани с подготовката и провеждането на Председателството. Приети са редица стратегически и планови документи, по-важните от които са:</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Одобрена е програмата на Триото Естония-България-Австрия за 18-месечния период на Българското председателство.</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 xml:space="preserve">Актуализиран е Планът за подготовка на Българското председателство на Съвета на Европейския съюз през 2018 г. (РМС № 965/2016 г., изменено и допълнено с РМС № 141 и 300 от 2017 г.). </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Одобрен е проекта на визуална идентичност на Българското председателство на Съвета на ЕС с решение на Междуведомствената група за изготвяне на Комуникационен план.</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 xml:space="preserve">Одобряване на </w:t>
      </w:r>
      <w:proofErr w:type="spellStart"/>
      <w:r w:rsidRPr="00056DFA">
        <w:rPr>
          <w:sz w:val="24"/>
          <w:szCs w:val="24"/>
        </w:rPr>
        <w:t>слоган</w:t>
      </w:r>
      <w:proofErr w:type="spellEnd"/>
      <w:r w:rsidRPr="00056DFA">
        <w:rPr>
          <w:sz w:val="24"/>
          <w:szCs w:val="24"/>
        </w:rPr>
        <w:t xml:space="preserve"> на Българското председателство на Съвета на ЕС като част от Комуникационната стратегия на национално ниво.</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 xml:space="preserve">Актуализирани са насоките за планиране и организиране на събитията, които ще се проведат в България по време на Българското председателство на Съвета на Европейския съюз през 2018 г. (РМС № 439/2017 г.); </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Приета е програмата на Република България за Председателството на Съвета на ЕС (РМС № 753/2017 г.);</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Плана за подготовка на Българското председателство на Съвета на Европейския съюз през 2018 г. е изпълнен (РМС № 788/2017 г.).</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t>Одобрен е финален календар на събитията на Българското председателство на Съвета на Европейския съюз през 2018 г., които ще се проведат в Република България (РМС № 817/2017 г.);</w:t>
      </w:r>
    </w:p>
    <w:p w:rsidR="00A131A4" w:rsidRPr="00056DFA" w:rsidRDefault="00A131A4" w:rsidP="00056DFA">
      <w:pPr>
        <w:numPr>
          <w:ilvl w:val="0"/>
          <w:numId w:val="8"/>
        </w:numPr>
        <w:tabs>
          <w:tab w:val="left" w:pos="567"/>
        </w:tabs>
        <w:spacing w:before="0" w:after="0"/>
        <w:ind w:left="0" w:firstLine="567"/>
        <w:jc w:val="both"/>
        <w:rPr>
          <w:sz w:val="24"/>
          <w:szCs w:val="24"/>
        </w:rPr>
      </w:pPr>
      <w:r w:rsidRPr="00056DFA">
        <w:rPr>
          <w:sz w:val="24"/>
          <w:szCs w:val="24"/>
        </w:rPr>
        <w:lastRenderedPageBreak/>
        <w:t>Подготвени са и са проведени процедури по реда на Закона за обществените поръчки за осигуряване на логистичната организация и протоколно обслужване на участниците в събитията от календара на Българското председателство на Съвета на ЕС.</w:t>
      </w:r>
    </w:p>
    <w:p w:rsidR="00A131A4" w:rsidRPr="00056DFA" w:rsidRDefault="00A131A4" w:rsidP="00056DFA">
      <w:pPr>
        <w:widowControl w:val="0"/>
        <w:tabs>
          <w:tab w:val="left" w:pos="567"/>
        </w:tabs>
        <w:autoSpaceDE w:val="0"/>
        <w:autoSpaceDN w:val="0"/>
        <w:adjustRightInd w:val="0"/>
        <w:spacing w:before="0" w:after="0"/>
        <w:jc w:val="both"/>
        <w:rPr>
          <w:sz w:val="24"/>
          <w:szCs w:val="24"/>
        </w:rPr>
      </w:pPr>
      <w:r w:rsidRPr="00056DFA">
        <w:rPr>
          <w:sz w:val="24"/>
          <w:szCs w:val="24"/>
        </w:rPr>
        <w:tab/>
        <w:t>Успешната подготовка и провеждане на Председателството следва да се разглежда не само като политически успех, но и като възможност за страната ни. Очакваните резултати за обществото са основно свързани с изграждане на позитивен имидж на Република България, подобряване професионалната квалификацията и развитие на потенциала на българската администрация, повишаване на интереса на инвеститори към Република България и популяризиране на страната като туристическа дестинация, подобряване на информираността на българското общество за възможностите и ползите от европейските политики.</w:t>
      </w:r>
    </w:p>
    <w:p w:rsidR="00F27BE0" w:rsidRPr="00056DFA" w:rsidRDefault="00F27BE0" w:rsidP="00056DFA">
      <w:pPr>
        <w:spacing w:before="0" w:after="0"/>
        <w:jc w:val="both"/>
        <w:rPr>
          <w:sz w:val="24"/>
          <w:szCs w:val="24"/>
        </w:rPr>
      </w:pPr>
    </w:p>
    <w:p w:rsidR="00F27BE0" w:rsidRPr="00056DFA" w:rsidRDefault="00F27BE0" w:rsidP="00056DFA">
      <w:pPr>
        <w:spacing w:before="0" w:after="0"/>
        <w:jc w:val="both"/>
        <w:rPr>
          <w:sz w:val="24"/>
          <w:szCs w:val="24"/>
          <w:vertAlign w:val="superscript"/>
        </w:rPr>
      </w:pPr>
    </w:p>
    <w:p w:rsidR="004816F2" w:rsidRDefault="004816F2" w:rsidP="00056DFA">
      <w:pPr>
        <w:spacing w:before="0" w:after="0"/>
        <w:jc w:val="both"/>
        <w:rPr>
          <w:sz w:val="24"/>
          <w:szCs w:val="24"/>
          <w:vertAlign w:val="superscript"/>
        </w:rPr>
      </w:pPr>
    </w:p>
    <w:p w:rsidR="00C55FD1" w:rsidRDefault="00C55FD1" w:rsidP="00056DFA">
      <w:pPr>
        <w:spacing w:before="0" w:after="0"/>
        <w:jc w:val="both"/>
        <w:rPr>
          <w:sz w:val="24"/>
          <w:szCs w:val="24"/>
          <w:vertAlign w:val="superscript"/>
        </w:rPr>
      </w:pPr>
    </w:p>
    <w:p w:rsidR="00C55FD1" w:rsidRDefault="00C55FD1" w:rsidP="00056DFA">
      <w:pPr>
        <w:spacing w:before="0" w:after="0"/>
        <w:jc w:val="both"/>
        <w:rPr>
          <w:sz w:val="24"/>
          <w:szCs w:val="24"/>
          <w:vertAlign w:val="superscript"/>
        </w:rPr>
      </w:pPr>
    </w:p>
    <w:p w:rsidR="00C55FD1" w:rsidRDefault="00C55FD1" w:rsidP="00056DFA">
      <w:pPr>
        <w:spacing w:before="0" w:after="0"/>
        <w:jc w:val="both"/>
        <w:rPr>
          <w:sz w:val="24"/>
          <w:szCs w:val="24"/>
          <w:vertAlign w:val="superscript"/>
        </w:rPr>
      </w:pPr>
    </w:p>
    <w:p w:rsidR="00C55FD1" w:rsidRDefault="00C55FD1" w:rsidP="00056DFA">
      <w:pPr>
        <w:spacing w:before="0" w:after="0"/>
        <w:jc w:val="both"/>
        <w:rPr>
          <w:sz w:val="24"/>
          <w:szCs w:val="24"/>
          <w:vertAlign w:val="superscript"/>
        </w:rPr>
      </w:pPr>
    </w:p>
    <w:sectPr w:rsidR="00C55FD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9AE" w:rsidRDefault="00EB59AE" w:rsidP="00710B51">
      <w:pPr>
        <w:spacing w:before="0" w:after="0"/>
      </w:pPr>
      <w:r>
        <w:separator/>
      </w:r>
    </w:p>
  </w:endnote>
  <w:endnote w:type="continuationSeparator" w:id="0">
    <w:p w:rsidR="00EB59AE" w:rsidRDefault="00EB59AE" w:rsidP="0071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Verdana">
    <w:panose1 w:val="020B0604030504040204"/>
    <w:charset w:val="CC"/>
    <w:family w:val="swiss"/>
    <w:pitch w:val="variable"/>
    <w:sig w:usb0="A10006FF" w:usb1="4000205B" w:usb2="00000010" w:usb3="00000000" w:csb0="0000019F" w:csb1="00000000"/>
  </w:font>
  <w:font w:name="TimesNewRomanPS-Bold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073116"/>
      <w:docPartObj>
        <w:docPartGallery w:val="Page Numbers (Bottom of Page)"/>
        <w:docPartUnique/>
      </w:docPartObj>
    </w:sdtPr>
    <w:sdtEndPr/>
    <w:sdtContent>
      <w:p w:rsidR="00EB59AE" w:rsidRDefault="00EB59AE">
        <w:pPr>
          <w:pStyle w:val="Footer"/>
          <w:jc w:val="right"/>
        </w:pPr>
        <w:r>
          <w:fldChar w:fldCharType="begin"/>
        </w:r>
        <w:r>
          <w:instrText>PAGE   \* MERGEFORMAT</w:instrText>
        </w:r>
        <w:r>
          <w:fldChar w:fldCharType="separate"/>
        </w:r>
        <w:r w:rsidR="00300FE8">
          <w:rPr>
            <w:noProof/>
          </w:rPr>
          <w:t>1</w:t>
        </w:r>
        <w:r>
          <w:fldChar w:fldCharType="end"/>
        </w:r>
      </w:p>
    </w:sdtContent>
  </w:sdt>
  <w:p w:rsidR="00EB59AE" w:rsidRDefault="00EB5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9AE" w:rsidRDefault="00EB59AE" w:rsidP="00710B51">
      <w:pPr>
        <w:spacing w:before="0" w:after="0"/>
      </w:pPr>
      <w:r>
        <w:separator/>
      </w:r>
    </w:p>
  </w:footnote>
  <w:footnote w:type="continuationSeparator" w:id="0">
    <w:p w:rsidR="00EB59AE" w:rsidRDefault="00EB59AE" w:rsidP="00710B5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9AE" w:rsidRPr="007F7930" w:rsidRDefault="00EB59AE" w:rsidP="000E3711">
    <w:pPr>
      <w:tabs>
        <w:tab w:val="center" w:pos="4153"/>
        <w:tab w:val="right" w:pos="8306"/>
      </w:tabs>
      <w:ind w:firstLine="720"/>
      <w:jc w:val="right"/>
      <w:rPr>
        <w:bCs/>
        <w:lang w:eastAsia="en-US"/>
      </w:rPr>
    </w:pPr>
    <w:r w:rsidRPr="007F7930">
      <w:rPr>
        <w:bCs/>
        <w:lang w:eastAsia="en-US"/>
      </w:rPr>
      <w:t>ПРИЛОЖЕНИЕ 3</w:t>
    </w:r>
  </w:p>
  <w:p w:rsidR="00EB59AE" w:rsidRDefault="00EB59AE">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5A5"/>
    <w:multiLevelType w:val="hybridMultilevel"/>
    <w:tmpl w:val="7DE64946"/>
    <w:lvl w:ilvl="0" w:tplc="04020001">
      <w:start w:val="1"/>
      <w:numFmt w:val="bullet"/>
      <w:lvlText w:val=""/>
      <w:lvlJc w:val="left"/>
      <w:pPr>
        <w:tabs>
          <w:tab w:val="num" w:pos="930"/>
        </w:tabs>
        <w:ind w:left="930" w:hanging="363"/>
      </w:pPr>
      <w:rPr>
        <w:rFonts w:ascii="Symbol" w:hAnsi="Symbol" w:hint="default"/>
        <w:sz w:val="24"/>
        <w:szCs w:val="24"/>
      </w:rPr>
    </w:lvl>
    <w:lvl w:ilvl="1" w:tplc="04020003" w:tentative="1">
      <w:start w:val="1"/>
      <w:numFmt w:val="bullet"/>
      <w:lvlText w:val="o"/>
      <w:lvlJc w:val="left"/>
      <w:pPr>
        <w:tabs>
          <w:tab w:val="num" w:pos="1650"/>
        </w:tabs>
        <w:ind w:left="1650" w:hanging="360"/>
      </w:pPr>
      <w:rPr>
        <w:rFonts w:ascii="Courier New" w:hAnsi="Courier New" w:cs="Courier New" w:hint="default"/>
      </w:rPr>
    </w:lvl>
    <w:lvl w:ilvl="2" w:tplc="04020005" w:tentative="1">
      <w:start w:val="1"/>
      <w:numFmt w:val="bullet"/>
      <w:lvlText w:val=""/>
      <w:lvlJc w:val="left"/>
      <w:pPr>
        <w:tabs>
          <w:tab w:val="num" w:pos="2370"/>
        </w:tabs>
        <w:ind w:left="2370" w:hanging="360"/>
      </w:pPr>
      <w:rPr>
        <w:rFonts w:ascii="Wingdings" w:hAnsi="Wingdings" w:hint="default"/>
      </w:rPr>
    </w:lvl>
    <w:lvl w:ilvl="3" w:tplc="04020001" w:tentative="1">
      <w:start w:val="1"/>
      <w:numFmt w:val="bullet"/>
      <w:lvlText w:val=""/>
      <w:lvlJc w:val="left"/>
      <w:pPr>
        <w:tabs>
          <w:tab w:val="num" w:pos="3090"/>
        </w:tabs>
        <w:ind w:left="3090" w:hanging="360"/>
      </w:pPr>
      <w:rPr>
        <w:rFonts w:ascii="Symbol" w:hAnsi="Symbol" w:hint="default"/>
      </w:rPr>
    </w:lvl>
    <w:lvl w:ilvl="4" w:tplc="04020003" w:tentative="1">
      <w:start w:val="1"/>
      <w:numFmt w:val="bullet"/>
      <w:lvlText w:val="o"/>
      <w:lvlJc w:val="left"/>
      <w:pPr>
        <w:tabs>
          <w:tab w:val="num" w:pos="3810"/>
        </w:tabs>
        <w:ind w:left="3810" w:hanging="360"/>
      </w:pPr>
      <w:rPr>
        <w:rFonts w:ascii="Courier New" w:hAnsi="Courier New" w:cs="Courier New" w:hint="default"/>
      </w:rPr>
    </w:lvl>
    <w:lvl w:ilvl="5" w:tplc="04020005" w:tentative="1">
      <w:start w:val="1"/>
      <w:numFmt w:val="bullet"/>
      <w:lvlText w:val=""/>
      <w:lvlJc w:val="left"/>
      <w:pPr>
        <w:tabs>
          <w:tab w:val="num" w:pos="4530"/>
        </w:tabs>
        <w:ind w:left="4530" w:hanging="360"/>
      </w:pPr>
      <w:rPr>
        <w:rFonts w:ascii="Wingdings" w:hAnsi="Wingdings" w:hint="default"/>
      </w:rPr>
    </w:lvl>
    <w:lvl w:ilvl="6" w:tplc="04020001" w:tentative="1">
      <w:start w:val="1"/>
      <w:numFmt w:val="bullet"/>
      <w:lvlText w:val=""/>
      <w:lvlJc w:val="left"/>
      <w:pPr>
        <w:tabs>
          <w:tab w:val="num" w:pos="5250"/>
        </w:tabs>
        <w:ind w:left="5250" w:hanging="360"/>
      </w:pPr>
      <w:rPr>
        <w:rFonts w:ascii="Symbol" w:hAnsi="Symbol" w:hint="default"/>
      </w:rPr>
    </w:lvl>
    <w:lvl w:ilvl="7" w:tplc="04020003" w:tentative="1">
      <w:start w:val="1"/>
      <w:numFmt w:val="bullet"/>
      <w:lvlText w:val="o"/>
      <w:lvlJc w:val="left"/>
      <w:pPr>
        <w:tabs>
          <w:tab w:val="num" w:pos="5970"/>
        </w:tabs>
        <w:ind w:left="5970" w:hanging="360"/>
      </w:pPr>
      <w:rPr>
        <w:rFonts w:ascii="Courier New" w:hAnsi="Courier New" w:cs="Courier New" w:hint="default"/>
      </w:rPr>
    </w:lvl>
    <w:lvl w:ilvl="8" w:tplc="04020005" w:tentative="1">
      <w:start w:val="1"/>
      <w:numFmt w:val="bullet"/>
      <w:lvlText w:val=""/>
      <w:lvlJc w:val="left"/>
      <w:pPr>
        <w:tabs>
          <w:tab w:val="num" w:pos="6690"/>
        </w:tabs>
        <w:ind w:left="6690" w:hanging="360"/>
      </w:pPr>
      <w:rPr>
        <w:rFonts w:ascii="Wingdings" w:hAnsi="Wingdings" w:hint="default"/>
      </w:rPr>
    </w:lvl>
  </w:abstractNum>
  <w:abstractNum w:abstractNumId="1">
    <w:nsid w:val="02994D46"/>
    <w:multiLevelType w:val="hybridMultilevel"/>
    <w:tmpl w:val="47E0C546"/>
    <w:lvl w:ilvl="0" w:tplc="04020009">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35F7D80"/>
    <w:multiLevelType w:val="hybridMultilevel"/>
    <w:tmpl w:val="D9C636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5885109"/>
    <w:multiLevelType w:val="hybridMultilevel"/>
    <w:tmpl w:val="564894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6841C16"/>
    <w:multiLevelType w:val="hybridMultilevel"/>
    <w:tmpl w:val="BE5A2566"/>
    <w:lvl w:ilvl="0" w:tplc="DF52F0C2">
      <w:start w:val="4"/>
      <w:numFmt w:val="bullet"/>
      <w:lvlText w:val="-"/>
      <w:lvlJc w:val="left"/>
      <w:pPr>
        <w:ind w:left="720" w:hanging="360"/>
      </w:pPr>
      <w:rPr>
        <w:rFonts w:ascii="Times New Roman" w:eastAsia="SimSun" w:hAnsi="Times New Roman" w:cs="Times New Roman" w:hint="default"/>
      </w:rPr>
    </w:lvl>
    <w:lvl w:ilvl="1" w:tplc="19A2D49A">
      <w:start w:val="2"/>
      <w:numFmt w:val="bullet"/>
      <w:lvlText w:val="•"/>
      <w:lvlJc w:val="left"/>
      <w:pPr>
        <w:ind w:left="1770" w:hanging="69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131842"/>
    <w:multiLevelType w:val="multilevel"/>
    <w:tmpl w:val="EB56E688"/>
    <w:lvl w:ilvl="0">
      <w:start w:val="1"/>
      <w:numFmt w:val="decimal"/>
      <w:lvlText w:val="%1."/>
      <w:lvlJc w:val="left"/>
      <w:pPr>
        <w:ind w:left="927" w:hanging="360"/>
      </w:pPr>
      <w:rPr>
        <w:color w:val="365F91"/>
      </w:r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6">
    <w:nsid w:val="0C8C04B8"/>
    <w:multiLevelType w:val="hybridMultilevel"/>
    <w:tmpl w:val="3FBC99C0"/>
    <w:lvl w:ilvl="0" w:tplc="FFCE4960">
      <w:start w:val="1"/>
      <w:numFmt w:val="decimal"/>
      <w:lvlText w:val="%1."/>
      <w:lvlJc w:val="left"/>
      <w:pPr>
        <w:ind w:left="588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nsid w:val="0E684EE6"/>
    <w:multiLevelType w:val="hybridMultilevel"/>
    <w:tmpl w:val="B4CA6238"/>
    <w:lvl w:ilvl="0" w:tplc="04D0F33E">
      <w:start w:val="1"/>
      <w:numFmt w:val="decimal"/>
      <w:lvlText w:val="%1."/>
      <w:lvlJc w:val="left"/>
      <w:pPr>
        <w:tabs>
          <w:tab w:val="num" w:pos="1068"/>
        </w:tabs>
        <w:ind w:left="1068" w:hanging="360"/>
      </w:pPr>
      <w:rPr>
        <w:rFonts w:hint="default"/>
      </w:rPr>
    </w:lvl>
    <w:lvl w:ilvl="1" w:tplc="6A024FCC">
      <w:start w:val="1"/>
      <w:numFmt w:val="bullet"/>
      <w:lvlText w:val=""/>
      <w:lvlJc w:val="left"/>
      <w:pPr>
        <w:tabs>
          <w:tab w:val="num" w:pos="1980"/>
        </w:tabs>
        <w:ind w:left="1980" w:hanging="360"/>
      </w:pPr>
      <w:rPr>
        <w:rFonts w:ascii="Wingdings" w:hAnsi="Wingdings" w:hint="default"/>
        <w:color w:val="000000"/>
      </w:r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8">
    <w:nsid w:val="10746D2D"/>
    <w:multiLevelType w:val="hybridMultilevel"/>
    <w:tmpl w:val="57A2746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1145758"/>
    <w:multiLevelType w:val="hybridMultilevel"/>
    <w:tmpl w:val="3E2A4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674EB6"/>
    <w:multiLevelType w:val="hybridMultilevel"/>
    <w:tmpl w:val="0600A7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120164A3"/>
    <w:multiLevelType w:val="hybridMultilevel"/>
    <w:tmpl w:val="18A0144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135315C1"/>
    <w:multiLevelType w:val="hybridMultilevel"/>
    <w:tmpl w:val="F274E3E8"/>
    <w:lvl w:ilvl="0" w:tplc="7EAE7DA2">
      <w:start w:val="1"/>
      <w:numFmt w:val="bullet"/>
      <w:lvlText w:val=""/>
      <w:lvlJc w:val="left"/>
      <w:pPr>
        <w:tabs>
          <w:tab w:val="num" w:pos="903"/>
        </w:tabs>
        <w:ind w:left="903" w:hanging="363"/>
      </w:pPr>
      <w:rPr>
        <w:rFonts w:ascii="Wingdings" w:hAnsi="Wingdings" w:hint="default"/>
        <w:sz w:val="24"/>
        <w:szCs w:val="24"/>
      </w:rPr>
    </w:lvl>
    <w:lvl w:ilvl="1" w:tplc="0402000B">
      <w:start w:val="1"/>
      <w:numFmt w:val="bullet"/>
      <w:lvlText w:val=""/>
      <w:lvlJc w:val="left"/>
      <w:pPr>
        <w:tabs>
          <w:tab w:val="num" w:pos="1791"/>
        </w:tabs>
        <w:ind w:left="1791" w:hanging="360"/>
      </w:pPr>
      <w:rPr>
        <w:rFonts w:ascii="Wingdings" w:hAnsi="Wingdings" w:hint="default"/>
      </w:rPr>
    </w:lvl>
    <w:lvl w:ilvl="2" w:tplc="04020005" w:tentative="1">
      <w:start w:val="1"/>
      <w:numFmt w:val="bullet"/>
      <w:lvlText w:val=""/>
      <w:lvlJc w:val="left"/>
      <w:pPr>
        <w:tabs>
          <w:tab w:val="num" w:pos="2511"/>
        </w:tabs>
        <w:ind w:left="2511" w:hanging="360"/>
      </w:pPr>
      <w:rPr>
        <w:rFonts w:ascii="Wingdings" w:hAnsi="Wingdings" w:hint="default"/>
      </w:rPr>
    </w:lvl>
    <w:lvl w:ilvl="3" w:tplc="04020001" w:tentative="1">
      <w:start w:val="1"/>
      <w:numFmt w:val="bullet"/>
      <w:lvlText w:val=""/>
      <w:lvlJc w:val="left"/>
      <w:pPr>
        <w:tabs>
          <w:tab w:val="num" w:pos="3231"/>
        </w:tabs>
        <w:ind w:left="3231" w:hanging="360"/>
      </w:pPr>
      <w:rPr>
        <w:rFonts w:ascii="Symbol" w:hAnsi="Symbol" w:hint="default"/>
      </w:rPr>
    </w:lvl>
    <w:lvl w:ilvl="4" w:tplc="04020003" w:tentative="1">
      <w:start w:val="1"/>
      <w:numFmt w:val="bullet"/>
      <w:lvlText w:val="o"/>
      <w:lvlJc w:val="left"/>
      <w:pPr>
        <w:tabs>
          <w:tab w:val="num" w:pos="3951"/>
        </w:tabs>
        <w:ind w:left="3951" w:hanging="360"/>
      </w:pPr>
      <w:rPr>
        <w:rFonts w:ascii="Courier New" w:hAnsi="Courier New" w:cs="Courier New" w:hint="default"/>
      </w:rPr>
    </w:lvl>
    <w:lvl w:ilvl="5" w:tplc="04020005" w:tentative="1">
      <w:start w:val="1"/>
      <w:numFmt w:val="bullet"/>
      <w:lvlText w:val=""/>
      <w:lvlJc w:val="left"/>
      <w:pPr>
        <w:tabs>
          <w:tab w:val="num" w:pos="4671"/>
        </w:tabs>
        <w:ind w:left="4671" w:hanging="360"/>
      </w:pPr>
      <w:rPr>
        <w:rFonts w:ascii="Wingdings" w:hAnsi="Wingdings" w:hint="default"/>
      </w:rPr>
    </w:lvl>
    <w:lvl w:ilvl="6" w:tplc="04020001" w:tentative="1">
      <w:start w:val="1"/>
      <w:numFmt w:val="bullet"/>
      <w:lvlText w:val=""/>
      <w:lvlJc w:val="left"/>
      <w:pPr>
        <w:tabs>
          <w:tab w:val="num" w:pos="5391"/>
        </w:tabs>
        <w:ind w:left="5391" w:hanging="360"/>
      </w:pPr>
      <w:rPr>
        <w:rFonts w:ascii="Symbol" w:hAnsi="Symbol" w:hint="default"/>
      </w:rPr>
    </w:lvl>
    <w:lvl w:ilvl="7" w:tplc="04020003" w:tentative="1">
      <w:start w:val="1"/>
      <w:numFmt w:val="bullet"/>
      <w:lvlText w:val="o"/>
      <w:lvlJc w:val="left"/>
      <w:pPr>
        <w:tabs>
          <w:tab w:val="num" w:pos="6111"/>
        </w:tabs>
        <w:ind w:left="6111" w:hanging="360"/>
      </w:pPr>
      <w:rPr>
        <w:rFonts w:ascii="Courier New" w:hAnsi="Courier New" w:cs="Courier New" w:hint="default"/>
      </w:rPr>
    </w:lvl>
    <w:lvl w:ilvl="8" w:tplc="04020005" w:tentative="1">
      <w:start w:val="1"/>
      <w:numFmt w:val="bullet"/>
      <w:lvlText w:val=""/>
      <w:lvlJc w:val="left"/>
      <w:pPr>
        <w:tabs>
          <w:tab w:val="num" w:pos="6831"/>
        </w:tabs>
        <w:ind w:left="6831" w:hanging="360"/>
      </w:pPr>
      <w:rPr>
        <w:rFonts w:ascii="Wingdings" w:hAnsi="Wingdings" w:hint="default"/>
      </w:rPr>
    </w:lvl>
  </w:abstractNum>
  <w:abstractNum w:abstractNumId="13">
    <w:nsid w:val="15A34C97"/>
    <w:multiLevelType w:val="hybridMultilevel"/>
    <w:tmpl w:val="1136A7CE"/>
    <w:lvl w:ilvl="0" w:tplc="04020001">
      <w:start w:val="1"/>
      <w:numFmt w:val="bullet"/>
      <w:lvlText w:val=""/>
      <w:lvlJc w:val="left"/>
      <w:pPr>
        <w:tabs>
          <w:tab w:val="num" w:pos="720"/>
        </w:tabs>
        <w:ind w:left="720" w:hanging="363"/>
      </w:pPr>
      <w:rPr>
        <w:rFonts w:ascii="Symbol" w:hAnsi="Symbol" w:hint="default"/>
        <w:sz w:val="24"/>
        <w:szCs w:val="24"/>
      </w:rPr>
    </w:lvl>
    <w:lvl w:ilvl="1" w:tplc="04020003">
      <w:start w:val="1"/>
      <w:numFmt w:val="bullet"/>
      <w:lvlText w:val="o"/>
      <w:lvlJc w:val="left"/>
      <w:pPr>
        <w:tabs>
          <w:tab w:val="num" w:pos="1440"/>
        </w:tabs>
        <w:ind w:left="1440" w:hanging="360"/>
      </w:pPr>
      <w:rPr>
        <w:rFonts w:ascii="Courier New" w:hAnsi="Courier New" w:cs="Courier New" w:hint="default"/>
      </w:rPr>
    </w:lvl>
    <w:lvl w:ilvl="2" w:tplc="EDAC5CF4">
      <w:start w:val="1"/>
      <w:numFmt w:val="bullet"/>
      <w:lvlText w:val=""/>
      <w:lvlJc w:val="left"/>
      <w:pPr>
        <w:tabs>
          <w:tab w:val="num" w:pos="2163"/>
        </w:tabs>
        <w:ind w:left="2163" w:hanging="363"/>
      </w:pPr>
      <w:rPr>
        <w:rFonts w:ascii="Wingdings" w:hAnsi="Wingdings" w:hint="default"/>
        <w:sz w:val="24"/>
        <w:szCs w:val="24"/>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19435BA9"/>
    <w:multiLevelType w:val="hybridMultilevel"/>
    <w:tmpl w:val="52A01454"/>
    <w:lvl w:ilvl="0" w:tplc="64AA2C5A">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1984021A"/>
    <w:multiLevelType w:val="hybridMultilevel"/>
    <w:tmpl w:val="9B50D2EE"/>
    <w:lvl w:ilvl="0" w:tplc="87EAA720">
      <w:start w:val="13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1B153D8F"/>
    <w:multiLevelType w:val="hybridMultilevel"/>
    <w:tmpl w:val="9E940518"/>
    <w:lvl w:ilvl="0" w:tplc="04020005">
      <w:start w:val="1"/>
      <w:numFmt w:val="bullet"/>
      <w:lvlText w:val=""/>
      <w:lvlJc w:val="left"/>
      <w:pPr>
        <w:tabs>
          <w:tab w:val="num" w:pos="720"/>
        </w:tabs>
        <w:ind w:left="720" w:hanging="360"/>
      </w:pPr>
      <w:rPr>
        <w:rFonts w:ascii="Wingdings" w:hAnsi="Wingdings" w:hint="default"/>
      </w:rPr>
    </w:lvl>
    <w:lvl w:ilvl="1" w:tplc="0808917E">
      <w:start w:val="1"/>
      <w:numFmt w:val="bullet"/>
      <w:lvlText w:val=""/>
      <w:lvlJc w:val="left"/>
      <w:pPr>
        <w:tabs>
          <w:tab w:val="num" w:pos="1437"/>
        </w:tabs>
        <w:ind w:left="1437" w:hanging="357"/>
      </w:pPr>
      <w:rPr>
        <w:rFonts w:ascii="Wingdings" w:hAnsi="Wingdings" w:hint="default"/>
        <w:color w:val="008000"/>
      </w:rPr>
    </w:lvl>
    <w:lvl w:ilvl="2" w:tplc="D7883F96">
      <w:start w:val="1"/>
      <w:numFmt w:val="bullet"/>
      <w:lvlText w:val=""/>
      <w:lvlJc w:val="left"/>
      <w:pPr>
        <w:tabs>
          <w:tab w:val="num" w:pos="2157"/>
        </w:tabs>
        <w:ind w:left="2157" w:hanging="357"/>
      </w:pPr>
      <w:rPr>
        <w:rFonts w:ascii="Wingdings" w:hAnsi="Wingdings" w:hint="default"/>
        <w:color w:val="008000"/>
      </w:rPr>
    </w:lvl>
    <w:lvl w:ilvl="3" w:tplc="0409000D">
      <w:start w:val="1"/>
      <w:numFmt w:val="bullet"/>
      <w:lvlText w:val=""/>
      <w:lvlJc w:val="left"/>
      <w:pPr>
        <w:tabs>
          <w:tab w:val="num" w:pos="2880"/>
        </w:tabs>
        <w:ind w:left="2880" w:hanging="360"/>
      </w:pPr>
      <w:rPr>
        <w:rFonts w:ascii="Wingdings" w:hAnsi="Wingdings"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1BF377AF"/>
    <w:multiLevelType w:val="hybridMultilevel"/>
    <w:tmpl w:val="97E6F536"/>
    <w:lvl w:ilvl="0" w:tplc="0402000D">
      <w:start w:val="1"/>
      <w:numFmt w:val="bullet"/>
      <w:lvlText w:val=""/>
      <w:lvlJc w:val="left"/>
      <w:pPr>
        <w:ind w:left="927" w:hanging="360"/>
      </w:pPr>
      <w:rPr>
        <w:rFonts w:ascii="Wingdings" w:hAnsi="Wingdings"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8">
    <w:nsid w:val="1C7608EB"/>
    <w:multiLevelType w:val="hybridMultilevel"/>
    <w:tmpl w:val="B6961324"/>
    <w:lvl w:ilvl="0" w:tplc="0402000F">
      <w:start w:val="1"/>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19">
    <w:nsid w:val="1CF06BF6"/>
    <w:multiLevelType w:val="hybridMultilevel"/>
    <w:tmpl w:val="34C8359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1E4D2510"/>
    <w:multiLevelType w:val="hybridMultilevel"/>
    <w:tmpl w:val="912CA7D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7A540C"/>
    <w:multiLevelType w:val="hybridMultilevel"/>
    <w:tmpl w:val="AD88B0A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nsid w:val="221E0E41"/>
    <w:multiLevelType w:val="multilevel"/>
    <w:tmpl w:val="1268A7AE"/>
    <w:lvl w:ilvl="0">
      <w:start w:val="4"/>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3151E79"/>
    <w:multiLevelType w:val="hybridMultilevel"/>
    <w:tmpl w:val="3BCC6BE8"/>
    <w:lvl w:ilvl="0" w:tplc="948C2D28">
      <w:start w:val="1"/>
      <w:numFmt w:val="upperRoman"/>
      <w:lvlText w:val="%1."/>
      <w:lvlJc w:val="left"/>
      <w:pPr>
        <w:ind w:left="1287" w:hanging="360"/>
      </w:pPr>
      <w:rPr>
        <w:color w:val="365F91"/>
      </w:rPr>
    </w:lvl>
    <w:lvl w:ilvl="1" w:tplc="21CA8D3E">
      <w:start w:val="1"/>
      <w:numFmt w:val="decimal"/>
      <w:lvlText w:val="%2."/>
      <w:lvlJc w:val="left"/>
      <w:pPr>
        <w:ind w:left="2007" w:hanging="360"/>
      </w:pPr>
    </w:lvl>
    <w:lvl w:ilvl="2" w:tplc="0402001B">
      <w:start w:val="1"/>
      <w:numFmt w:val="lowerRoman"/>
      <w:lvlText w:val="%3."/>
      <w:lvlJc w:val="right"/>
      <w:pPr>
        <w:ind w:left="2727" w:hanging="180"/>
      </w:pPr>
    </w:lvl>
    <w:lvl w:ilvl="3" w:tplc="0402000F">
      <w:start w:val="1"/>
      <w:numFmt w:val="decimal"/>
      <w:lvlText w:val="%4."/>
      <w:lvlJc w:val="left"/>
      <w:pPr>
        <w:ind w:left="3447" w:hanging="360"/>
      </w:pPr>
    </w:lvl>
    <w:lvl w:ilvl="4" w:tplc="04020019">
      <w:start w:val="1"/>
      <w:numFmt w:val="lowerLetter"/>
      <w:lvlText w:val="%5."/>
      <w:lvlJc w:val="left"/>
      <w:pPr>
        <w:ind w:left="4167" w:hanging="360"/>
      </w:pPr>
    </w:lvl>
    <w:lvl w:ilvl="5" w:tplc="0402001B">
      <w:start w:val="1"/>
      <w:numFmt w:val="lowerRoman"/>
      <w:lvlText w:val="%6."/>
      <w:lvlJc w:val="right"/>
      <w:pPr>
        <w:ind w:left="4887" w:hanging="180"/>
      </w:pPr>
    </w:lvl>
    <w:lvl w:ilvl="6" w:tplc="0402000F">
      <w:start w:val="1"/>
      <w:numFmt w:val="decimal"/>
      <w:lvlText w:val="%7."/>
      <w:lvlJc w:val="left"/>
      <w:pPr>
        <w:ind w:left="5607" w:hanging="360"/>
      </w:pPr>
    </w:lvl>
    <w:lvl w:ilvl="7" w:tplc="04020019">
      <w:start w:val="1"/>
      <w:numFmt w:val="lowerLetter"/>
      <w:lvlText w:val="%8."/>
      <w:lvlJc w:val="left"/>
      <w:pPr>
        <w:ind w:left="6327" w:hanging="360"/>
      </w:pPr>
    </w:lvl>
    <w:lvl w:ilvl="8" w:tplc="0402001B">
      <w:start w:val="1"/>
      <w:numFmt w:val="lowerRoman"/>
      <w:lvlText w:val="%9."/>
      <w:lvlJc w:val="right"/>
      <w:pPr>
        <w:ind w:left="7047" w:hanging="180"/>
      </w:pPr>
    </w:lvl>
  </w:abstractNum>
  <w:abstractNum w:abstractNumId="24">
    <w:nsid w:val="246856B5"/>
    <w:multiLevelType w:val="hybridMultilevel"/>
    <w:tmpl w:val="6D1A0F16"/>
    <w:lvl w:ilvl="0" w:tplc="3EE4412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4E470B4"/>
    <w:multiLevelType w:val="hybridMultilevel"/>
    <w:tmpl w:val="AC26B188"/>
    <w:lvl w:ilvl="0" w:tplc="1A0EDF58">
      <w:start w:val="6"/>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6">
    <w:nsid w:val="250A3507"/>
    <w:multiLevelType w:val="hybridMultilevel"/>
    <w:tmpl w:val="36468D52"/>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2627676C"/>
    <w:multiLevelType w:val="hybridMultilevel"/>
    <w:tmpl w:val="921CCE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6746D8E"/>
    <w:multiLevelType w:val="hybridMultilevel"/>
    <w:tmpl w:val="6A2A5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6C210C1"/>
    <w:multiLevelType w:val="multilevel"/>
    <w:tmpl w:val="E7D68C1A"/>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AAE1B53"/>
    <w:multiLevelType w:val="hybridMultilevel"/>
    <w:tmpl w:val="27AAFA20"/>
    <w:lvl w:ilvl="0" w:tplc="0402000B">
      <w:start w:val="1"/>
      <w:numFmt w:val="bullet"/>
      <w:lvlText w:val=""/>
      <w:lvlJc w:val="left"/>
      <w:pPr>
        <w:tabs>
          <w:tab w:val="num" w:pos="746"/>
        </w:tabs>
        <w:ind w:left="746" w:hanging="360"/>
      </w:pPr>
      <w:rPr>
        <w:rFonts w:ascii="Wingdings" w:hAnsi="Wingdings" w:hint="default"/>
      </w:rPr>
    </w:lvl>
    <w:lvl w:ilvl="1" w:tplc="04020003">
      <w:start w:val="1"/>
      <w:numFmt w:val="bullet"/>
      <w:lvlText w:val="o"/>
      <w:lvlJc w:val="left"/>
      <w:pPr>
        <w:tabs>
          <w:tab w:val="num" w:pos="1466"/>
        </w:tabs>
        <w:ind w:left="1466" w:hanging="360"/>
      </w:pPr>
      <w:rPr>
        <w:rFonts w:ascii="Courier New" w:hAnsi="Courier New" w:cs="Courier New" w:hint="default"/>
      </w:rPr>
    </w:lvl>
    <w:lvl w:ilvl="2" w:tplc="04020005">
      <w:start w:val="1"/>
      <w:numFmt w:val="bullet"/>
      <w:lvlText w:val=""/>
      <w:lvlJc w:val="left"/>
      <w:pPr>
        <w:tabs>
          <w:tab w:val="num" w:pos="2186"/>
        </w:tabs>
        <w:ind w:left="2186" w:hanging="360"/>
      </w:pPr>
      <w:rPr>
        <w:rFonts w:ascii="Wingdings" w:hAnsi="Wingdings" w:hint="default"/>
      </w:rPr>
    </w:lvl>
    <w:lvl w:ilvl="3" w:tplc="04020001">
      <w:start w:val="1"/>
      <w:numFmt w:val="bullet"/>
      <w:lvlText w:val=""/>
      <w:lvlJc w:val="left"/>
      <w:pPr>
        <w:tabs>
          <w:tab w:val="num" w:pos="2906"/>
        </w:tabs>
        <w:ind w:left="2906" w:hanging="360"/>
      </w:pPr>
      <w:rPr>
        <w:rFonts w:ascii="Symbol" w:hAnsi="Symbol" w:hint="default"/>
      </w:rPr>
    </w:lvl>
    <w:lvl w:ilvl="4" w:tplc="04020003">
      <w:start w:val="1"/>
      <w:numFmt w:val="bullet"/>
      <w:lvlText w:val="o"/>
      <w:lvlJc w:val="left"/>
      <w:pPr>
        <w:tabs>
          <w:tab w:val="num" w:pos="3626"/>
        </w:tabs>
        <w:ind w:left="3626" w:hanging="360"/>
      </w:pPr>
      <w:rPr>
        <w:rFonts w:ascii="Courier New" w:hAnsi="Courier New" w:cs="Courier New" w:hint="default"/>
      </w:rPr>
    </w:lvl>
    <w:lvl w:ilvl="5" w:tplc="04020005">
      <w:start w:val="1"/>
      <w:numFmt w:val="bullet"/>
      <w:lvlText w:val=""/>
      <w:lvlJc w:val="left"/>
      <w:pPr>
        <w:tabs>
          <w:tab w:val="num" w:pos="4346"/>
        </w:tabs>
        <w:ind w:left="4346" w:hanging="360"/>
      </w:pPr>
      <w:rPr>
        <w:rFonts w:ascii="Wingdings" w:hAnsi="Wingdings" w:hint="default"/>
      </w:rPr>
    </w:lvl>
    <w:lvl w:ilvl="6" w:tplc="04020001">
      <w:start w:val="1"/>
      <w:numFmt w:val="bullet"/>
      <w:lvlText w:val=""/>
      <w:lvlJc w:val="left"/>
      <w:pPr>
        <w:tabs>
          <w:tab w:val="num" w:pos="5066"/>
        </w:tabs>
        <w:ind w:left="5066" w:hanging="360"/>
      </w:pPr>
      <w:rPr>
        <w:rFonts w:ascii="Symbol" w:hAnsi="Symbol" w:hint="default"/>
      </w:rPr>
    </w:lvl>
    <w:lvl w:ilvl="7" w:tplc="04020003">
      <w:start w:val="1"/>
      <w:numFmt w:val="bullet"/>
      <w:lvlText w:val="o"/>
      <w:lvlJc w:val="left"/>
      <w:pPr>
        <w:tabs>
          <w:tab w:val="num" w:pos="5786"/>
        </w:tabs>
        <w:ind w:left="5786" w:hanging="360"/>
      </w:pPr>
      <w:rPr>
        <w:rFonts w:ascii="Courier New" w:hAnsi="Courier New" w:cs="Courier New" w:hint="default"/>
      </w:rPr>
    </w:lvl>
    <w:lvl w:ilvl="8" w:tplc="04020005">
      <w:start w:val="1"/>
      <w:numFmt w:val="bullet"/>
      <w:lvlText w:val=""/>
      <w:lvlJc w:val="left"/>
      <w:pPr>
        <w:tabs>
          <w:tab w:val="num" w:pos="6506"/>
        </w:tabs>
        <w:ind w:left="6506" w:hanging="360"/>
      </w:pPr>
      <w:rPr>
        <w:rFonts w:ascii="Wingdings" w:hAnsi="Wingdings" w:hint="default"/>
      </w:rPr>
    </w:lvl>
  </w:abstractNum>
  <w:abstractNum w:abstractNumId="31">
    <w:nsid w:val="2ADD1200"/>
    <w:multiLevelType w:val="hybridMultilevel"/>
    <w:tmpl w:val="8FA0803A"/>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2">
    <w:nsid w:val="2B45392E"/>
    <w:multiLevelType w:val="hybridMultilevel"/>
    <w:tmpl w:val="A29222BE"/>
    <w:lvl w:ilvl="0" w:tplc="0402000B">
      <w:start w:val="1"/>
      <w:numFmt w:val="bullet"/>
      <w:lvlText w:val=""/>
      <w:lvlJc w:val="left"/>
      <w:pPr>
        <w:ind w:left="928"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2D6E07B8"/>
    <w:multiLevelType w:val="hybridMultilevel"/>
    <w:tmpl w:val="8D06BE3E"/>
    <w:lvl w:ilvl="0" w:tplc="CD50F140">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4">
    <w:nsid w:val="303B07DB"/>
    <w:multiLevelType w:val="hybridMultilevel"/>
    <w:tmpl w:val="38CAE58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5682166"/>
    <w:multiLevelType w:val="hybridMultilevel"/>
    <w:tmpl w:val="DD4A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F6593B"/>
    <w:multiLevelType w:val="hybridMultilevel"/>
    <w:tmpl w:val="3D846EB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61C1AA7"/>
    <w:multiLevelType w:val="hybridMultilevel"/>
    <w:tmpl w:val="3B10587C"/>
    <w:lvl w:ilvl="0" w:tplc="0409000B">
      <w:start w:val="1"/>
      <w:numFmt w:val="bullet"/>
      <w:lvlText w:val=""/>
      <w:lvlJc w:val="left"/>
      <w:pPr>
        <w:ind w:left="1637" w:hanging="360"/>
      </w:pPr>
      <w:rPr>
        <w:rFonts w:ascii="Wingdings" w:hAnsi="Wingdings" w:hint="default"/>
      </w:rPr>
    </w:lvl>
    <w:lvl w:ilvl="1" w:tplc="04090003" w:tentative="1">
      <w:start w:val="1"/>
      <w:numFmt w:val="bullet"/>
      <w:lvlText w:val="o"/>
      <w:lvlJc w:val="left"/>
      <w:pPr>
        <w:ind w:left="2357" w:hanging="360"/>
      </w:pPr>
      <w:rPr>
        <w:rFonts w:ascii="Courier New" w:hAnsi="Courier New" w:cs="Courier New" w:hint="default"/>
      </w:rPr>
    </w:lvl>
    <w:lvl w:ilvl="2" w:tplc="04090005" w:tentative="1">
      <w:start w:val="1"/>
      <w:numFmt w:val="bullet"/>
      <w:lvlText w:val=""/>
      <w:lvlJc w:val="left"/>
      <w:pPr>
        <w:ind w:left="3077" w:hanging="360"/>
      </w:pPr>
      <w:rPr>
        <w:rFonts w:ascii="Wingdings" w:hAnsi="Wingdings" w:hint="default"/>
      </w:rPr>
    </w:lvl>
    <w:lvl w:ilvl="3" w:tplc="04090001" w:tentative="1">
      <w:start w:val="1"/>
      <w:numFmt w:val="bullet"/>
      <w:lvlText w:val=""/>
      <w:lvlJc w:val="left"/>
      <w:pPr>
        <w:ind w:left="3797" w:hanging="360"/>
      </w:pPr>
      <w:rPr>
        <w:rFonts w:ascii="Symbol" w:hAnsi="Symbol" w:hint="default"/>
      </w:rPr>
    </w:lvl>
    <w:lvl w:ilvl="4" w:tplc="04090003" w:tentative="1">
      <w:start w:val="1"/>
      <w:numFmt w:val="bullet"/>
      <w:lvlText w:val="o"/>
      <w:lvlJc w:val="left"/>
      <w:pPr>
        <w:ind w:left="4517" w:hanging="360"/>
      </w:pPr>
      <w:rPr>
        <w:rFonts w:ascii="Courier New" w:hAnsi="Courier New" w:cs="Courier New" w:hint="default"/>
      </w:rPr>
    </w:lvl>
    <w:lvl w:ilvl="5" w:tplc="04090005" w:tentative="1">
      <w:start w:val="1"/>
      <w:numFmt w:val="bullet"/>
      <w:lvlText w:val=""/>
      <w:lvlJc w:val="left"/>
      <w:pPr>
        <w:ind w:left="5237" w:hanging="360"/>
      </w:pPr>
      <w:rPr>
        <w:rFonts w:ascii="Wingdings" w:hAnsi="Wingdings" w:hint="default"/>
      </w:rPr>
    </w:lvl>
    <w:lvl w:ilvl="6" w:tplc="04090001" w:tentative="1">
      <w:start w:val="1"/>
      <w:numFmt w:val="bullet"/>
      <w:lvlText w:val=""/>
      <w:lvlJc w:val="left"/>
      <w:pPr>
        <w:ind w:left="5957" w:hanging="360"/>
      </w:pPr>
      <w:rPr>
        <w:rFonts w:ascii="Symbol" w:hAnsi="Symbol" w:hint="default"/>
      </w:rPr>
    </w:lvl>
    <w:lvl w:ilvl="7" w:tplc="04090003" w:tentative="1">
      <w:start w:val="1"/>
      <w:numFmt w:val="bullet"/>
      <w:lvlText w:val="o"/>
      <w:lvlJc w:val="left"/>
      <w:pPr>
        <w:ind w:left="6677" w:hanging="360"/>
      </w:pPr>
      <w:rPr>
        <w:rFonts w:ascii="Courier New" w:hAnsi="Courier New" w:cs="Courier New" w:hint="default"/>
      </w:rPr>
    </w:lvl>
    <w:lvl w:ilvl="8" w:tplc="04090005" w:tentative="1">
      <w:start w:val="1"/>
      <w:numFmt w:val="bullet"/>
      <w:lvlText w:val=""/>
      <w:lvlJc w:val="left"/>
      <w:pPr>
        <w:ind w:left="7397" w:hanging="360"/>
      </w:pPr>
      <w:rPr>
        <w:rFonts w:ascii="Wingdings" w:hAnsi="Wingdings" w:hint="default"/>
      </w:rPr>
    </w:lvl>
  </w:abstractNum>
  <w:abstractNum w:abstractNumId="38">
    <w:nsid w:val="36B91EB9"/>
    <w:multiLevelType w:val="hybridMultilevel"/>
    <w:tmpl w:val="FFDE7B2C"/>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AB859A6"/>
    <w:multiLevelType w:val="hybridMultilevel"/>
    <w:tmpl w:val="E5C2E32C"/>
    <w:lvl w:ilvl="0" w:tplc="92068E7A">
      <w:start w:val="1"/>
      <w:numFmt w:val="bullet"/>
      <w:lvlText w:val=""/>
      <w:lvlJc w:val="left"/>
      <w:pPr>
        <w:tabs>
          <w:tab w:val="num" w:pos="1814"/>
        </w:tabs>
        <w:ind w:left="1814" w:hanging="357"/>
      </w:pPr>
      <w:rPr>
        <w:rFonts w:ascii="Wingdings" w:hAnsi="Wingdings" w:hint="default"/>
        <w:color w:val="008000"/>
      </w:rPr>
    </w:lvl>
    <w:lvl w:ilvl="1" w:tplc="94E0E2F2">
      <w:start w:val="1"/>
      <w:numFmt w:val="bullet"/>
      <w:lvlText w:val=""/>
      <w:lvlJc w:val="left"/>
      <w:pPr>
        <w:tabs>
          <w:tab w:val="num" w:pos="1440"/>
        </w:tabs>
        <w:ind w:left="1440" w:hanging="360"/>
      </w:pPr>
      <w:rPr>
        <w:rFonts w:ascii="Wingdings" w:hAnsi="Wingdings" w:hint="default"/>
        <w:color w:val="auto"/>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0">
    <w:nsid w:val="3B457FAB"/>
    <w:multiLevelType w:val="hybridMultilevel"/>
    <w:tmpl w:val="7BD87386"/>
    <w:lvl w:ilvl="0" w:tplc="12C44E3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1">
    <w:nsid w:val="3BEC00CA"/>
    <w:multiLevelType w:val="hybridMultilevel"/>
    <w:tmpl w:val="FDF2DAE4"/>
    <w:lvl w:ilvl="0" w:tplc="04020001">
      <w:start w:val="1"/>
      <w:numFmt w:val="bullet"/>
      <w:lvlText w:val=""/>
      <w:lvlJc w:val="left"/>
      <w:pPr>
        <w:ind w:left="1266" w:hanging="360"/>
      </w:pPr>
      <w:rPr>
        <w:rFonts w:ascii="Symbol" w:hAnsi="Symbol" w:hint="default"/>
      </w:rPr>
    </w:lvl>
    <w:lvl w:ilvl="1" w:tplc="04020003" w:tentative="1">
      <w:start w:val="1"/>
      <w:numFmt w:val="bullet"/>
      <w:lvlText w:val="o"/>
      <w:lvlJc w:val="left"/>
      <w:pPr>
        <w:ind w:left="1986" w:hanging="360"/>
      </w:pPr>
      <w:rPr>
        <w:rFonts w:ascii="Courier New" w:hAnsi="Courier New" w:cs="Courier New" w:hint="default"/>
      </w:rPr>
    </w:lvl>
    <w:lvl w:ilvl="2" w:tplc="04020005" w:tentative="1">
      <w:start w:val="1"/>
      <w:numFmt w:val="bullet"/>
      <w:lvlText w:val=""/>
      <w:lvlJc w:val="left"/>
      <w:pPr>
        <w:ind w:left="2706" w:hanging="360"/>
      </w:pPr>
      <w:rPr>
        <w:rFonts w:ascii="Wingdings" w:hAnsi="Wingdings" w:hint="default"/>
      </w:rPr>
    </w:lvl>
    <w:lvl w:ilvl="3" w:tplc="04020001" w:tentative="1">
      <w:start w:val="1"/>
      <w:numFmt w:val="bullet"/>
      <w:lvlText w:val=""/>
      <w:lvlJc w:val="left"/>
      <w:pPr>
        <w:ind w:left="3426" w:hanging="360"/>
      </w:pPr>
      <w:rPr>
        <w:rFonts w:ascii="Symbol" w:hAnsi="Symbol" w:hint="default"/>
      </w:rPr>
    </w:lvl>
    <w:lvl w:ilvl="4" w:tplc="04020003" w:tentative="1">
      <w:start w:val="1"/>
      <w:numFmt w:val="bullet"/>
      <w:lvlText w:val="o"/>
      <w:lvlJc w:val="left"/>
      <w:pPr>
        <w:ind w:left="4146" w:hanging="360"/>
      </w:pPr>
      <w:rPr>
        <w:rFonts w:ascii="Courier New" w:hAnsi="Courier New" w:cs="Courier New" w:hint="default"/>
      </w:rPr>
    </w:lvl>
    <w:lvl w:ilvl="5" w:tplc="04020005" w:tentative="1">
      <w:start w:val="1"/>
      <w:numFmt w:val="bullet"/>
      <w:lvlText w:val=""/>
      <w:lvlJc w:val="left"/>
      <w:pPr>
        <w:ind w:left="4866" w:hanging="360"/>
      </w:pPr>
      <w:rPr>
        <w:rFonts w:ascii="Wingdings" w:hAnsi="Wingdings" w:hint="default"/>
      </w:rPr>
    </w:lvl>
    <w:lvl w:ilvl="6" w:tplc="04020001" w:tentative="1">
      <w:start w:val="1"/>
      <w:numFmt w:val="bullet"/>
      <w:lvlText w:val=""/>
      <w:lvlJc w:val="left"/>
      <w:pPr>
        <w:ind w:left="5586" w:hanging="360"/>
      </w:pPr>
      <w:rPr>
        <w:rFonts w:ascii="Symbol" w:hAnsi="Symbol" w:hint="default"/>
      </w:rPr>
    </w:lvl>
    <w:lvl w:ilvl="7" w:tplc="04020003" w:tentative="1">
      <w:start w:val="1"/>
      <w:numFmt w:val="bullet"/>
      <w:lvlText w:val="o"/>
      <w:lvlJc w:val="left"/>
      <w:pPr>
        <w:ind w:left="6306" w:hanging="360"/>
      </w:pPr>
      <w:rPr>
        <w:rFonts w:ascii="Courier New" w:hAnsi="Courier New" w:cs="Courier New" w:hint="default"/>
      </w:rPr>
    </w:lvl>
    <w:lvl w:ilvl="8" w:tplc="04020005" w:tentative="1">
      <w:start w:val="1"/>
      <w:numFmt w:val="bullet"/>
      <w:lvlText w:val=""/>
      <w:lvlJc w:val="left"/>
      <w:pPr>
        <w:ind w:left="7026" w:hanging="360"/>
      </w:pPr>
      <w:rPr>
        <w:rFonts w:ascii="Wingdings" w:hAnsi="Wingdings" w:hint="default"/>
      </w:rPr>
    </w:lvl>
  </w:abstractNum>
  <w:abstractNum w:abstractNumId="42">
    <w:nsid w:val="3D5B0FA9"/>
    <w:multiLevelType w:val="hybridMultilevel"/>
    <w:tmpl w:val="4A16A47C"/>
    <w:lvl w:ilvl="0" w:tplc="04020009">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3">
    <w:nsid w:val="3DAC37A8"/>
    <w:multiLevelType w:val="hybridMultilevel"/>
    <w:tmpl w:val="D24EA79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3DC02A41"/>
    <w:multiLevelType w:val="hybridMultilevel"/>
    <w:tmpl w:val="69B6F6C6"/>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5">
    <w:nsid w:val="3F05760B"/>
    <w:multiLevelType w:val="hybridMultilevel"/>
    <w:tmpl w:val="8940E94E"/>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6">
    <w:nsid w:val="3F833A47"/>
    <w:multiLevelType w:val="hybridMultilevel"/>
    <w:tmpl w:val="4E86C93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418B415D"/>
    <w:multiLevelType w:val="hybridMultilevel"/>
    <w:tmpl w:val="7F4E4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42173136"/>
    <w:multiLevelType w:val="hybridMultilevel"/>
    <w:tmpl w:val="F2D6A7BA"/>
    <w:lvl w:ilvl="0" w:tplc="3B92E0A6">
      <w:start w:val="1"/>
      <w:numFmt w:val="bullet"/>
      <w:lvlText w:val=""/>
      <w:lvlJc w:val="left"/>
      <w:pPr>
        <w:tabs>
          <w:tab w:val="num" w:pos="1814"/>
        </w:tabs>
        <w:ind w:left="1814" w:hanging="357"/>
      </w:pPr>
      <w:rPr>
        <w:rFonts w:ascii="Wingdings" w:hAnsi="Wingdings" w:hint="default"/>
        <w:color w:val="00800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nsid w:val="42F318DC"/>
    <w:multiLevelType w:val="hybridMultilevel"/>
    <w:tmpl w:val="304E704E"/>
    <w:lvl w:ilvl="0" w:tplc="EB744D5C">
      <w:numFmt w:val="bullet"/>
      <w:lvlText w:val="-"/>
      <w:lvlJc w:val="left"/>
      <w:pPr>
        <w:ind w:left="1068" w:hanging="360"/>
      </w:pPr>
      <w:rPr>
        <w:rFonts w:ascii="Calibri" w:eastAsiaTheme="minorHAnsi" w:hAnsi="Calibri" w:cs="Calibri"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50">
    <w:nsid w:val="438623BB"/>
    <w:multiLevelType w:val="hybridMultilevel"/>
    <w:tmpl w:val="75665052"/>
    <w:lvl w:ilvl="0" w:tplc="1902B202">
      <w:start w:val="2"/>
      <w:numFmt w:val="bullet"/>
      <w:lvlText w:val="-"/>
      <w:lvlJc w:val="left"/>
      <w:pPr>
        <w:ind w:left="709" w:hanging="360"/>
      </w:pPr>
      <w:rPr>
        <w:rFonts w:ascii="Times New Roman" w:eastAsia="Times New Roman" w:hAnsi="Times New Roman" w:cs="Times New Roman" w:hint="default"/>
      </w:rPr>
    </w:lvl>
    <w:lvl w:ilvl="1" w:tplc="04020003" w:tentative="1">
      <w:start w:val="1"/>
      <w:numFmt w:val="bullet"/>
      <w:lvlText w:val="o"/>
      <w:lvlJc w:val="left"/>
      <w:pPr>
        <w:ind w:left="1429" w:hanging="360"/>
      </w:pPr>
      <w:rPr>
        <w:rFonts w:ascii="Courier New" w:hAnsi="Courier New" w:cs="Courier New" w:hint="default"/>
      </w:rPr>
    </w:lvl>
    <w:lvl w:ilvl="2" w:tplc="04020005" w:tentative="1">
      <w:start w:val="1"/>
      <w:numFmt w:val="bullet"/>
      <w:lvlText w:val=""/>
      <w:lvlJc w:val="left"/>
      <w:pPr>
        <w:ind w:left="2149" w:hanging="360"/>
      </w:pPr>
      <w:rPr>
        <w:rFonts w:ascii="Wingdings" w:hAnsi="Wingdings" w:hint="default"/>
      </w:rPr>
    </w:lvl>
    <w:lvl w:ilvl="3" w:tplc="04020001" w:tentative="1">
      <w:start w:val="1"/>
      <w:numFmt w:val="bullet"/>
      <w:lvlText w:val=""/>
      <w:lvlJc w:val="left"/>
      <w:pPr>
        <w:ind w:left="2869" w:hanging="360"/>
      </w:pPr>
      <w:rPr>
        <w:rFonts w:ascii="Symbol" w:hAnsi="Symbol" w:hint="default"/>
      </w:rPr>
    </w:lvl>
    <w:lvl w:ilvl="4" w:tplc="04020003" w:tentative="1">
      <w:start w:val="1"/>
      <w:numFmt w:val="bullet"/>
      <w:lvlText w:val="o"/>
      <w:lvlJc w:val="left"/>
      <w:pPr>
        <w:ind w:left="3589" w:hanging="360"/>
      </w:pPr>
      <w:rPr>
        <w:rFonts w:ascii="Courier New" w:hAnsi="Courier New" w:cs="Courier New" w:hint="default"/>
      </w:rPr>
    </w:lvl>
    <w:lvl w:ilvl="5" w:tplc="04020005" w:tentative="1">
      <w:start w:val="1"/>
      <w:numFmt w:val="bullet"/>
      <w:lvlText w:val=""/>
      <w:lvlJc w:val="left"/>
      <w:pPr>
        <w:ind w:left="4309" w:hanging="360"/>
      </w:pPr>
      <w:rPr>
        <w:rFonts w:ascii="Wingdings" w:hAnsi="Wingdings" w:hint="default"/>
      </w:rPr>
    </w:lvl>
    <w:lvl w:ilvl="6" w:tplc="04020001" w:tentative="1">
      <w:start w:val="1"/>
      <w:numFmt w:val="bullet"/>
      <w:lvlText w:val=""/>
      <w:lvlJc w:val="left"/>
      <w:pPr>
        <w:ind w:left="5029" w:hanging="360"/>
      </w:pPr>
      <w:rPr>
        <w:rFonts w:ascii="Symbol" w:hAnsi="Symbol" w:hint="default"/>
      </w:rPr>
    </w:lvl>
    <w:lvl w:ilvl="7" w:tplc="04020003" w:tentative="1">
      <w:start w:val="1"/>
      <w:numFmt w:val="bullet"/>
      <w:lvlText w:val="o"/>
      <w:lvlJc w:val="left"/>
      <w:pPr>
        <w:ind w:left="5749" w:hanging="360"/>
      </w:pPr>
      <w:rPr>
        <w:rFonts w:ascii="Courier New" w:hAnsi="Courier New" w:cs="Courier New" w:hint="default"/>
      </w:rPr>
    </w:lvl>
    <w:lvl w:ilvl="8" w:tplc="04020005" w:tentative="1">
      <w:start w:val="1"/>
      <w:numFmt w:val="bullet"/>
      <w:lvlText w:val=""/>
      <w:lvlJc w:val="left"/>
      <w:pPr>
        <w:ind w:left="6469" w:hanging="360"/>
      </w:pPr>
      <w:rPr>
        <w:rFonts w:ascii="Wingdings" w:hAnsi="Wingdings" w:hint="default"/>
      </w:rPr>
    </w:lvl>
  </w:abstractNum>
  <w:abstractNum w:abstractNumId="51">
    <w:nsid w:val="46613824"/>
    <w:multiLevelType w:val="hybridMultilevel"/>
    <w:tmpl w:val="287469D6"/>
    <w:lvl w:ilvl="0" w:tplc="04020009">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2">
    <w:nsid w:val="48E77DA1"/>
    <w:multiLevelType w:val="multilevel"/>
    <w:tmpl w:val="C1DCC9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A486034"/>
    <w:multiLevelType w:val="hybridMultilevel"/>
    <w:tmpl w:val="58D40FC0"/>
    <w:lvl w:ilvl="0" w:tplc="7EC2487E">
      <w:start w:val="1"/>
      <w:numFmt w:val="decimal"/>
      <w:lvlText w:val="%1."/>
      <w:lvlJc w:val="left"/>
      <w:pPr>
        <w:ind w:left="1714" w:hanging="100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4">
    <w:nsid w:val="4EB95A53"/>
    <w:multiLevelType w:val="hybridMultilevel"/>
    <w:tmpl w:val="F05E092A"/>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50C139AD"/>
    <w:multiLevelType w:val="hybridMultilevel"/>
    <w:tmpl w:val="2FE000F0"/>
    <w:lvl w:ilvl="0" w:tplc="DF52F0C2">
      <w:start w:val="4"/>
      <w:numFmt w:val="bullet"/>
      <w:lvlText w:val="-"/>
      <w:lvlJc w:val="left"/>
      <w:pPr>
        <w:ind w:left="1429" w:hanging="360"/>
      </w:pPr>
      <w:rPr>
        <w:rFonts w:ascii="Times New Roman" w:eastAsia="SimSu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6">
    <w:nsid w:val="513A6333"/>
    <w:multiLevelType w:val="hybridMultilevel"/>
    <w:tmpl w:val="A5D440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1527701"/>
    <w:multiLevelType w:val="hybridMultilevel"/>
    <w:tmpl w:val="7084F516"/>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nsid w:val="53330068"/>
    <w:multiLevelType w:val="hybridMultilevel"/>
    <w:tmpl w:val="72FEF7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B3A1924"/>
    <w:multiLevelType w:val="hybridMultilevel"/>
    <w:tmpl w:val="CFA8EB18"/>
    <w:lvl w:ilvl="0" w:tplc="BD7818A0">
      <w:start w:val="1"/>
      <w:numFmt w:val="decimal"/>
      <w:lvlText w:val="%1."/>
      <w:lvlJc w:val="left"/>
      <w:pPr>
        <w:ind w:left="644" w:hanging="360"/>
      </w:pPr>
      <w:rPr>
        <w:i w:val="0"/>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60">
    <w:nsid w:val="5D664B43"/>
    <w:multiLevelType w:val="hybridMultilevel"/>
    <w:tmpl w:val="93C2E5F8"/>
    <w:lvl w:ilvl="0" w:tplc="8DFA4886">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nsid w:val="5FD949EC"/>
    <w:multiLevelType w:val="hybridMultilevel"/>
    <w:tmpl w:val="EE049E3C"/>
    <w:lvl w:ilvl="0" w:tplc="D794E67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2">
    <w:nsid w:val="60ED26DB"/>
    <w:multiLevelType w:val="hybridMultilevel"/>
    <w:tmpl w:val="CC1497A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3">
    <w:nsid w:val="61763F0F"/>
    <w:multiLevelType w:val="hybridMultilevel"/>
    <w:tmpl w:val="484CEC34"/>
    <w:lvl w:ilvl="0" w:tplc="DED8A360">
      <w:start w:val="1"/>
      <w:numFmt w:val="decimal"/>
      <w:lvlText w:val="%1."/>
      <w:lvlJc w:val="left"/>
      <w:pPr>
        <w:ind w:left="704" w:hanging="420"/>
      </w:pPr>
      <w:rPr>
        <w:rFonts w:hint="default"/>
        <w:i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4">
    <w:nsid w:val="66A478CB"/>
    <w:multiLevelType w:val="hybridMultilevel"/>
    <w:tmpl w:val="9F18FC6C"/>
    <w:lvl w:ilvl="0" w:tplc="87EAA720">
      <w:start w:val="130"/>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nsid w:val="690D7281"/>
    <w:multiLevelType w:val="hybridMultilevel"/>
    <w:tmpl w:val="04EAF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A370FFB"/>
    <w:multiLevelType w:val="hybridMultilevel"/>
    <w:tmpl w:val="732E4968"/>
    <w:lvl w:ilvl="0" w:tplc="0402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6C9A1FAD"/>
    <w:multiLevelType w:val="hybridMultilevel"/>
    <w:tmpl w:val="F4B8E620"/>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68">
    <w:nsid w:val="6F6962DA"/>
    <w:multiLevelType w:val="hybridMultilevel"/>
    <w:tmpl w:val="ACC0E626"/>
    <w:lvl w:ilvl="0" w:tplc="C3DA35C2">
      <w:start w:val="1"/>
      <w:numFmt w:val="decimal"/>
      <w:lvlText w:val="%1."/>
      <w:lvlJc w:val="left"/>
      <w:pPr>
        <w:ind w:left="76" w:hanging="360"/>
      </w:pPr>
      <w:rPr>
        <w:rFonts w:hint="default"/>
      </w:rPr>
    </w:lvl>
    <w:lvl w:ilvl="1" w:tplc="04020019" w:tentative="1">
      <w:start w:val="1"/>
      <w:numFmt w:val="lowerLetter"/>
      <w:lvlText w:val="%2."/>
      <w:lvlJc w:val="left"/>
      <w:pPr>
        <w:ind w:left="796" w:hanging="360"/>
      </w:pPr>
    </w:lvl>
    <w:lvl w:ilvl="2" w:tplc="0402001B" w:tentative="1">
      <w:start w:val="1"/>
      <w:numFmt w:val="lowerRoman"/>
      <w:lvlText w:val="%3."/>
      <w:lvlJc w:val="right"/>
      <w:pPr>
        <w:ind w:left="1516" w:hanging="180"/>
      </w:pPr>
    </w:lvl>
    <w:lvl w:ilvl="3" w:tplc="0402000F" w:tentative="1">
      <w:start w:val="1"/>
      <w:numFmt w:val="decimal"/>
      <w:lvlText w:val="%4."/>
      <w:lvlJc w:val="left"/>
      <w:pPr>
        <w:ind w:left="2236" w:hanging="360"/>
      </w:pPr>
    </w:lvl>
    <w:lvl w:ilvl="4" w:tplc="04020019" w:tentative="1">
      <w:start w:val="1"/>
      <w:numFmt w:val="lowerLetter"/>
      <w:lvlText w:val="%5."/>
      <w:lvlJc w:val="left"/>
      <w:pPr>
        <w:ind w:left="2956" w:hanging="360"/>
      </w:pPr>
    </w:lvl>
    <w:lvl w:ilvl="5" w:tplc="0402001B" w:tentative="1">
      <w:start w:val="1"/>
      <w:numFmt w:val="lowerRoman"/>
      <w:lvlText w:val="%6."/>
      <w:lvlJc w:val="right"/>
      <w:pPr>
        <w:ind w:left="3676" w:hanging="180"/>
      </w:pPr>
    </w:lvl>
    <w:lvl w:ilvl="6" w:tplc="0402000F" w:tentative="1">
      <w:start w:val="1"/>
      <w:numFmt w:val="decimal"/>
      <w:lvlText w:val="%7."/>
      <w:lvlJc w:val="left"/>
      <w:pPr>
        <w:ind w:left="4396" w:hanging="360"/>
      </w:pPr>
    </w:lvl>
    <w:lvl w:ilvl="7" w:tplc="04020019" w:tentative="1">
      <w:start w:val="1"/>
      <w:numFmt w:val="lowerLetter"/>
      <w:lvlText w:val="%8."/>
      <w:lvlJc w:val="left"/>
      <w:pPr>
        <w:ind w:left="5116" w:hanging="360"/>
      </w:pPr>
    </w:lvl>
    <w:lvl w:ilvl="8" w:tplc="0402001B" w:tentative="1">
      <w:start w:val="1"/>
      <w:numFmt w:val="lowerRoman"/>
      <w:lvlText w:val="%9."/>
      <w:lvlJc w:val="right"/>
      <w:pPr>
        <w:ind w:left="5836" w:hanging="180"/>
      </w:pPr>
    </w:lvl>
  </w:abstractNum>
  <w:abstractNum w:abstractNumId="69">
    <w:nsid w:val="72CD79C4"/>
    <w:multiLevelType w:val="hybridMultilevel"/>
    <w:tmpl w:val="D23E09BC"/>
    <w:lvl w:ilvl="0" w:tplc="77B82FC2">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70">
    <w:nsid w:val="73880B71"/>
    <w:multiLevelType w:val="hybridMultilevel"/>
    <w:tmpl w:val="593EF688"/>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1">
    <w:nsid w:val="74A52138"/>
    <w:multiLevelType w:val="hybridMultilevel"/>
    <w:tmpl w:val="AEBC0C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75A7510B"/>
    <w:multiLevelType w:val="multilevel"/>
    <w:tmpl w:val="75A7510B"/>
    <w:lvl w:ilvl="0">
      <w:start w:val="2"/>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73">
    <w:nsid w:val="77722A88"/>
    <w:multiLevelType w:val="hybridMultilevel"/>
    <w:tmpl w:val="D7A8C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81D4C98"/>
    <w:multiLevelType w:val="hybridMultilevel"/>
    <w:tmpl w:val="54B0368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AEF62F1"/>
    <w:multiLevelType w:val="hybridMultilevel"/>
    <w:tmpl w:val="257ECC9A"/>
    <w:lvl w:ilvl="0" w:tplc="716EEC92">
      <w:start w:val="7"/>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B9009E1"/>
    <w:multiLevelType w:val="hybridMultilevel"/>
    <w:tmpl w:val="AF50421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7">
    <w:nsid w:val="7DDF1BFE"/>
    <w:multiLevelType w:val="hybridMultilevel"/>
    <w:tmpl w:val="96E2E7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nsid w:val="7F1C1DC9"/>
    <w:multiLevelType w:val="hybridMultilevel"/>
    <w:tmpl w:val="BB0C378C"/>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2"/>
  </w:num>
  <w:num w:numId="5">
    <w:abstractNumId w:val="9"/>
  </w:num>
  <w:num w:numId="6">
    <w:abstractNumId w:val="36"/>
  </w:num>
  <w:num w:numId="7">
    <w:abstractNumId w:val="40"/>
  </w:num>
  <w:num w:numId="8">
    <w:abstractNumId w:val="66"/>
  </w:num>
  <w:num w:numId="9">
    <w:abstractNumId w:val="43"/>
  </w:num>
  <w:num w:numId="10">
    <w:abstractNumId w:val="54"/>
  </w:num>
  <w:num w:numId="11">
    <w:abstractNumId w:val="26"/>
  </w:num>
  <w:num w:numId="12">
    <w:abstractNumId w:val="58"/>
  </w:num>
  <w:num w:numId="13">
    <w:abstractNumId w:val="27"/>
  </w:num>
  <w:num w:numId="14">
    <w:abstractNumId w:val="77"/>
  </w:num>
  <w:num w:numId="15">
    <w:abstractNumId w:val="10"/>
  </w:num>
  <w:num w:numId="16">
    <w:abstractNumId w:val="61"/>
  </w:num>
  <w:num w:numId="17">
    <w:abstractNumId w:val="68"/>
  </w:num>
  <w:num w:numId="18">
    <w:abstractNumId w:val="46"/>
  </w:num>
  <w:num w:numId="19">
    <w:abstractNumId w:val="56"/>
  </w:num>
  <w:num w:numId="20">
    <w:abstractNumId w:val="74"/>
  </w:num>
  <w:num w:numId="21">
    <w:abstractNumId w:val="63"/>
  </w:num>
  <w:num w:numId="22">
    <w:abstractNumId w:val="59"/>
    <w:lvlOverride w:ilvl="0">
      <w:startOverride w:val="1"/>
    </w:lvlOverride>
    <w:lvlOverride w:ilvl="1"/>
    <w:lvlOverride w:ilvl="2"/>
    <w:lvlOverride w:ilvl="3"/>
    <w:lvlOverride w:ilvl="4"/>
    <w:lvlOverride w:ilvl="5"/>
    <w:lvlOverride w:ilvl="6"/>
    <w:lvlOverride w:ilvl="7"/>
    <w:lvlOverride w:ilvl="8"/>
  </w:num>
  <w:num w:numId="23">
    <w:abstractNumId w:val="18"/>
  </w:num>
  <w:num w:numId="24">
    <w:abstractNumId w:val="53"/>
  </w:num>
  <w:num w:numId="25">
    <w:abstractNumId w:val="50"/>
  </w:num>
  <w:num w:numId="26">
    <w:abstractNumId w:val="44"/>
  </w:num>
  <w:num w:numId="27">
    <w:abstractNumId w:val="25"/>
  </w:num>
  <w:num w:numId="28">
    <w:abstractNumId w:val="60"/>
  </w:num>
  <w:num w:numId="29">
    <w:abstractNumId w:val="75"/>
  </w:num>
  <w:num w:numId="30">
    <w:abstractNumId w:val="72"/>
  </w:num>
  <w:num w:numId="31">
    <w:abstractNumId w:val="22"/>
  </w:num>
  <w:num w:numId="32">
    <w:abstractNumId w:val="55"/>
  </w:num>
  <w:num w:numId="33">
    <w:abstractNumId w:val="4"/>
  </w:num>
  <w:num w:numId="34">
    <w:abstractNumId w:val="24"/>
  </w:num>
  <w:num w:numId="35">
    <w:abstractNumId w:val="37"/>
  </w:num>
  <w:num w:numId="36">
    <w:abstractNumId w:val="14"/>
  </w:num>
  <w:num w:numId="37">
    <w:abstractNumId w:val="8"/>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73"/>
  </w:num>
  <w:num w:numId="42">
    <w:abstractNumId w:val="65"/>
  </w:num>
  <w:num w:numId="43">
    <w:abstractNumId w:val="35"/>
  </w:num>
  <w:num w:numId="44">
    <w:abstractNumId w:val="1"/>
  </w:num>
  <w:num w:numId="45">
    <w:abstractNumId w:val="51"/>
  </w:num>
  <w:num w:numId="46">
    <w:abstractNumId w:val="31"/>
  </w:num>
  <w:num w:numId="47">
    <w:abstractNumId w:val="42"/>
  </w:num>
  <w:num w:numId="48">
    <w:abstractNumId w:val="38"/>
  </w:num>
  <w:num w:numId="49">
    <w:abstractNumId w:val="17"/>
  </w:num>
  <w:num w:numId="50">
    <w:abstractNumId w:val="57"/>
  </w:num>
  <w:num w:numId="51">
    <w:abstractNumId w:val="6"/>
  </w:num>
  <w:num w:numId="52">
    <w:abstractNumId w:val="21"/>
  </w:num>
  <w:num w:numId="53">
    <w:abstractNumId w:val="52"/>
  </w:num>
  <w:num w:numId="54">
    <w:abstractNumId w:val="29"/>
  </w:num>
  <w:num w:numId="55">
    <w:abstractNumId w:val="16"/>
  </w:num>
  <w:num w:numId="56">
    <w:abstractNumId w:val="48"/>
  </w:num>
  <w:num w:numId="57">
    <w:abstractNumId w:val="39"/>
  </w:num>
  <w:num w:numId="58">
    <w:abstractNumId w:val="47"/>
  </w:num>
  <w:num w:numId="59">
    <w:abstractNumId w:val="11"/>
  </w:num>
  <w:num w:numId="60">
    <w:abstractNumId w:val="71"/>
  </w:num>
  <w:num w:numId="61">
    <w:abstractNumId w:val="67"/>
  </w:num>
  <w:num w:numId="62">
    <w:abstractNumId w:val="3"/>
  </w:num>
  <w:num w:numId="6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
  </w:num>
  <w:num w:numId="65">
    <w:abstractNumId w:val="19"/>
  </w:num>
  <w:num w:numId="66">
    <w:abstractNumId w:val="70"/>
  </w:num>
  <w:num w:numId="67">
    <w:abstractNumId w:val="12"/>
  </w:num>
  <w:num w:numId="68">
    <w:abstractNumId w:val="0"/>
  </w:num>
  <w:num w:numId="69">
    <w:abstractNumId w:val="13"/>
  </w:num>
  <w:num w:numId="70">
    <w:abstractNumId w:val="45"/>
  </w:num>
  <w:num w:numId="71">
    <w:abstractNumId w:val="62"/>
  </w:num>
  <w:num w:numId="72">
    <w:abstractNumId w:val="49"/>
  </w:num>
  <w:num w:numId="73">
    <w:abstractNumId w:val="64"/>
  </w:num>
  <w:num w:numId="74">
    <w:abstractNumId w:val="15"/>
  </w:num>
  <w:num w:numId="75">
    <w:abstractNumId w:val="69"/>
  </w:num>
  <w:num w:numId="76">
    <w:abstractNumId w:val="34"/>
  </w:num>
  <w:num w:numId="77">
    <w:abstractNumId w:val="7"/>
  </w:num>
  <w:num w:numId="78">
    <w:abstractNumId w:val="41"/>
  </w:num>
  <w:num w:numId="79">
    <w:abstractNumId w:val="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BE0"/>
    <w:rsid w:val="00010959"/>
    <w:rsid w:val="00011F28"/>
    <w:rsid w:val="00014644"/>
    <w:rsid w:val="00022FD1"/>
    <w:rsid w:val="00030075"/>
    <w:rsid w:val="00032CF0"/>
    <w:rsid w:val="000413D2"/>
    <w:rsid w:val="00041E21"/>
    <w:rsid w:val="00050549"/>
    <w:rsid w:val="00056DFA"/>
    <w:rsid w:val="000C1E1F"/>
    <w:rsid w:val="000C6883"/>
    <w:rsid w:val="000E3711"/>
    <w:rsid w:val="000E5DB4"/>
    <w:rsid w:val="000E70B9"/>
    <w:rsid w:val="000F5A38"/>
    <w:rsid w:val="00110958"/>
    <w:rsid w:val="00115B85"/>
    <w:rsid w:val="001165BA"/>
    <w:rsid w:val="00124C1A"/>
    <w:rsid w:val="00136AA2"/>
    <w:rsid w:val="00146C04"/>
    <w:rsid w:val="00150A77"/>
    <w:rsid w:val="00157EC5"/>
    <w:rsid w:val="00164441"/>
    <w:rsid w:val="00192139"/>
    <w:rsid w:val="001A1668"/>
    <w:rsid w:val="001B5824"/>
    <w:rsid w:val="001B6D0C"/>
    <w:rsid w:val="001B7B35"/>
    <w:rsid w:val="001D14A6"/>
    <w:rsid w:val="001D1AE6"/>
    <w:rsid w:val="001D320A"/>
    <w:rsid w:val="001D352B"/>
    <w:rsid w:val="001D7111"/>
    <w:rsid w:val="001E6C2D"/>
    <w:rsid w:val="001F25CC"/>
    <w:rsid w:val="001F414B"/>
    <w:rsid w:val="00202897"/>
    <w:rsid w:val="0020329E"/>
    <w:rsid w:val="002125C8"/>
    <w:rsid w:val="00214A87"/>
    <w:rsid w:val="0022428F"/>
    <w:rsid w:val="00227228"/>
    <w:rsid w:val="002577E7"/>
    <w:rsid w:val="0027337A"/>
    <w:rsid w:val="002945A8"/>
    <w:rsid w:val="002A1989"/>
    <w:rsid w:val="002A7F6B"/>
    <w:rsid w:val="002B5440"/>
    <w:rsid w:val="002C22D1"/>
    <w:rsid w:val="002C7082"/>
    <w:rsid w:val="002C7D1C"/>
    <w:rsid w:val="002E5882"/>
    <w:rsid w:val="002F70B4"/>
    <w:rsid w:val="00300FE8"/>
    <w:rsid w:val="00301277"/>
    <w:rsid w:val="003029A9"/>
    <w:rsid w:val="003357B7"/>
    <w:rsid w:val="003373C3"/>
    <w:rsid w:val="00344EB1"/>
    <w:rsid w:val="003544FE"/>
    <w:rsid w:val="0035502E"/>
    <w:rsid w:val="00357F4A"/>
    <w:rsid w:val="0036367E"/>
    <w:rsid w:val="0038307F"/>
    <w:rsid w:val="00393CDC"/>
    <w:rsid w:val="00397FB7"/>
    <w:rsid w:val="003A0A22"/>
    <w:rsid w:val="003A4B70"/>
    <w:rsid w:val="003A508E"/>
    <w:rsid w:val="003D7BCA"/>
    <w:rsid w:val="003D7D55"/>
    <w:rsid w:val="003E1066"/>
    <w:rsid w:val="003E616E"/>
    <w:rsid w:val="003E775B"/>
    <w:rsid w:val="003F2D4F"/>
    <w:rsid w:val="003F3583"/>
    <w:rsid w:val="00412909"/>
    <w:rsid w:val="004143C8"/>
    <w:rsid w:val="00417DDA"/>
    <w:rsid w:val="00423D7F"/>
    <w:rsid w:val="004246C0"/>
    <w:rsid w:val="00425718"/>
    <w:rsid w:val="00430384"/>
    <w:rsid w:val="004308BB"/>
    <w:rsid w:val="004310B2"/>
    <w:rsid w:val="00436EB4"/>
    <w:rsid w:val="00442C80"/>
    <w:rsid w:val="00445E7C"/>
    <w:rsid w:val="00447CCE"/>
    <w:rsid w:val="00470381"/>
    <w:rsid w:val="00473E11"/>
    <w:rsid w:val="00477C0D"/>
    <w:rsid w:val="004816F2"/>
    <w:rsid w:val="00481E22"/>
    <w:rsid w:val="004A1663"/>
    <w:rsid w:val="004C3186"/>
    <w:rsid w:val="004C4718"/>
    <w:rsid w:val="004D39CA"/>
    <w:rsid w:val="004D4719"/>
    <w:rsid w:val="004D7BF0"/>
    <w:rsid w:val="005129D1"/>
    <w:rsid w:val="00517C88"/>
    <w:rsid w:val="0053346A"/>
    <w:rsid w:val="005341C3"/>
    <w:rsid w:val="00537094"/>
    <w:rsid w:val="00543FA8"/>
    <w:rsid w:val="00552612"/>
    <w:rsid w:val="0055586F"/>
    <w:rsid w:val="00556226"/>
    <w:rsid w:val="00562079"/>
    <w:rsid w:val="005710BD"/>
    <w:rsid w:val="00596A92"/>
    <w:rsid w:val="00597093"/>
    <w:rsid w:val="005A0B6F"/>
    <w:rsid w:val="005A232B"/>
    <w:rsid w:val="005A326E"/>
    <w:rsid w:val="005A4B79"/>
    <w:rsid w:val="005A5CF3"/>
    <w:rsid w:val="005B49CA"/>
    <w:rsid w:val="005B566E"/>
    <w:rsid w:val="005D41E3"/>
    <w:rsid w:val="005E4F78"/>
    <w:rsid w:val="005F4843"/>
    <w:rsid w:val="00601192"/>
    <w:rsid w:val="006110A4"/>
    <w:rsid w:val="00625DAC"/>
    <w:rsid w:val="0063163F"/>
    <w:rsid w:val="00636810"/>
    <w:rsid w:val="006370A1"/>
    <w:rsid w:val="0065055B"/>
    <w:rsid w:val="00650A52"/>
    <w:rsid w:val="00656C03"/>
    <w:rsid w:val="00661A75"/>
    <w:rsid w:val="006818F0"/>
    <w:rsid w:val="006B4D08"/>
    <w:rsid w:val="006B6EBE"/>
    <w:rsid w:val="006C1297"/>
    <w:rsid w:val="006E3217"/>
    <w:rsid w:val="006E466F"/>
    <w:rsid w:val="00706171"/>
    <w:rsid w:val="00706A0C"/>
    <w:rsid w:val="00710B51"/>
    <w:rsid w:val="00710C9E"/>
    <w:rsid w:val="00715D90"/>
    <w:rsid w:val="00716173"/>
    <w:rsid w:val="00735A8F"/>
    <w:rsid w:val="00756A74"/>
    <w:rsid w:val="00763ED5"/>
    <w:rsid w:val="007656F8"/>
    <w:rsid w:val="0077623C"/>
    <w:rsid w:val="007946E8"/>
    <w:rsid w:val="007A22BF"/>
    <w:rsid w:val="007C17C5"/>
    <w:rsid w:val="007E4882"/>
    <w:rsid w:val="007F3B8E"/>
    <w:rsid w:val="007F464B"/>
    <w:rsid w:val="00801952"/>
    <w:rsid w:val="008155A9"/>
    <w:rsid w:val="008213AD"/>
    <w:rsid w:val="00830271"/>
    <w:rsid w:val="008303B5"/>
    <w:rsid w:val="008544B2"/>
    <w:rsid w:val="0085503B"/>
    <w:rsid w:val="00855A7E"/>
    <w:rsid w:val="0085762A"/>
    <w:rsid w:val="008732BF"/>
    <w:rsid w:val="008747F0"/>
    <w:rsid w:val="00880BF2"/>
    <w:rsid w:val="008826B5"/>
    <w:rsid w:val="00890459"/>
    <w:rsid w:val="008A6024"/>
    <w:rsid w:val="008B6C29"/>
    <w:rsid w:val="008D1BC9"/>
    <w:rsid w:val="008D5610"/>
    <w:rsid w:val="008E1798"/>
    <w:rsid w:val="009001A6"/>
    <w:rsid w:val="00903F56"/>
    <w:rsid w:val="009118E4"/>
    <w:rsid w:val="0092168A"/>
    <w:rsid w:val="00927B11"/>
    <w:rsid w:val="00930527"/>
    <w:rsid w:val="00930D60"/>
    <w:rsid w:val="00940E69"/>
    <w:rsid w:val="00952728"/>
    <w:rsid w:val="009618BB"/>
    <w:rsid w:val="00992893"/>
    <w:rsid w:val="009A75DA"/>
    <w:rsid w:val="009C028B"/>
    <w:rsid w:val="009C30A8"/>
    <w:rsid w:val="009D63B9"/>
    <w:rsid w:val="009E42C6"/>
    <w:rsid w:val="009E6145"/>
    <w:rsid w:val="00A131A4"/>
    <w:rsid w:val="00A20DAD"/>
    <w:rsid w:val="00A32E67"/>
    <w:rsid w:val="00A368A7"/>
    <w:rsid w:val="00A41FF1"/>
    <w:rsid w:val="00A4374B"/>
    <w:rsid w:val="00A438E6"/>
    <w:rsid w:val="00A446DD"/>
    <w:rsid w:val="00A55C58"/>
    <w:rsid w:val="00A55CEB"/>
    <w:rsid w:val="00A57590"/>
    <w:rsid w:val="00A64B64"/>
    <w:rsid w:val="00A67CB1"/>
    <w:rsid w:val="00A70DFB"/>
    <w:rsid w:val="00A77481"/>
    <w:rsid w:val="00A8114F"/>
    <w:rsid w:val="00A83F49"/>
    <w:rsid w:val="00AA56CB"/>
    <w:rsid w:val="00AB24B8"/>
    <w:rsid w:val="00AD4A00"/>
    <w:rsid w:val="00B10D69"/>
    <w:rsid w:val="00B14362"/>
    <w:rsid w:val="00B21682"/>
    <w:rsid w:val="00B2528F"/>
    <w:rsid w:val="00B2639D"/>
    <w:rsid w:val="00B27F69"/>
    <w:rsid w:val="00B3649D"/>
    <w:rsid w:val="00B50915"/>
    <w:rsid w:val="00B56F3D"/>
    <w:rsid w:val="00B63479"/>
    <w:rsid w:val="00B7046F"/>
    <w:rsid w:val="00B74AF3"/>
    <w:rsid w:val="00B83F9D"/>
    <w:rsid w:val="00BB581C"/>
    <w:rsid w:val="00BD470A"/>
    <w:rsid w:val="00BE00BA"/>
    <w:rsid w:val="00BE152A"/>
    <w:rsid w:val="00BE57B2"/>
    <w:rsid w:val="00BE677F"/>
    <w:rsid w:val="00BF123C"/>
    <w:rsid w:val="00C14897"/>
    <w:rsid w:val="00C33822"/>
    <w:rsid w:val="00C402AA"/>
    <w:rsid w:val="00C55FD1"/>
    <w:rsid w:val="00C74A88"/>
    <w:rsid w:val="00C74C2B"/>
    <w:rsid w:val="00C77253"/>
    <w:rsid w:val="00C82CDC"/>
    <w:rsid w:val="00CA1435"/>
    <w:rsid w:val="00CB3FDF"/>
    <w:rsid w:val="00CB4830"/>
    <w:rsid w:val="00CC7303"/>
    <w:rsid w:val="00CD63EC"/>
    <w:rsid w:val="00CF2A9B"/>
    <w:rsid w:val="00D13ECF"/>
    <w:rsid w:val="00D25226"/>
    <w:rsid w:val="00D2534F"/>
    <w:rsid w:val="00D35AF7"/>
    <w:rsid w:val="00D41636"/>
    <w:rsid w:val="00D44AC6"/>
    <w:rsid w:val="00D4695A"/>
    <w:rsid w:val="00D679BC"/>
    <w:rsid w:val="00D72677"/>
    <w:rsid w:val="00D77CEB"/>
    <w:rsid w:val="00D8105D"/>
    <w:rsid w:val="00D8404E"/>
    <w:rsid w:val="00D86C17"/>
    <w:rsid w:val="00D87E05"/>
    <w:rsid w:val="00D87F6D"/>
    <w:rsid w:val="00D9288F"/>
    <w:rsid w:val="00D93454"/>
    <w:rsid w:val="00DC05C7"/>
    <w:rsid w:val="00DE2B46"/>
    <w:rsid w:val="00DE2D64"/>
    <w:rsid w:val="00DE454D"/>
    <w:rsid w:val="00DE63FB"/>
    <w:rsid w:val="00DF2BBA"/>
    <w:rsid w:val="00E050C9"/>
    <w:rsid w:val="00E23F40"/>
    <w:rsid w:val="00E414B0"/>
    <w:rsid w:val="00E5268B"/>
    <w:rsid w:val="00E86EA6"/>
    <w:rsid w:val="00E91754"/>
    <w:rsid w:val="00E926BB"/>
    <w:rsid w:val="00EB59AE"/>
    <w:rsid w:val="00EC28B6"/>
    <w:rsid w:val="00ED20C5"/>
    <w:rsid w:val="00F110C8"/>
    <w:rsid w:val="00F116B1"/>
    <w:rsid w:val="00F1389C"/>
    <w:rsid w:val="00F228E6"/>
    <w:rsid w:val="00F27BE0"/>
    <w:rsid w:val="00F318EE"/>
    <w:rsid w:val="00F4693E"/>
    <w:rsid w:val="00F47CBD"/>
    <w:rsid w:val="00F50398"/>
    <w:rsid w:val="00F523B9"/>
    <w:rsid w:val="00F606B6"/>
    <w:rsid w:val="00F61649"/>
    <w:rsid w:val="00F914D6"/>
    <w:rsid w:val="00F947B4"/>
    <w:rsid w:val="00F97F44"/>
    <w:rsid w:val="00FB090A"/>
    <w:rsid w:val="00FB5CF6"/>
    <w:rsid w:val="00FC21BF"/>
    <w:rsid w:val="00FD4AED"/>
    <w:rsid w:val="00FE02B1"/>
    <w:rsid w:val="00FF6914"/>
    <w:rsid w:val="00FF79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BE0"/>
    <w:pPr>
      <w:spacing w:before="120" w:after="120" w:line="240" w:lineRule="auto"/>
      <w:ind w:firstLine="567"/>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uiPriority w:val="9"/>
    <w:qFormat/>
    <w:rsid w:val="00F97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27BE0"/>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50A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50A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50A7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27BE0"/>
    <w:rPr>
      <w:rFonts w:ascii="Cambria" w:eastAsia="Times New Roman" w:hAnsi="Cambria" w:cs="Times New Roman"/>
      <w:b/>
      <w:bCs/>
      <w:i/>
      <w:iCs/>
      <w:sz w:val="28"/>
      <w:szCs w:val="28"/>
      <w:lang w:val="x-none" w:eastAsia="x-none"/>
    </w:rPr>
  </w:style>
  <w:style w:type="character" w:customStyle="1" w:styleId="ListParagraphChar">
    <w:name w:val="List Paragraph Char"/>
    <w:link w:val="ListParagraph"/>
    <w:uiPriority w:val="99"/>
    <w:locked/>
    <w:rsid w:val="00F27BE0"/>
    <w:rPr>
      <w:rFonts w:ascii="Cambria" w:eastAsia="MS Minngs" w:hAnsi="Cambria"/>
      <w:sz w:val="24"/>
      <w:szCs w:val="24"/>
      <w:lang w:val="en-US"/>
    </w:rPr>
  </w:style>
  <w:style w:type="paragraph" w:styleId="ListParagraph">
    <w:name w:val="List Paragraph"/>
    <w:basedOn w:val="Normal"/>
    <w:link w:val="ListParagraphChar"/>
    <w:uiPriority w:val="99"/>
    <w:qFormat/>
    <w:rsid w:val="00F27BE0"/>
    <w:pPr>
      <w:spacing w:before="0" w:after="0"/>
      <w:ind w:left="720" w:firstLine="0"/>
      <w:contextualSpacing/>
    </w:pPr>
    <w:rPr>
      <w:rFonts w:ascii="Cambria" w:eastAsia="MS Minngs" w:hAnsi="Cambria" w:cstheme="minorBidi"/>
      <w:sz w:val="24"/>
      <w:szCs w:val="24"/>
      <w:lang w:val="en-US" w:eastAsia="en-US"/>
    </w:rPr>
  </w:style>
  <w:style w:type="paragraph" w:styleId="NormalWeb">
    <w:name w:val="Normal (Web)"/>
    <w:basedOn w:val="Normal"/>
    <w:uiPriority w:val="99"/>
    <w:semiHidden/>
    <w:unhideWhenUsed/>
    <w:rsid w:val="006B6EBE"/>
    <w:pPr>
      <w:spacing w:before="100" w:beforeAutospacing="1" w:after="100" w:afterAutospacing="1"/>
      <w:ind w:firstLine="0"/>
    </w:pPr>
    <w:rPr>
      <w:sz w:val="24"/>
      <w:szCs w:val="24"/>
    </w:rPr>
  </w:style>
  <w:style w:type="paragraph" w:styleId="NoSpacing">
    <w:name w:val="No Spacing"/>
    <w:uiPriority w:val="1"/>
    <w:qFormat/>
    <w:rsid w:val="006B6EBE"/>
    <w:pPr>
      <w:spacing w:after="0" w:line="240" w:lineRule="auto"/>
    </w:pPr>
    <w:rPr>
      <w:rFonts w:ascii="Calibri" w:eastAsia="Calibri" w:hAnsi="Calibri" w:cs="Times New Roman"/>
    </w:rPr>
  </w:style>
  <w:style w:type="paragraph" w:customStyle="1" w:styleId="firstline">
    <w:name w:val="firstline"/>
    <w:basedOn w:val="Normal"/>
    <w:uiPriority w:val="99"/>
    <w:rsid w:val="006B6EBE"/>
    <w:pPr>
      <w:spacing w:before="100" w:beforeAutospacing="1" w:after="100" w:afterAutospacing="1"/>
      <w:ind w:firstLine="0"/>
    </w:pPr>
    <w:rPr>
      <w:sz w:val="24"/>
      <w:szCs w:val="24"/>
    </w:rPr>
  </w:style>
  <w:style w:type="paragraph" w:styleId="Header">
    <w:name w:val="header"/>
    <w:basedOn w:val="Normal"/>
    <w:link w:val="HeaderChar"/>
    <w:uiPriority w:val="99"/>
    <w:unhideWhenUsed/>
    <w:rsid w:val="00710B51"/>
    <w:pPr>
      <w:tabs>
        <w:tab w:val="center" w:pos="4536"/>
        <w:tab w:val="right" w:pos="9072"/>
      </w:tabs>
      <w:spacing w:before="0" w:after="0"/>
    </w:pPr>
  </w:style>
  <w:style w:type="character" w:customStyle="1" w:styleId="HeaderChar">
    <w:name w:val="Header Char"/>
    <w:basedOn w:val="DefaultParagraphFont"/>
    <w:link w:val="Header"/>
    <w:uiPriority w:val="99"/>
    <w:rsid w:val="00710B51"/>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710B51"/>
    <w:pPr>
      <w:tabs>
        <w:tab w:val="center" w:pos="4536"/>
        <w:tab w:val="right" w:pos="9072"/>
      </w:tabs>
      <w:spacing w:before="0" w:after="0"/>
    </w:pPr>
  </w:style>
  <w:style w:type="character" w:customStyle="1" w:styleId="FooterChar">
    <w:name w:val="Footer Char"/>
    <w:basedOn w:val="DefaultParagraphFont"/>
    <w:link w:val="Footer"/>
    <w:uiPriority w:val="99"/>
    <w:rsid w:val="00710B51"/>
    <w:rPr>
      <w:rFonts w:ascii="Times New Roman" w:eastAsia="Times New Roman" w:hAnsi="Times New Roman" w:cs="Times New Roman"/>
      <w:sz w:val="20"/>
      <w:szCs w:val="20"/>
      <w:lang w:eastAsia="bg-BG"/>
    </w:rPr>
  </w:style>
  <w:style w:type="character" w:customStyle="1" w:styleId="Heading1Char">
    <w:name w:val="Heading 1 Char"/>
    <w:basedOn w:val="DefaultParagraphFont"/>
    <w:link w:val="Heading1"/>
    <w:uiPriority w:val="9"/>
    <w:rsid w:val="00F97F44"/>
    <w:rPr>
      <w:rFonts w:asciiTheme="majorHAnsi" w:eastAsiaTheme="majorEastAsia" w:hAnsiTheme="majorHAnsi" w:cstheme="majorBidi"/>
      <w:b/>
      <w:bCs/>
      <w:color w:val="365F91" w:themeColor="accent1" w:themeShade="BF"/>
      <w:sz w:val="28"/>
      <w:szCs w:val="28"/>
      <w:lang w:eastAsia="bg-BG"/>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53346A"/>
    <w:pPr>
      <w:tabs>
        <w:tab w:val="left" w:pos="709"/>
      </w:tabs>
      <w:spacing w:before="0" w:after="0"/>
      <w:ind w:firstLine="0"/>
    </w:pPr>
    <w:rPr>
      <w:rFonts w:ascii="Tahoma" w:hAnsi="Tahoma"/>
      <w:sz w:val="24"/>
      <w:szCs w:val="24"/>
      <w:lang w:val="pl-PL" w:eastAsia="pl-PL"/>
    </w:rPr>
  </w:style>
  <w:style w:type="paragraph" w:customStyle="1" w:styleId="CharCharChar">
    <w:name w:val="Знак Char Char Char"/>
    <w:basedOn w:val="Normal"/>
    <w:rsid w:val="001D1AE6"/>
    <w:pPr>
      <w:spacing w:before="0" w:after="160" w:line="240" w:lineRule="exact"/>
      <w:ind w:firstLine="0"/>
    </w:pPr>
    <w:rPr>
      <w:rFonts w:ascii="Tahoma" w:hAnsi="Tahoma" w:cs="Tahoma"/>
      <w:lang w:val="en-US" w:eastAsia="en-US"/>
    </w:rPr>
  </w:style>
  <w:style w:type="paragraph" w:customStyle="1" w:styleId="CharCharChar0">
    <w:name w:val="Знак Char Char Char"/>
    <w:basedOn w:val="Normal"/>
    <w:rsid w:val="00552612"/>
    <w:pPr>
      <w:spacing w:before="0" w:after="160" w:line="240" w:lineRule="exact"/>
      <w:ind w:firstLine="0"/>
    </w:pPr>
    <w:rPr>
      <w:rFonts w:ascii="Tahoma" w:hAnsi="Tahoma" w:cs="Tahoma"/>
      <w:lang w:val="en-US" w:eastAsia="en-US"/>
    </w:rPr>
  </w:style>
  <w:style w:type="paragraph" w:customStyle="1" w:styleId="Char">
    <w:name w:val="Char"/>
    <w:basedOn w:val="Normal"/>
    <w:rsid w:val="00940E69"/>
    <w:pPr>
      <w:tabs>
        <w:tab w:val="left" w:pos="709"/>
      </w:tabs>
      <w:spacing w:before="0" w:after="0"/>
      <w:ind w:firstLine="0"/>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3A0A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22"/>
    <w:rPr>
      <w:rFonts w:ascii="Tahoma" w:eastAsia="Times New Roman" w:hAnsi="Tahoma" w:cs="Tahoma"/>
      <w:sz w:val="16"/>
      <w:szCs w:val="16"/>
      <w:lang w:eastAsia="bg-BG"/>
    </w:rPr>
  </w:style>
  <w:style w:type="character" w:customStyle="1" w:styleId="Heading3Char">
    <w:name w:val="Heading 3 Char"/>
    <w:basedOn w:val="DefaultParagraphFont"/>
    <w:link w:val="Heading3"/>
    <w:uiPriority w:val="9"/>
    <w:semiHidden/>
    <w:rsid w:val="00150A77"/>
    <w:rPr>
      <w:rFonts w:asciiTheme="majorHAnsi" w:eastAsiaTheme="majorEastAsia" w:hAnsiTheme="majorHAnsi" w:cstheme="majorBidi"/>
      <w:b/>
      <w:bCs/>
      <w:color w:val="4F81BD" w:themeColor="accent1"/>
      <w:sz w:val="20"/>
      <w:szCs w:val="20"/>
      <w:lang w:eastAsia="bg-BG"/>
    </w:rPr>
  </w:style>
  <w:style w:type="character" w:customStyle="1" w:styleId="Heading4Char">
    <w:name w:val="Heading 4 Char"/>
    <w:basedOn w:val="DefaultParagraphFont"/>
    <w:link w:val="Heading4"/>
    <w:uiPriority w:val="9"/>
    <w:semiHidden/>
    <w:rsid w:val="00150A77"/>
    <w:rPr>
      <w:rFonts w:asciiTheme="majorHAnsi" w:eastAsiaTheme="majorEastAsia" w:hAnsiTheme="majorHAnsi" w:cstheme="majorBidi"/>
      <w:b/>
      <w:bCs/>
      <w:i/>
      <w:iCs/>
      <w:color w:val="4F81BD" w:themeColor="accent1"/>
      <w:sz w:val="20"/>
      <w:szCs w:val="20"/>
      <w:lang w:eastAsia="bg-BG"/>
    </w:rPr>
  </w:style>
  <w:style w:type="character" w:customStyle="1" w:styleId="Heading5Char">
    <w:name w:val="Heading 5 Char"/>
    <w:basedOn w:val="DefaultParagraphFont"/>
    <w:link w:val="Heading5"/>
    <w:uiPriority w:val="9"/>
    <w:semiHidden/>
    <w:rsid w:val="00150A77"/>
    <w:rPr>
      <w:rFonts w:asciiTheme="majorHAnsi" w:eastAsiaTheme="majorEastAsia" w:hAnsiTheme="majorHAnsi" w:cstheme="majorBidi"/>
      <w:color w:val="243F60" w:themeColor="accent1" w:themeShade="7F"/>
      <w:sz w:val="20"/>
      <w:szCs w:val="20"/>
      <w:lang w:eastAsia="bg-BG"/>
    </w:rPr>
  </w:style>
  <w:style w:type="table" w:styleId="TableGrid">
    <w:name w:val="Table Grid"/>
    <w:basedOn w:val="TableNormal"/>
    <w:uiPriority w:val="59"/>
    <w:rsid w:val="00B5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Знак Char Char Char"/>
    <w:basedOn w:val="Normal"/>
    <w:rsid w:val="00601192"/>
    <w:pPr>
      <w:spacing w:before="0" w:after="160" w:line="240" w:lineRule="exact"/>
      <w:ind w:firstLine="0"/>
    </w:pPr>
    <w:rPr>
      <w:rFonts w:ascii="Tahoma" w:hAnsi="Tahoma" w:cs="Tahoma"/>
      <w:lang w:val="en-US" w:eastAsia="en-US"/>
    </w:rPr>
  </w:style>
  <w:style w:type="paragraph" w:styleId="TOCHeading">
    <w:name w:val="TOC Heading"/>
    <w:basedOn w:val="Heading1"/>
    <w:next w:val="Normal"/>
    <w:uiPriority w:val="39"/>
    <w:semiHidden/>
    <w:unhideWhenUsed/>
    <w:qFormat/>
    <w:rsid w:val="009A75DA"/>
    <w:pPr>
      <w:spacing w:line="276" w:lineRule="auto"/>
      <w:ind w:firstLine="0"/>
      <w:outlineLvl w:val="9"/>
    </w:pPr>
    <w:rPr>
      <w:lang w:val="en-US" w:eastAsia="ja-JP"/>
    </w:rPr>
  </w:style>
  <w:style w:type="paragraph" w:styleId="TOC3">
    <w:name w:val="toc 3"/>
    <w:basedOn w:val="Normal"/>
    <w:next w:val="Normal"/>
    <w:autoRedefine/>
    <w:uiPriority w:val="39"/>
    <w:unhideWhenUsed/>
    <w:rsid w:val="009A75DA"/>
    <w:pPr>
      <w:spacing w:after="100"/>
      <w:ind w:left="400"/>
    </w:pPr>
  </w:style>
  <w:style w:type="paragraph" w:styleId="TOC1">
    <w:name w:val="toc 1"/>
    <w:basedOn w:val="Normal"/>
    <w:next w:val="Normal"/>
    <w:autoRedefine/>
    <w:uiPriority w:val="39"/>
    <w:unhideWhenUsed/>
    <w:rsid w:val="003029A9"/>
    <w:pPr>
      <w:tabs>
        <w:tab w:val="left" w:pos="360"/>
        <w:tab w:val="right" w:leader="dot" w:pos="10070"/>
      </w:tabs>
      <w:spacing w:before="0" w:after="0" w:line="360" w:lineRule="auto"/>
      <w:ind w:firstLine="0"/>
    </w:pPr>
    <w:rPr>
      <w:rFonts w:eastAsia="Batang"/>
      <w:b/>
      <w:bCs/>
      <w:caps/>
      <w:noProof/>
      <w:sz w:val="24"/>
      <w:szCs w:val="24"/>
      <w:lang w:eastAsia="ko-KR"/>
    </w:rPr>
  </w:style>
  <w:style w:type="paragraph" w:styleId="TOC2">
    <w:name w:val="toc 2"/>
    <w:basedOn w:val="Normal"/>
    <w:next w:val="Normal"/>
    <w:autoRedefine/>
    <w:uiPriority w:val="39"/>
    <w:unhideWhenUsed/>
    <w:rsid w:val="009A75DA"/>
    <w:pPr>
      <w:spacing w:after="100"/>
      <w:ind w:left="200"/>
    </w:pPr>
  </w:style>
  <w:style w:type="character" w:styleId="Hyperlink">
    <w:name w:val="Hyperlink"/>
    <w:basedOn w:val="DefaultParagraphFont"/>
    <w:uiPriority w:val="99"/>
    <w:unhideWhenUsed/>
    <w:rsid w:val="009A75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BE0"/>
    <w:pPr>
      <w:spacing w:before="120" w:after="120" w:line="240" w:lineRule="auto"/>
      <w:ind w:firstLine="567"/>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uiPriority w:val="9"/>
    <w:qFormat/>
    <w:rsid w:val="00F97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F27BE0"/>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50A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50A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50A7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27BE0"/>
    <w:rPr>
      <w:rFonts w:ascii="Cambria" w:eastAsia="Times New Roman" w:hAnsi="Cambria" w:cs="Times New Roman"/>
      <w:b/>
      <w:bCs/>
      <w:i/>
      <w:iCs/>
      <w:sz w:val="28"/>
      <w:szCs w:val="28"/>
      <w:lang w:val="x-none" w:eastAsia="x-none"/>
    </w:rPr>
  </w:style>
  <w:style w:type="character" w:customStyle="1" w:styleId="ListParagraphChar">
    <w:name w:val="List Paragraph Char"/>
    <w:link w:val="ListParagraph"/>
    <w:uiPriority w:val="99"/>
    <w:locked/>
    <w:rsid w:val="00F27BE0"/>
    <w:rPr>
      <w:rFonts w:ascii="Cambria" w:eastAsia="MS Minngs" w:hAnsi="Cambria"/>
      <w:sz w:val="24"/>
      <w:szCs w:val="24"/>
      <w:lang w:val="en-US"/>
    </w:rPr>
  </w:style>
  <w:style w:type="paragraph" w:styleId="ListParagraph">
    <w:name w:val="List Paragraph"/>
    <w:basedOn w:val="Normal"/>
    <w:link w:val="ListParagraphChar"/>
    <w:uiPriority w:val="99"/>
    <w:qFormat/>
    <w:rsid w:val="00F27BE0"/>
    <w:pPr>
      <w:spacing w:before="0" w:after="0"/>
      <w:ind w:left="720" w:firstLine="0"/>
      <w:contextualSpacing/>
    </w:pPr>
    <w:rPr>
      <w:rFonts w:ascii="Cambria" w:eastAsia="MS Minngs" w:hAnsi="Cambria" w:cstheme="minorBidi"/>
      <w:sz w:val="24"/>
      <w:szCs w:val="24"/>
      <w:lang w:val="en-US" w:eastAsia="en-US"/>
    </w:rPr>
  </w:style>
  <w:style w:type="paragraph" w:styleId="NormalWeb">
    <w:name w:val="Normal (Web)"/>
    <w:basedOn w:val="Normal"/>
    <w:uiPriority w:val="99"/>
    <w:semiHidden/>
    <w:unhideWhenUsed/>
    <w:rsid w:val="006B6EBE"/>
    <w:pPr>
      <w:spacing w:before="100" w:beforeAutospacing="1" w:after="100" w:afterAutospacing="1"/>
      <w:ind w:firstLine="0"/>
    </w:pPr>
    <w:rPr>
      <w:sz w:val="24"/>
      <w:szCs w:val="24"/>
    </w:rPr>
  </w:style>
  <w:style w:type="paragraph" w:styleId="NoSpacing">
    <w:name w:val="No Spacing"/>
    <w:uiPriority w:val="1"/>
    <w:qFormat/>
    <w:rsid w:val="006B6EBE"/>
    <w:pPr>
      <w:spacing w:after="0" w:line="240" w:lineRule="auto"/>
    </w:pPr>
    <w:rPr>
      <w:rFonts w:ascii="Calibri" w:eastAsia="Calibri" w:hAnsi="Calibri" w:cs="Times New Roman"/>
    </w:rPr>
  </w:style>
  <w:style w:type="paragraph" w:customStyle="1" w:styleId="firstline">
    <w:name w:val="firstline"/>
    <w:basedOn w:val="Normal"/>
    <w:uiPriority w:val="99"/>
    <w:rsid w:val="006B6EBE"/>
    <w:pPr>
      <w:spacing w:before="100" w:beforeAutospacing="1" w:after="100" w:afterAutospacing="1"/>
      <w:ind w:firstLine="0"/>
    </w:pPr>
    <w:rPr>
      <w:sz w:val="24"/>
      <w:szCs w:val="24"/>
    </w:rPr>
  </w:style>
  <w:style w:type="paragraph" w:styleId="Header">
    <w:name w:val="header"/>
    <w:basedOn w:val="Normal"/>
    <w:link w:val="HeaderChar"/>
    <w:uiPriority w:val="99"/>
    <w:unhideWhenUsed/>
    <w:rsid w:val="00710B51"/>
    <w:pPr>
      <w:tabs>
        <w:tab w:val="center" w:pos="4536"/>
        <w:tab w:val="right" w:pos="9072"/>
      </w:tabs>
      <w:spacing w:before="0" w:after="0"/>
    </w:pPr>
  </w:style>
  <w:style w:type="character" w:customStyle="1" w:styleId="HeaderChar">
    <w:name w:val="Header Char"/>
    <w:basedOn w:val="DefaultParagraphFont"/>
    <w:link w:val="Header"/>
    <w:uiPriority w:val="99"/>
    <w:rsid w:val="00710B51"/>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710B51"/>
    <w:pPr>
      <w:tabs>
        <w:tab w:val="center" w:pos="4536"/>
        <w:tab w:val="right" w:pos="9072"/>
      </w:tabs>
      <w:spacing w:before="0" w:after="0"/>
    </w:pPr>
  </w:style>
  <w:style w:type="character" w:customStyle="1" w:styleId="FooterChar">
    <w:name w:val="Footer Char"/>
    <w:basedOn w:val="DefaultParagraphFont"/>
    <w:link w:val="Footer"/>
    <w:uiPriority w:val="99"/>
    <w:rsid w:val="00710B51"/>
    <w:rPr>
      <w:rFonts w:ascii="Times New Roman" w:eastAsia="Times New Roman" w:hAnsi="Times New Roman" w:cs="Times New Roman"/>
      <w:sz w:val="20"/>
      <w:szCs w:val="20"/>
      <w:lang w:eastAsia="bg-BG"/>
    </w:rPr>
  </w:style>
  <w:style w:type="character" w:customStyle="1" w:styleId="Heading1Char">
    <w:name w:val="Heading 1 Char"/>
    <w:basedOn w:val="DefaultParagraphFont"/>
    <w:link w:val="Heading1"/>
    <w:uiPriority w:val="9"/>
    <w:rsid w:val="00F97F44"/>
    <w:rPr>
      <w:rFonts w:asciiTheme="majorHAnsi" w:eastAsiaTheme="majorEastAsia" w:hAnsiTheme="majorHAnsi" w:cstheme="majorBidi"/>
      <w:b/>
      <w:bCs/>
      <w:color w:val="365F91" w:themeColor="accent1" w:themeShade="BF"/>
      <w:sz w:val="28"/>
      <w:szCs w:val="28"/>
      <w:lang w:eastAsia="bg-BG"/>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53346A"/>
    <w:pPr>
      <w:tabs>
        <w:tab w:val="left" w:pos="709"/>
      </w:tabs>
      <w:spacing w:before="0" w:after="0"/>
      <w:ind w:firstLine="0"/>
    </w:pPr>
    <w:rPr>
      <w:rFonts w:ascii="Tahoma" w:hAnsi="Tahoma"/>
      <w:sz w:val="24"/>
      <w:szCs w:val="24"/>
      <w:lang w:val="pl-PL" w:eastAsia="pl-PL"/>
    </w:rPr>
  </w:style>
  <w:style w:type="paragraph" w:customStyle="1" w:styleId="CharCharChar">
    <w:name w:val="Знак Char Char Char"/>
    <w:basedOn w:val="Normal"/>
    <w:rsid w:val="001D1AE6"/>
    <w:pPr>
      <w:spacing w:before="0" w:after="160" w:line="240" w:lineRule="exact"/>
      <w:ind w:firstLine="0"/>
    </w:pPr>
    <w:rPr>
      <w:rFonts w:ascii="Tahoma" w:hAnsi="Tahoma" w:cs="Tahoma"/>
      <w:lang w:val="en-US" w:eastAsia="en-US"/>
    </w:rPr>
  </w:style>
  <w:style w:type="paragraph" w:customStyle="1" w:styleId="CharCharChar0">
    <w:name w:val="Знак Char Char Char"/>
    <w:basedOn w:val="Normal"/>
    <w:rsid w:val="00552612"/>
    <w:pPr>
      <w:spacing w:before="0" w:after="160" w:line="240" w:lineRule="exact"/>
      <w:ind w:firstLine="0"/>
    </w:pPr>
    <w:rPr>
      <w:rFonts w:ascii="Tahoma" w:hAnsi="Tahoma" w:cs="Tahoma"/>
      <w:lang w:val="en-US" w:eastAsia="en-US"/>
    </w:rPr>
  </w:style>
  <w:style w:type="paragraph" w:customStyle="1" w:styleId="Char">
    <w:name w:val="Char"/>
    <w:basedOn w:val="Normal"/>
    <w:rsid w:val="00940E69"/>
    <w:pPr>
      <w:tabs>
        <w:tab w:val="left" w:pos="709"/>
      </w:tabs>
      <w:spacing w:before="0" w:after="0"/>
      <w:ind w:firstLine="0"/>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3A0A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22"/>
    <w:rPr>
      <w:rFonts w:ascii="Tahoma" w:eastAsia="Times New Roman" w:hAnsi="Tahoma" w:cs="Tahoma"/>
      <w:sz w:val="16"/>
      <w:szCs w:val="16"/>
      <w:lang w:eastAsia="bg-BG"/>
    </w:rPr>
  </w:style>
  <w:style w:type="character" w:customStyle="1" w:styleId="Heading3Char">
    <w:name w:val="Heading 3 Char"/>
    <w:basedOn w:val="DefaultParagraphFont"/>
    <w:link w:val="Heading3"/>
    <w:uiPriority w:val="9"/>
    <w:semiHidden/>
    <w:rsid w:val="00150A77"/>
    <w:rPr>
      <w:rFonts w:asciiTheme="majorHAnsi" w:eastAsiaTheme="majorEastAsia" w:hAnsiTheme="majorHAnsi" w:cstheme="majorBidi"/>
      <w:b/>
      <w:bCs/>
      <w:color w:val="4F81BD" w:themeColor="accent1"/>
      <w:sz w:val="20"/>
      <w:szCs w:val="20"/>
      <w:lang w:eastAsia="bg-BG"/>
    </w:rPr>
  </w:style>
  <w:style w:type="character" w:customStyle="1" w:styleId="Heading4Char">
    <w:name w:val="Heading 4 Char"/>
    <w:basedOn w:val="DefaultParagraphFont"/>
    <w:link w:val="Heading4"/>
    <w:uiPriority w:val="9"/>
    <w:semiHidden/>
    <w:rsid w:val="00150A77"/>
    <w:rPr>
      <w:rFonts w:asciiTheme="majorHAnsi" w:eastAsiaTheme="majorEastAsia" w:hAnsiTheme="majorHAnsi" w:cstheme="majorBidi"/>
      <w:b/>
      <w:bCs/>
      <w:i/>
      <w:iCs/>
      <w:color w:val="4F81BD" w:themeColor="accent1"/>
      <w:sz w:val="20"/>
      <w:szCs w:val="20"/>
      <w:lang w:eastAsia="bg-BG"/>
    </w:rPr>
  </w:style>
  <w:style w:type="character" w:customStyle="1" w:styleId="Heading5Char">
    <w:name w:val="Heading 5 Char"/>
    <w:basedOn w:val="DefaultParagraphFont"/>
    <w:link w:val="Heading5"/>
    <w:uiPriority w:val="9"/>
    <w:semiHidden/>
    <w:rsid w:val="00150A77"/>
    <w:rPr>
      <w:rFonts w:asciiTheme="majorHAnsi" w:eastAsiaTheme="majorEastAsia" w:hAnsiTheme="majorHAnsi" w:cstheme="majorBidi"/>
      <w:color w:val="243F60" w:themeColor="accent1" w:themeShade="7F"/>
      <w:sz w:val="20"/>
      <w:szCs w:val="20"/>
      <w:lang w:eastAsia="bg-BG"/>
    </w:rPr>
  </w:style>
  <w:style w:type="table" w:styleId="TableGrid">
    <w:name w:val="Table Grid"/>
    <w:basedOn w:val="TableNormal"/>
    <w:uiPriority w:val="59"/>
    <w:rsid w:val="00B56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1">
    <w:name w:val="Знак Char Char Char"/>
    <w:basedOn w:val="Normal"/>
    <w:rsid w:val="00601192"/>
    <w:pPr>
      <w:spacing w:before="0" w:after="160" w:line="240" w:lineRule="exact"/>
      <w:ind w:firstLine="0"/>
    </w:pPr>
    <w:rPr>
      <w:rFonts w:ascii="Tahoma" w:hAnsi="Tahoma" w:cs="Tahoma"/>
      <w:lang w:val="en-US" w:eastAsia="en-US"/>
    </w:rPr>
  </w:style>
  <w:style w:type="paragraph" w:styleId="TOCHeading">
    <w:name w:val="TOC Heading"/>
    <w:basedOn w:val="Heading1"/>
    <w:next w:val="Normal"/>
    <w:uiPriority w:val="39"/>
    <w:semiHidden/>
    <w:unhideWhenUsed/>
    <w:qFormat/>
    <w:rsid w:val="009A75DA"/>
    <w:pPr>
      <w:spacing w:line="276" w:lineRule="auto"/>
      <w:ind w:firstLine="0"/>
      <w:outlineLvl w:val="9"/>
    </w:pPr>
    <w:rPr>
      <w:lang w:val="en-US" w:eastAsia="ja-JP"/>
    </w:rPr>
  </w:style>
  <w:style w:type="paragraph" w:styleId="TOC3">
    <w:name w:val="toc 3"/>
    <w:basedOn w:val="Normal"/>
    <w:next w:val="Normal"/>
    <w:autoRedefine/>
    <w:uiPriority w:val="39"/>
    <w:unhideWhenUsed/>
    <w:rsid w:val="009A75DA"/>
    <w:pPr>
      <w:spacing w:after="100"/>
      <w:ind w:left="400"/>
    </w:pPr>
  </w:style>
  <w:style w:type="paragraph" w:styleId="TOC1">
    <w:name w:val="toc 1"/>
    <w:basedOn w:val="Normal"/>
    <w:next w:val="Normal"/>
    <w:autoRedefine/>
    <w:uiPriority w:val="39"/>
    <w:unhideWhenUsed/>
    <w:rsid w:val="003029A9"/>
    <w:pPr>
      <w:tabs>
        <w:tab w:val="left" w:pos="360"/>
        <w:tab w:val="right" w:leader="dot" w:pos="10070"/>
      </w:tabs>
      <w:spacing w:before="0" w:after="0" w:line="360" w:lineRule="auto"/>
      <w:ind w:firstLine="0"/>
    </w:pPr>
    <w:rPr>
      <w:rFonts w:eastAsia="Batang"/>
      <w:b/>
      <w:bCs/>
      <w:caps/>
      <w:noProof/>
      <w:sz w:val="24"/>
      <w:szCs w:val="24"/>
      <w:lang w:eastAsia="ko-KR"/>
    </w:rPr>
  </w:style>
  <w:style w:type="paragraph" w:styleId="TOC2">
    <w:name w:val="toc 2"/>
    <w:basedOn w:val="Normal"/>
    <w:next w:val="Normal"/>
    <w:autoRedefine/>
    <w:uiPriority w:val="39"/>
    <w:unhideWhenUsed/>
    <w:rsid w:val="009A75DA"/>
    <w:pPr>
      <w:spacing w:after="100"/>
      <w:ind w:left="200"/>
    </w:pPr>
  </w:style>
  <w:style w:type="character" w:styleId="Hyperlink">
    <w:name w:val="Hyperlink"/>
    <w:basedOn w:val="DefaultParagraphFont"/>
    <w:uiPriority w:val="99"/>
    <w:unhideWhenUsed/>
    <w:rsid w:val="009A75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75129">
      <w:bodyDiv w:val="1"/>
      <w:marLeft w:val="0"/>
      <w:marRight w:val="0"/>
      <w:marTop w:val="0"/>
      <w:marBottom w:val="0"/>
      <w:divBdr>
        <w:top w:val="none" w:sz="0" w:space="0" w:color="auto"/>
        <w:left w:val="none" w:sz="0" w:space="0" w:color="auto"/>
        <w:bottom w:val="none" w:sz="0" w:space="0" w:color="auto"/>
        <w:right w:val="none" w:sz="0" w:space="0" w:color="auto"/>
      </w:divBdr>
    </w:div>
    <w:div w:id="1478838109">
      <w:bodyDiv w:val="1"/>
      <w:marLeft w:val="0"/>
      <w:marRight w:val="0"/>
      <w:marTop w:val="0"/>
      <w:marBottom w:val="0"/>
      <w:divBdr>
        <w:top w:val="none" w:sz="0" w:space="0" w:color="auto"/>
        <w:left w:val="none" w:sz="0" w:space="0" w:color="auto"/>
        <w:bottom w:val="none" w:sz="0" w:space="0" w:color="auto"/>
        <w:right w:val="none" w:sz="0" w:space="0" w:color="auto"/>
      </w:divBdr>
    </w:div>
    <w:div w:id="21449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regixaisweb.egov.bg/RegiXInfo/"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bg-BG"/>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bg-BG" sz="1200"/>
              <a:t>Разпределение</a:t>
            </a:r>
            <a:r>
              <a:rPr lang="bg-BG" sz="1200" baseline="0"/>
              <a:t> на бюджета на МО по направления на разходите през 2017 г. </a:t>
            </a:r>
            <a:endParaRPr lang="en-US" sz="1200"/>
          </a:p>
        </c:rich>
      </c:tx>
      <c:layout>
        <c:manualLayout>
          <c:xMode val="edge"/>
          <c:yMode val="edge"/>
          <c:x val="0.18700004473872586"/>
          <c:y val="7.9922051997021501E-2"/>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15"/>
          <c:dPt>
            <c:idx val="0"/>
            <c:bubble3D val="0"/>
          </c:dPt>
          <c:dPt>
            <c:idx val="1"/>
            <c:bubble3D val="0"/>
          </c:dPt>
          <c:dPt>
            <c:idx val="2"/>
            <c:bubble3D val="0"/>
          </c:dPt>
          <c:dPt>
            <c:idx val="3"/>
            <c:bubble3D val="0"/>
          </c:dPt>
          <c:dPt>
            <c:idx val="4"/>
            <c:bubble3D val="0"/>
          </c:dPt>
          <c:dLbls>
            <c:dLbl>
              <c:idx val="0"/>
              <c:layout>
                <c:manualLayout>
                  <c:x val="-0.2402082239720035"/>
                  <c:y val="-0.16479255882488372"/>
                </c:manualLayout>
              </c:layout>
              <c:tx>
                <c:rich>
                  <a:bodyPr/>
                  <a:lstStyle/>
                  <a:p>
                    <a:r>
                      <a:rPr lang="bg-BG" sz="800" b="1"/>
                      <a:t>Разходи за персонал
67,36%</a:t>
                    </a:r>
                    <a:endParaRPr lang="bg-BG"/>
                  </a:p>
                </c:rich>
              </c:tx>
              <c:dLblPos val="bestFit"/>
              <c:showLegendKey val="0"/>
              <c:showVal val="0"/>
              <c:showCatName val="0"/>
              <c:showSerName val="0"/>
              <c:showPercent val="0"/>
              <c:showBubbleSize val="0"/>
            </c:dLbl>
            <c:dLbl>
              <c:idx val="1"/>
              <c:layout>
                <c:manualLayout>
                  <c:x val="0.11192365146819407"/>
                  <c:y val="2.7457389665828145E-2"/>
                </c:manualLayout>
              </c:layout>
              <c:tx>
                <c:rich>
                  <a:bodyPr/>
                  <a:lstStyle/>
                  <a:p>
                    <a:r>
                      <a:rPr lang="bg-BG" sz="800" b="1"/>
                      <a:t>Издръжка и други текущи разходи </a:t>
                    </a:r>
                  </a:p>
                  <a:p>
                    <a:r>
                      <a:rPr lang="en-US" sz="800" b="1"/>
                      <a:t>(</a:t>
                    </a:r>
                    <a:r>
                      <a:rPr lang="bg-BG" sz="800" b="1"/>
                      <a:t>без подготовка</a:t>
                    </a:r>
                    <a:r>
                      <a:rPr lang="en-US" sz="800" b="1"/>
                      <a:t>)</a:t>
                    </a:r>
                    <a:r>
                      <a:rPr lang="bg-BG" sz="800" b="1"/>
                      <a:t>
20,07%</a:t>
                    </a:r>
                    <a:endParaRPr lang="bg-BG"/>
                  </a:p>
                </c:rich>
              </c:tx>
              <c:dLblPos val="bestFit"/>
              <c:showLegendKey val="0"/>
              <c:showVal val="0"/>
              <c:showCatName val="0"/>
              <c:showSerName val="0"/>
              <c:showPercent val="0"/>
              <c:showBubbleSize val="0"/>
            </c:dLbl>
            <c:dLbl>
              <c:idx val="2"/>
              <c:layout>
                <c:manualLayout>
                  <c:x val="1.4722467221430091E-2"/>
                  <c:y val="-3.1440081816252193E-2"/>
                </c:manualLayout>
              </c:layout>
              <c:tx>
                <c:rich>
                  <a:bodyPr/>
                  <a:lstStyle/>
                  <a:p>
                    <a:r>
                      <a:rPr lang="bg-BG" sz="800" b="1"/>
                      <a:t>Подготовка
1,52</a:t>
                    </a:r>
                    <a:r>
                      <a:rPr lang="bg-BG" sz="800" b="1" baseline="0"/>
                      <a:t> </a:t>
                    </a:r>
                    <a:r>
                      <a:rPr lang="bg-BG" sz="800" b="1"/>
                      <a:t>%</a:t>
                    </a:r>
                    <a:endParaRPr lang="bg-BG"/>
                  </a:p>
                </c:rich>
              </c:tx>
              <c:dLblPos val="bestFit"/>
              <c:showLegendKey val="0"/>
              <c:showVal val="0"/>
              <c:showCatName val="0"/>
              <c:showSerName val="0"/>
              <c:showPercent val="0"/>
              <c:showBubbleSize val="0"/>
            </c:dLbl>
            <c:dLbl>
              <c:idx val="3"/>
              <c:layout>
                <c:manualLayout>
                  <c:x val="0.11468512178881572"/>
                  <c:y val="0.11188629770738684"/>
                </c:manualLayout>
              </c:layout>
              <c:tx>
                <c:rich>
                  <a:bodyPr/>
                  <a:lstStyle/>
                  <a:p>
                    <a:r>
                      <a:rPr lang="bg-BG" sz="800" b="1"/>
                      <a:t>Капиталови разходи
11,05%</a:t>
                    </a:r>
                    <a:endParaRPr lang="bg-BG"/>
                  </a:p>
                </c:rich>
              </c:tx>
              <c:dLblPos val="bestFit"/>
              <c:showLegendKey val="0"/>
              <c:showVal val="0"/>
              <c:showCatName val="0"/>
              <c:showSerName val="0"/>
              <c:showPercent val="0"/>
              <c:showBubbleSize val="0"/>
            </c:dLbl>
            <c:txPr>
              <a:bodyPr/>
              <a:lstStyle/>
              <a:p>
                <a:pPr>
                  <a:defRPr sz="800" b="1"/>
                </a:pPr>
                <a:endParaRPr lang="bg-BG"/>
              </a:p>
            </c:txPr>
            <c:showLegendKey val="0"/>
            <c:showVal val="0"/>
            <c:showCatName val="1"/>
            <c:showSerName val="0"/>
            <c:showPercent val="1"/>
            <c:showBubbleSize val="0"/>
            <c:showLeaderLines val="1"/>
          </c:dLbls>
          <c:cat>
            <c:strRef>
              <c:f>Sheet1!$B$3:$B$7</c:f>
              <c:strCache>
                <c:ptCount val="4"/>
                <c:pt idx="0">
                  <c:v>Разходи за персонал</c:v>
                </c:pt>
                <c:pt idx="1">
                  <c:v>Издръжка и други текущи разходи (без подготовка)</c:v>
                </c:pt>
                <c:pt idx="2">
                  <c:v>Подготовка</c:v>
                </c:pt>
                <c:pt idx="3">
                  <c:v>Капиталови разходи</c:v>
                </c:pt>
              </c:strCache>
            </c:strRef>
          </c:cat>
          <c:val>
            <c:numRef>
              <c:f>Sheet1!$C$3:$C$7</c:f>
              <c:numCache>
                <c:formatCode>General</c:formatCode>
                <c:ptCount val="5"/>
                <c:pt idx="0">
                  <c:v>67.36</c:v>
                </c:pt>
                <c:pt idx="1">
                  <c:v>20.07</c:v>
                </c:pt>
                <c:pt idx="2">
                  <c:v>1.52</c:v>
                </c:pt>
                <c:pt idx="3">
                  <c:v>11.05</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ACDA1-A470-4ABD-8EB1-71978A1E5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104</Pages>
  <Words>48615</Words>
  <Characters>277109</Characters>
  <Application>Microsoft Office Word</Application>
  <DocSecurity>0</DocSecurity>
  <Lines>2309</Lines>
  <Paragraphs>650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Вера Данева</cp:lastModifiedBy>
  <cp:revision>26</cp:revision>
  <dcterms:created xsi:type="dcterms:W3CDTF">2018-05-17T12:07:00Z</dcterms:created>
  <dcterms:modified xsi:type="dcterms:W3CDTF">2018-08-31T12:28:00Z</dcterms:modified>
</cp:coreProperties>
</file>