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drawings/drawing1.xml" ContentType="application/vnd.openxmlformats-officedocument.drawingml.chartshapes+xml"/>
  <Override PartName="/word/charts/chart7.xml" ContentType="application/vnd.openxmlformats-officedocument.drawingml.chart+xml"/>
  <Override PartName="/word/drawings/drawing2.xml" ContentType="application/vnd.openxmlformats-officedocument.drawingml.chartshapes+xml"/>
  <Override PartName="/word/charts/chart8.xml" ContentType="application/vnd.openxmlformats-officedocument.drawingml.chart+xml"/>
  <Override PartName="/word/drawings/drawing3.xml" ContentType="application/vnd.openxmlformats-officedocument.drawingml.chartshapes+xml"/>
  <Override PartName="/word/charts/chart9.xml" ContentType="application/vnd.openxmlformats-officedocument.drawingml.chart+xml"/>
  <Override PartName="/word/drawings/drawing4.xml" ContentType="application/vnd.openxmlformats-officedocument.drawingml.chartshapes+xml"/>
  <Override PartName="/word/charts/chart10.xml" ContentType="application/vnd.openxmlformats-officedocument.drawingml.chart+xml"/>
  <Override PartName="/word/drawings/drawing5.xml" ContentType="application/vnd.openxmlformats-officedocument.drawingml.chartshapes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drawings/drawing6.xml" ContentType="application/vnd.openxmlformats-officedocument.drawingml.chartshapes+xml"/>
  <Override PartName="/word/charts/chart13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1E73" w:rsidRPr="00A13CEF" w:rsidRDefault="00624D97" w:rsidP="001A50AB">
      <w:pPr>
        <w:rPr>
          <w:rFonts w:cstheme="minorHAnsi"/>
        </w:rPr>
      </w:pPr>
      <w:bookmarkStart w:id="0" w:name="_GoBack"/>
      <w:bookmarkEnd w:id="0"/>
      <w:r w:rsidRPr="00A13CEF">
        <w:rPr>
          <w:rFonts w:cstheme="minorHAnsi"/>
          <w:noProof/>
          <w:lang w:val="en-US" w:eastAsia="en-US"/>
        </w:rPr>
        <w:drawing>
          <wp:anchor distT="0" distB="0" distL="114300" distR="114300" simplePos="0" relativeHeight="251658752" behindDoc="1" locked="0" layoutInCell="1" allowOverlap="0" wp14:anchorId="4F9CF59E" wp14:editId="538786E3">
            <wp:simplePos x="0" y="0"/>
            <wp:positionH relativeFrom="column">
              <wp:posOffset>-876935</wp:posOffset>
            </wp:positionH>
            <wp:positionV relativeFrom="paragraph">
              <wp:posOffset>1674495</wp:posOffset>
            </wp:positionV>
            <wp:extent cx="7658100" cy="6005830"/>
            <wp:effectExtent l="0" t="0" r="0" b="0"/>
            <wp:wrapSquare wrapText="bothSides"/>
            <wp:docPr id="3" name="Picture 2" descr="C:\Worker\Work\bfb\package\office\powerpoint\tit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Worker\Work\bfb\package\office\powerpoint\titl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6005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01C1">
        <w:rPr>
          <w:rFonts w:cstheme="minorHAnsi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6" type="#_x0000_t202" style="position:absolute;left:0;text-align:left;margin-left:-7.85pt;margin-top:397.15pt;width:351pt;height:1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" filled="f" stroked="f">
            <v:textbox style="mso-next-textbox:#Text Box 3">
              <w:txbxContent>
                <w:p w:rsidR="00A13CEF" w:rsidRPr="001A50AB" w:rsidRDefault="00A13CEF" w:rsidP="001A50AB">
                  <w:pPr>
                    <w:jc w:val="left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1A50AB">
                    <w:rPr>
                      <w:color w:val="FFFFFF" w:themeColor="background1"/>
                      <w:sz w:val="40"/>
                      <w:szCs w:val="40"/>
                    </w:rPr>
                    <w:t xml:space="preserve">Междинен доклад за дейността на </w:t>
                  </w:r>
                  <w:r w:rsidR="00636F5A" w:rsidRPr="001A50AB">
                    <w:rPr>
                      <w:color w:val="FFFFFF" w:themeColor="background1"/>
                      <w:sz w:val="40"/>
                      <w:szCs w:val="40"/>
                    </w:rPr>
                    <w:t>Българска фондова борса</w:t>
                  </w:r>
                  <w:r>
                    <w:rPr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="00636F5A">
                    <w:rPr>
                      <w:color w:val="FFFFFF" w:themeColor="background1"/>
                      <w:sz w:val="40"/>
                      <w:szCs w:val="40"/>
                    </w:rPr>
                    <w:t xml:space="preserve">– София </w:t>
                  </w:r>
                  <w:r w:rsidRPr="001A50AB">
                    <w:rPr>
                      <w:color w:val="FFFFFF" w:themeColor="background1"/>
                      <w:sz w:val="40"/>
                      <w:szCs w:val="40"/>
                    </w:rPr>
                    <w:t xml:space="preserve">АД </w:t>
                  </w:r>
                  <w:r>
                    <w:rPr>
                      <w:color w:val="FFFFFF" w:themeColor="background1"/>
                      <w:sz w:val="40"/>
                      <w:szCs w:val="40"/>
                    </w:rPr>
                    <w:br/>
                  </w:r>
                  <w:r w:rsidRPr="001A50AB">
                    <w:rPr>
                      <w:color w:val="FFFFFF" w:themeColor="background1"/>
                      <w:sz w:val="40"/>
                      <w:szCs w:val="40"/>
                    </w:rPr>
                    <w:t>през първото шестмесечие на 2018 г.</w:t>
                  </w:r>
                </w:p>
              </w:txbxContent>
            </v:textbox>
          </v:shape>
        </w:pict>
      </w:r>
      <w:r w:rsidR="00B30EB6" w:rsidRPr="00A13CEF">
        <w:rPr>
          <w:rFonts w:cstheme="minorHAnsi"/>
        </w:rPr>
        <w:br w:type="page"/>
      </w:r>
    </w:p>
    <w:tbl>
      <w:tblPr>
        <w:tblW w:w="100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78"/>
        <w:gridCol w:w="2021"/>
        <w:gridCol w:w="1984"/>
      </w:tblGrid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lastRenderedPageBreak/>
              <w:t>БЪЛГАРСКА ФОНДОВА БОРСА - СОФИЯ АД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ИНДИВИДУАЛЕН ОТЧЕТ ЗА ФИНАНСОВОТО СЪСТОЯНИЕ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към 30 юни 2018 година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31 декември 2017 г.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30 юни 2018 г.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АКТИВ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Нетекущи активи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Имоти, машини и оборудване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1 300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1 291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Нематериални активи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19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9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Инвестиции в дъщерни дружества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101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5 284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Инвестиции в съвместни дружества 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53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53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Финансови активи, държани до падеж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4 018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Финансови активи на разположение за продажба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2 363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2 315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Активи по отсрочени данъци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7 854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8 954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Текущи активи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Търговски вземания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121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98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Други вземания и предплатени разходи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1 260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1 312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Парични средства и парични еквиваленти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1 511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2 149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2 892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3 559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ОБЩО АКТИВИ</w:t>
            </w: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10 746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12 513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СОБСТВЕН КАПИТАЛ И ПАСИВИ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СОБСТВЕН КАПИТАЛ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Основен акционерен капитал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6 583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6 583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Резерви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3 505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3 575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Натрупани печалби/(загуби)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169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393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10 257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10 551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ПАСИВИ</w:t>
            </w: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Нетекущи задължения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Задължения към доставчици и други кредитори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408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Дългосрочни задължения към персонала при пенсиониране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98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85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Пасиви по отсрочени данъци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100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493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Текущи задължения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Задължения към доставчици и други кредитори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245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1 351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Задължения за данъци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46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36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Задължения към персонала и социалното осигуряване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98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82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389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1 469 </w:t>
            </w: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F32F4" w:rsidRPr="00A13CEF" w:rsidTr="005F32F4">
        <w:trPr>
          <w:trHeight w:val="170"/>
          <w:jc w:val="center"/>
        </w:trPr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ОБЩО СОБСТВЕН КАПИТАЛ И ПАСИВИ </w:t>
            </w:r>
          </w:p>
        </w:tc>
        <w:tc>
          <w:tcPr>
            <w:tcW w:w="2021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10 746 </w:t>
            </w:r>
          </w:p>
        </w:tc>
        <w:tc>
          <w:tcPr>
            <w:tcW w:w="198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5F32F4" w:rsidRPr="00A13CEF" w:rsidRDefault="005F32F4" w:rsidP="005F32F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12 513 </w:t>
            </w:r>
          </w:p>
        </w:tc>
      </w:tr>
    </w:tbl>
    <w:p w:rsidR="008602EF" w:rsidRPr="00A13CEF" w:rsidRDefault="008602EF" w:rsidP="001A50AB">
      <w:pPr>
        <w:rPr>
          <w:rFonts w:cstheme="minorHAnsi"/>
        </w:rPr>
      </w:pPr>
    </w:p>
    <w:p w:rsidR="005C7298" w:rsidRPr="00A13CEF" w:rsidRDefault="005C7298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tbl>
      <w:tblPr>
        <w:tblW w:w="9528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34"/>
        <w:gridCol w:w="1276"/>
        <w:gridCol w:w="1418"/>
      </w:tblGrid>
      <w:tr w:rsidR="000302D7" w:rsidRPr="00A13CEF" w:rsidTr="000302D7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lastRenderedPageBreak/>
              <w:t>БЪЛГАРСКА ФОНДОВА БОРСА - СОФИЯ АД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302D7" w:rsidRPr="00A13CEF" w:rsidTr="000302D7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ИНДИВИДУАЛЕН ОТЧЕТ ЗА ВСЕОБХВАТНИЯ ДОХОД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302D7" w:rsidRPr="00A13CEF" w:rsidTr="000302D7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за годината, завършваща на 30 юни 2018 година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</w:tr>
      <w:tr w:rsidR="000302D7" w:rsidRPr="00A13CEF" w:rsidTr="000302D7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30.06.2017</w:t>
            </w: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30.06.2018 г.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center"/>
          </w:tcPr>
          <w:p w:rsidR="000302D7" w:rsidRPr="00A13CEF" w:rsidRDefault="000302D7" w:rsidP="000302D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Приходи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860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925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Други доходи от дейността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36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40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Разходи за материали и консумативи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(8)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(14)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Разходи за външни услуги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(384)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(427)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Разходи за амортизации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(55)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(42)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Разходи за персонала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(522)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(614)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Други разходи за дейността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(50)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(60)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Печалба/(Загуба) от оперативна дейност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(123)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(192)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Финансови приходи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101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622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Финансови разходи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Финансови приходи/(разходи), нетно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101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622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Печалба преди данък върху печалбата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(22)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430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Разход за/икономия от данък върху печалбата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НЕТНА ПЕЧАЛБА ЗА ГОДИНАТА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(22)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430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Други компоненти на всеобхватния доход: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  <w:t>Компоненти, които няма да бъдат рекласифицирани в печалбата или загубата: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Последващи оценки на пенсионни планове с дефинирани доходи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  <w:t>Компоненти, които могат да бъдат рекласифицирани в печалбата или загубата: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Cs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Нетна промяна в справедливата стойност на финансови активи на разположение за продажба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bCs/>
                <w:color w:val="000000"/>
                <w:sz w:val="20"/>
                <w:szCs w:val="20"/>
                <w:lang w:val="en-US"/>
              </w:rPr>
              <w:t>26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bCs/>
                <w:color w:val="000000"/>
                <w:sz w:val="20"/>
                <w:szCs w:val="20"/>
                <w:lang w:val="en-US"/>
              </w:rPr>
              <w:t>(37)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Данък върху доходите, свързан с компонентите на другия всеобхватен доход, които могат да бъдат рекласифицирани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(3)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23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(33)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Друг всеобхватен доход за годината, нетно от данъци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23 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(33)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ОБЩО ВСЕОБХВАТЕН ДОХОД ЗА ГОДИНАТА</w:t>
            </w:r>
          </w:p>
        </w:tc>
        <w:tc>
          <w:tcPr>
            <w:tcW w:w="1276" w:type="dxa"/>
            <w:tcBorders>
              <w:top w:val="nil"/>
              <w:left w:val="nil"/>
              <w:bottom w:val="doub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 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6" w:space="0" w:color="auto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397 </w:t>
            </w: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302D7" w:rsidRPr="00A13CEF" w:rsidTr="0009536E">
        <w:trPr>
          <w:trHeight w:val="170"/>
          <w:jc w:val="center"/>
        </w:trPr>
        <w:tc>
          <w:tcPr>
            <w:tcW w:w="6834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Доход на акция (BGN)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(0.00)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57" w:type="dxa"/>
            </w:tcMar>
            <w:vAlign w:val="bottom"/>
          </w:tcPr>
          <w:p w:rsidR="000302D7" w:rsidRPr="00A13CEF" w:rsidRDefault="000302D7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0.07 </w:t>
            </w:r>
          </w:p>
        </w:tc>
      </w:tr>
    </w:tbl>
    <w:p w:rsidR="00DE7514" w:rsidRPr="00A13CEF" w:rsidRDefault="00DE7514" w:rsidP="001A50AB">
      <w:pPr>
        <w:rPr>
          <w:rFonts w:cstheme="minorHAnsi"/>
        </w:rPr>
      </w:pPr>
    </w:p>
    <w:p w:rsidR="00A164F7" w:rsidRPr="00A13CEF" w:rsidRDefault="00A164F7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tbl>
      <w:tblPr>
        <w:tblW w:w="1105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236"/>
        <w:gridCol w:w="1400"/>
        <w:gridCol w:w="1418"/>
      </w:tblGrid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636F5A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000000"/>
                <w:sz w:val="20"/>
                <w:szCs w:val="20"/>
              </w:rPr>
              <w:lastRenderedPageBreak/>
              <w:t>БЪЛГАРСКА ФОНДОВА БОРСА - СОФИЯ</w:t>
            </w:r>
            <w:r w:rsidR="0009536E"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АД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ИНДИВИДУАЛЕН ОТЧЕТ ЗА ПАРИЧНИТЕ ПОТОЦИ 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за годината, завършваща на 30 юни 2018 година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30 юни 2018 г.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30 юни 2017 г.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Парични потоци от оперативна дейност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Постъпления от клиенти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1 582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1 396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Плащания на доставчици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(783)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(778)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Плащания на персонала и за социалното осигуряване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(614)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(522)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Възстановен/(платен) данък върху печалбата, нетно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Платени данъци (без данъци върху печалбата)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(223)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(187)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Постъпления от вземане по цесия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Постъпления от лихви по вземане по цесия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Други постъпления /(плащания), нетно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(3)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(17)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Нетни парични потоци използвани в оперативна дейност</w:t>
            </w:r>
          </w:p>
        </w:tc>
        <w:tc>
          <w:tcPr>
            <w:tcW w:w="140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(41)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(108)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Парични потоци от инвестиционна дейност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Покупки на машини и оборудване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(24)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Постъпления от продажби на имоти, машини и оборудване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Покупки на нематериални активи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Покупки на инвестиции в дъщерни предприятия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(3 952)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Покупки на инвестиции във финансови активи държани до падеж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Падеж на инвестиции във финансови активи държани до падеж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Постъпления от продажба / лихва от инвестиции във финансови активи държани до падеж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4 611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27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Постъпления от лихви и дивиденти, свързани с инвестиции във финансови активи на разположение за продажба 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45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41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Постъпления от/падеж на предоставени депозити в банки и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репо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сделки с инвестиционна цел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190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Плащания по предоставени депозити в банки с инвестиционна цел 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Постъпления от дивиденти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Получени лихви от предоставени депозити и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репо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сделки с инвестиционна цел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Нетни парични потоци от инвестиционната дейност</w:t>
            </w:r>
          </w:p>
        </w:tc>
        <w:tc>
          <w:tcPr>
            <w:tcW w:w="140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680 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258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Парични потоци от финансова дейност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Плащания на дивиденти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(1)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Нетни парични потоци използвани във финансовата дейност</w:t>
            </w:r>
          </w:p>
        </w:tc>
        <w:tc>
          <w:tcPr>
            <w:tcW w:w="140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(1)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Нетно увеличение на паричните средства и паричните еквиваленти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638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150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Парични средства и парични еквиваленти на 1 януари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1 511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1 416 </w:t>
            </w: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170"/>
          <w:jc w:val="center"/>
        </w:trPr>
        <w:tc>
          <w:tcPr>
            <w:tcW w:w="8236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Парични средства и парични еквиваленти на 30 юни</w:t>
            </w:r>
          </w:p>
        </w:tc>
        <w:tc>
          <w:tcPr>
            <w:tcW w:w="1400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2 149 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28" w:type="dxa"/>
            </w:tcMar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1 566 </w:t>
            </w:r>
          </w:p>
        </w:tc>
      </w:tr>
    </w:tbl>
    <w:p w:rsidR="00BC124D" w:rsidRPr="00A13CEF" w:rsidRDefault="00BC124D" w:rsidP="001A50AB">
      <w:pPr>
        <w:rPr>
          <w:rFonts w:cstheme="minorHAnsi"/>
        </w:rPr>
      </w:pPr>
    </w:p>
    <w:p w:rsidR="00BC124D" w:rsidRPr="00A13CEF" w:rsidRDefault="00BC124D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tbl>
      <w:tblPr>
        <w:tblW w:w="10882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8"/>
        <w:gridCol w:w="1276"/>
        <w:gridCol w:w="1134"/>
        <w:gridCol w:w="1842"/>
        <w:gridCol w:w="1276"/>
        <w:gridCol w:w="1136"/>
      </w:tblGrid>
      <w:tr w:rsidR="0009536E" w:rsidRPr="00A13CEF" w:rsidTr="0009536E">
        <w:trPr>
          <w:trHeight w:val="209"/>
          <w:jc w:val="center"/>
        </w:trPr>
        <w:tc>
          <w:tcPr>
            <w:tcW w:w="10882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9536E" w:rsidRPr="00A13CEF" w:rsidRDefault="00636F5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000000"/>
                <w:sz w:val="20"/>
                <w:szCs w:val="20"/>
              </w:rPr>
              <w:lastRenderedPageBreak/>
              <w:t>БЪЛГАРСКА ФОНДОВА БОРСА - СОФИЯ</w:t>
            </w:r>
            <w:r w:rsidR="0009536E"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АД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10882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ИНДИВИДУАЛЕН ОТЧЕТ ЗА ПРОМЕНИТЕ В СОБСТВЕНИЯ КАПИТАЛ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10882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за годината, завършваща на 3</w:t>
            </w: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  <w:lang w:val="en-US"/>
              </w:rPr>
              <w:t>0</w:t>
            </w: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юни 2018 година</w:t>
            </w:r>
          </w:p>
        </w:tc>
      </w:tr>
      <w:tr w:rsidR="0009536E" w:rsidRPr="00A13CEF" w:rsidTr="0009536E">
        <w:trPr>
          <w:trHeight w:val="792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</w:rPr>
            </w:pPr>
            <w:r w:rsidRPr="00A13CE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 xml:space="preserve">Основен акционерен капитал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</w:rPr>
            </w:pPr>
            <w:r w:rsidRPr="00A13CE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 xml:space="preserve">Други резерви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</w:rPr>
            </w:pPr>
            <w:r w:rsidRPr="00A13CE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Резерв по финансови активи на разположение за продажба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</w:rPr>
            </w:pPr>
            <w:r w:rsidRPr="00A13CE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Натрупани печалби и загуби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</w:rPr>
            </w:pPr>
            <w:r w:rsidRPr="00A13CE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Общо собствен капитал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BGN'000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18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Салдо на 1 януари 2017година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6 583 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3 011 </w:t>
            </w:r>
          </w:p>
        </w:tc>
        <w:tc>
          <w:tcPr>
            <w:tcW w:w="1842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376 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44 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10 014 </w:t>
            </w:r>
          </w:p>
        </w:tc>
      </w:tr>
      <w:tr w:rsidR="0009536E" w:rsidRPr="00A13CEF" w:rsidTr="0009536E">
        <w:trPr>
          <w:trHeight w:val="218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  <w:t>Промени в собствения капитал за 2017 година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Разпределение на печалбата за: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31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(63)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(32)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* дивиденти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(32)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(32)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* покриване на загуба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31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(31)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Общ всеобхватен доход за годината, в т.ч.: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87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188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275 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* нетна печалба за годината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206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206 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* други компоненти на всеобхватния доход, нетно от данъци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  <w:t>87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  <w:t>(18)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  <w:t>69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18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Салдо на 31 декември 2017 година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6 583 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3 042 </w:t>
            </w:r>
          </w:p>
        </w:tc>
        <w:tc>
          <w:tcPr>
            <w:tcW w:w="1842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463 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169 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10 257 </w:t>
            </w:r>
          </w:p>
        </w:tc>
      </w:tr>
      <w:tr w:rsidR="0009536E" w:rsidRPr="00A13CEF" w:rsidTr="0009536E">
        <w:trPr>
          <w:trHeight w:val="218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 w:val="20"/>
                <w:szCs w:val="20"/>
              </w:rPr>
              <w:t>Промени в собствения капитал за 2018 година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Разпределение на печалбата за: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103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(206)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(103)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* дивиденти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(103)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(103)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* покриване на загуба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103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(103)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Общ всеобхватен доход за годината, в т.ч.: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(33)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430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397 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* нетна печалба за годината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-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430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430 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* други компоненти на всеобхватния доход, нетно от данъци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  <w:t>(33)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A13CEF">
              <w:rPr>
                <w:rFonts w:cstheme="minorHAnsi"/>
                <w:i/>
                <w:iCs/>
                <w:color w:val="000000"/>
                <w:sz w:val="20"/>
                <w:szCs w:val="20"/>
                <w:lang w:val="en-US"/>
              </w:rPr>
              <w:t>(33)</w:t>
            </w:r>
          </w:p>
        </w:tc>
      </w:tr>
      <w:tr w:rsidR="0009536E" w:rsidRPr="00A13CEF" w:rsidTr="0009536E">
        <w:trPr>
          <w:trHeight w:val="209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09536E" w:rsidRPr="00A13CEF" w:rsidTr="0009536E">
        <w:trPr>
          <w:trHeight w:val="218"/>
          <w:jc w:val="center"/>
        </w:trPr>
        <w:tc>
          <w:tcPr>
            <w:tcW w:w="4218" w:type="dxa"/>
            <w:tcBorders>
              <w:top w:val="nil"/>
              <w:left w:val="nil"/>
              <w:bottom w:val="nil"/>
              <w:right w:val="nil"/>
            </w:tcBorders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Салдо на 30 юни 2018 година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6 583 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3 145 </w:t>
            </w:r>
          </w:p>
        </w:tc>
        <w:tc>
          <w:tcPr>
            <w:tcW w:w="1842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430 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393 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09536E" w:rsidRPr="00A13CEF" w:rsidRDefault="0009536E" w:rsidP="0009536E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10 551 </w:t>
            </w:r>
          </w:p>
        </w:tc>
      </w:tr>
    </w:tbl>
    <w:p w:rsidR="005C7298" w:rsidRPr="00A13CEF" w:rsidRDefault="005C7298" w:rsidP="001A50AB">
      <w:pPr>
        <w:rPr>
          <w:rFonts w:cstheme="minorHAnsi"/>
        </w:rPr>
      </w:pPr>
    </w:p>
    <w:p w:rsidR="007C1E73" w:rsidRPr="00A13CEF" w:rsidRDefault="007C1E73" w:rsidP="001A50AB">
      <w:pPr>
        <w:rPr>
          <w:rStyle w:val="PageNumber"/>
          <w:rFonts w:cstheme="minorHAnsi"/>
          <w:b/>
          <w:i/>
          <w:szCs w:val="22"/>
        </w:rPr>
      </w:pPr>
      <w:r w:rsidRPr="00A13CEF">
        <w:rPr>
          <w:rStyle w:val="PageNumber"/>
          <w:rFonts w:cstheme="minorHAnsi"/>
          <w:b/>
          <w:szCs w:val="22"/>
        </w:rPr>
        <w:br w:type="page"/>
      </w:r>
    </w:p>
    <w:p w:rsidR="00745C7D" w:rsidRPr="00A13CEF" w:rsidRDefault="00745C7D" w:rsidP="001A50AB">
      <w:pPr>
        <w:spacing w:line="240" w:lineRule="auto"/>
        <w:rPr>
          <w:rFonts w:cstheme="minorHAnsi"/>
        </w:rPr>
      </w:pPr>
      <w:r w:rsidRPr="00A13CEF">
        <w:rPr>
          <w:rFonts w:cstheme="minorHAnsi"/>
        </w:rPr>
        <w:lastRenderedPageBreak/>
        <w:t>Съдържание</w:t>
      </w:r>
    </w:p>
    <w:p w:rsidR="004837D9" w:rsidRDefault="0096622D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r w:rsidRPr="00A13CEF">
        <w:rPr>
          <w:rFonts w:cstheme="minorHAnsi"/>
        </w:rPr>
        <w:fldChar w:fldCharType="begin"/>
      </w:r>
      <w:r w:rsidR="00C0372F" w:rsidRPr="00A13CEF">
        <w:rPr>
          <w:rFonts w:cstheme="minorHAnsi"/>
        </w:rPr>
        <w:instrText xml:space="preserve"> TOC \o "1-3" \h \z \u </w:instrText>
      </w:r>
      <w:r w:rsidRPr="00A13CEF">
        <w:rPr>
          <w:rFonts w:cstheme="minorHAnsi"/>
        </w:rPr>
        <w:fldChar w:fldCharType="separate"/>
      </w:r>
      <w:hyperlink w:anchor="_Toc520473860" w:history="1">
        <w:r w:rsidR="004837D9" w:rsidRPr="00A75828">
          <w:rPr>
            <w:rStyle w:val="Hyperlink"/>
            <w:rFonts w:cstheme="minorHAnsi"/>
            <w:noProof/>
          </w:rPr>
          <w:t>1.</w:t>
        </w:r>
        <w:r w:rsidR="004837D9">
          <w:rPr>
            <w:rFonts w:eastAsiaTheme="minorEastAsia" w:cstheme="minorBidi"/>
            <w:noProof/>
            <w:szCs w:val="22"/>
          </w:rPr>
          <w:tab/>
        </w:r>
        <w:r w:rsidR="004837D9" w:rsidRPr="00A75828">
          <w:rPr>
            <w:rStyle w:val="Hyperlink"/>
            <w:rFonts w:cstheme="minorHAnsi"/>
            <w:noProof/>
          </w:rPr>
          <w:t>Въведение</w:t>
        </w:r>
        <w:r w:rsidR="004837D9">
          <w:rPr>
            <w:noProof/>
            <w:webHidden/>
          </w:rPr>
          <w:tab/>
        </w:r>
        <w:r w:rsidR="004837D9">
          <w:rPr>
            <w:noProof/>
            <w:webHidden/>
          </w:rPr>
          <w:fldChar w:fldCharType="begin"/>
        </w:r>
        <w:r w:rsidR="004837D9">
          <w:rPr>
            <w:noProof/>
            <w:webHidden/>
          </w:rPr>
          <w:instrText xml:space="preserve"> PAGEREF _Toc520473860 \h </w:instrText>
        </w:r>
        <w:r w:rsidR="004837D9">
          <w:rPr>
            <w:noProof/>
            <w:webHidden/>
          </w:rPr>
        </w:r>
        <w:r w:rsidR="004837D9">
          <w:rPr>
            <w:noProof/>
            <w:webHidden/>
          </w:rPr>
          <w:fldChar w:fldCharType="separate"/>
        </w:r>
        <w:r w:rsidR="004837D9">
          <w:rPr>
            <w:noProof/>
            <w:webHidden/>
          </w:rPr>
          <w:t>8</w:t>
        </w:r>
        <w:r w:rsidR="004837D9"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61" w:history="1">
        <w:r w:rsidRPr="00A75828">
          <w:rPr>
            <w:rStyle w:val="Hyperlink"/>
            <w:rFonts w:cstheme="minorHAnsi"/>
            <w:noProof/>
          </w:rPr>
          <w:t>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Данни за търговията на Българска фондова борса - София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62" w:history="1">
        <w:r w:rsidRPr="00A75828">
          <w:rPr>
            <w:rStyle w:val="Hyperlink"/>
            <w:rFonts w:cstheme="minorHAnsi"/>
            <w:noProof/>
          </w:rPr>
          <w:t>2.1.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Оборот, брой сделки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63" w:history="1">
        <w:r w:rsidRPr="00A75828">
          <w:rPr>
            <w:rStyle w:val="Hyperlink"/>
            <w:rFonts w:cstheme="minorHAnsi"/>
            <w:noProof/>
          </w:rPr>
          <w:t>2.1.1.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Оборот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64" w:history="1">
        <w:r w:rsidRPr="00A75828">
          <w:rPr>
            <w:rStyle w:val="Hyperlink"/>
            <w:rFonts w:cstheme="minorHAnsi"/>
            <w:noProof/>
          </w:rPr>
          <w:t>2.1.2.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Брой сделки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65" w:history="1">
        <w:r w:rsidRPr="00A75828">
          <w:rPr>
            <w:rStyle w:val="Hyperlink"/>
            <w:rFonts w:cstheme="minorHAnsi"/>
            <w:noProof/>
          </w:rPr>
          <w:t>2.2.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Отраслова структура на търговията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66" w:history="1">
        <w:r w:rsidRPr="00A75828">
          <w:rPr>
            <w:rStyle w:val="Hyperlink"/>
            <w:rFonts w:cstheme="minorHAnsi"/>
            <w:noProof/>
          </w:rPr>
          <w:t>3.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Регистрирани емисии финансови инструменти на Българска фондова борса - София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67" w:history="1">
        <w:r w:rsidRPr="00A75828">
          <w:rPr>
            <w:rStyle w:val="Hyperlink"/>
            <w:rFonts w:cstheme="minorHAnsi"/>
            <w:noProof/>
          </w:rPr>
          <w:t>4.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Нови емитенти, отписани емисии и увеличения на капитал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68" w:history="1">
        <w:r w:rsidRPr="00A75828">
          <w:rPr>
            <w:rStyle w:val="Hyperlink"/>
            <w:rFonts w:cstheme="minorHAnsi"/>
            <w:noProof/>
          </w:rPr>
          <w:t>5.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Пазарна капитализация на Борсата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69" w:history="1">
        <w:r w:rsidRPr="00A75828">
          <w:rPr>
            <w:rStyle w:val="Hyperlink"/>
            <w:rFonts w:cstheme="minorHAnsi"/>
            <w:noProof/>
          </w:rPr>
          <w:t>6.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Индекси на Българска фондова борса - София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70" w:history="1">
        <w:r w:rsidRPr="00A75828">
          <w:rPr>
            <w:rStyle w:val="Hyperlink"/>
            <w:rFonts w:cstheme="minorHAnsi"/>
            <w:noProof/>
          </w:rPr>
          <w:t>7.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Приватизация през Борсата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71" w:history="1">
        <w:r w:rsidRPr="00A75828">
          <w:rPr>
            <w:rStyle w:val="Hyperlink"/>
            <w:rFonts w:cstheme="minorHAnsi"/>
            <w:noProof/>
          </w:rPr>
          <w:t>8.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Основни дейности и събития през отчетното шестмесечие на 2018 г.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2" w:history="1">
        <w:r w:rsidRPr="00A75828">
          <w:rPr>
            <w:rStyle w:val="Hyperlink"/>
            <w:rFonts w:cstheme="minorHAnsi"/>
            <w:noProof/>
          </w:rPr>
          <w:t>8.1.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Награждаване на инвестиционните посредници с най-добри резултати през 2017 година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3" w:history="1">
        <w:r w:rsidRPr="00A75828">
          <w:rPr>
            <w:rStyle w:val="Hyperlink"/>
            <w:rFonts w:cstheme="minorHAnsi"/>
            <w:noProof/>
          </w:rPr>
          <w:t>8.2.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Стартира търговията с осем борсово търгувани фонда върху европейски индекси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4" w:history="1">
        <w:r w:rsidRPr="00A75828">
          <w:rPr>
            <w:rStyle w:val="Hyperlink"/>
            <w:rFonts w:cstheme="minorHAnsi"/>
            <w:noProof/>
          </w:rPr>
          <w:t>8.3.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Договорът за придобиване на капитала на Българската независима енергийна борса влезе в сила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5" w:history="1">
        <w:r w:rsidRPr="00A75828">
          <w:rPr>
            <w:rStyle w:val="Hyperlink"/>
            <w:rFonts w:cstheme="minorHAnsi"/>
            <w:noProof/>
          </w:rPr>
          <w:t>8.4.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Новият Правилник за дейността на „Българска фондова борса - София“ АД влезе в сила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6" w:history="1">
        <w:r w:rsidRPr="00A75828">
          <w:rPr>
            <w:rStyle w:val="Hyperlink"/>
            <w:rFonts w:cstheme="minorHAnsi"/>
            <w:noProof/>
          </w:rPr>
          <w:t>8.5.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Проведе се 22-та Европейска конференция за корпоративно управление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7" w:history="1">
        <w:r w:rsidRPr="00A75828">
          <w:rPr>
            <w:rStyle w:val="Hyperlink"/>
            <w:rFonts w:cstheme="minorHAnsi"/>
            <w:noProof/>
          </w:rPr>
          <w:t>8.6.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Проведе се четвъртото издание на инициативата „ден за акции“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8" w:history="1">
        <w:r w:rsidRPr="00A75828">
          <w:rPr>
            <w:rStyle w:val="Hyperlink"/>
            <w:rFonts w:cstheme="minorHAnsi"/>
            <w:noProof/>
          </w:rPr>
          <w:t>8.7.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Проведено бе редовното общо събрание на „Българска фондова борса - София“ АД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79" w:history="1">
        <w:r w:rsidRPr="00A75828">
          <w:rPr>
            <w:rStyle w:val="Hyperlink"/>
            <w:rFonts w:cstheme="minorHAnsi"/>
            <w:noProof/>
          </w:rPr>
          <w:t>8.8.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 xml:space="preserve">Договор за трансграничен клиринг и сетълмент бе подписан между </w:t>
        </w:r>
        <w:r w:rsidRPr="00A75828">
          <w:rPr>
            <w:rStyle w:val="Hyperlink"/>
            <w:rFonts w:cstheme="minorHAnsi"/>
            <w:noProof/>
            <w:lang w:val="en-US"/>
          </w:rPr>
          <w:t xml:space="preserve">SEELink </w:t>
        </w:r>
        <w:r w:rsidRPr="00A75828">
          <w:rPr>
            <w:rStyle w:val="Hyperlink"/>
            <w:rFonts w:cstheme="minorHAnsi"/>
            <w:noProof/>
          </w:rPr>
          <w:t>и Raiffeisen Bank International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80" w:history="1">
        <w:r w:rsidRPr="00A75828">
          <w:rPr>
            <w:rStyle w:val="Hyperlink"/>
            <w:rFonts w:cstheme="minorHAnsi"/>
            <w:noProof/>
          </w:rPr>
          <w:t>8.9.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 xml:space="preserve">Българска фондова борса - София и UniCredit Bulbank организираха обучителен семинар по програмата </w:t>
        </w:r>
        <w:r w:rsidRPr="00A75828">
          <w:rPr>
            <w:rStyle w:val="Hyperlink"/>
            <w:rFonts w:cstheme="minorHAnsi"/>
            <w:noProof/>
            <w:lang w:val="en-US"/>
          </w:rPr>
          <w:t xml:space="preserve">ELITE </w:t>
        </w:r>
        <w:r w:rsidRPr="00A75828">
          <w:rPr>
            <w:rStyle w:val="Hyperlink"/>
            <w:rFonts w:cstheme="minorHAnsi"/>
            <w:noProof/>
          </w:rPr>
          <w:t xml:space="preserve">на </w:t>
        </w:r>
        <w:r w:rsidRPr="00A75828">
          <w:rPr>
            <w:rStyle w:val="Hyperlink"/>
            <w:rFonts w:cstheme="minorHAnsi"/>
            <w:noProof/>
            <w:lang w:val="en-US"/>
          </w:rPr>
          <w:t>London Stock Exchange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81" w:history="1">
        <w:r w:rsidRPr="00A75828">
          <w:rPr>
            <w:rStyle w:val="Hyperlink"/>
            <w:rFonts w:cstheme="minorHAnsi"/>
            <w:noProof/>
          </w:rPr>
          <w:t>8.10.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Търговия със собствени акции на Борсата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82" w:history="1">
        <w:r w:rsidRPr="00A75828">
          <w:rPr>
            <w:rStyle w:val="Hyperlink"/>
            <w:rFonts w:cstheme="minorHAnsi"/>
            <w:noProof/>
          </w:rPr>
          <w:t>8.11.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Индекс CGIX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83" w:history="1">
        <w:r w:rsidRPr="00A75828">
          <w:rPr>
            <w:rStyle w:val="Hyperlink"/>
            <w:rFonts w:cstheme="minorHAnsi"/>
            <w:noProof/>
          </w:rPr>
          <w:t>8.12.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Корпоративно управление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84" w:history="1">
        <w:r w:rsidRPr="00A75828">
          <w:rPr>
            <w:rStyle w:val="Hyperlink"/>
            <w:rFonts w:cstheme="minorHAnsi"/>
            <w:noProof/>
          </w:rPr>
          <w:t>9.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Информационни технологии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85" w:history="1">
        <w:r w:rsidRPr="00A75828">
          <w:rPr>
            <w:rStyle w:val="Hyperlink"/>
            <w:rFonts w:cstheme="minorHAnsi"/>
            <w:noProof/>
          </w:rPr>
          <w:t>9.1.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Информационни продукти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86" w:history="1">
        <w:r w:rsidRPr="00A75828">
          <w:rPr>
            <w:rStyle w:val="Hyperlink"/>
            <w:rFonts w:cstheme="minorHAnsi"/>
            <w:noProof/>
          </w:rPr>
          <w:t>9.2.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COBOS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87" w:history="1">
        <w:r w:rsidRPr="00A75828">
          <w:rPr>
            <w:rStyle w:val="Hyperlink"/>
            <w:rFonts w:cstheme="minorHAnsi"/>
            <w:noProof/>
          </w:rPr>
          <w:t>10.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Международна дейност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88" w:history="1">
        <w:r w:rsidRPr="00A75828">
          <w:rPr>
            <w:rStyle w:val="Hyperlink"/>
            <w:rFonts w:cstheme="minorHAnsi"/>
            <w:noProof/>
          </w:rPr>
          <w:t>11.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Основни рискове и несигурности, пред които е изправена „Българска фондова борса - София“ АД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89" w:history="1">
        <w:r w:rsidRPr="00A75828">
          <w:rPr>
            <w:rStyle w:val="Hyperlink"/>
            <w:rFonts w:cstheme="minorHAnsi"/>
            <w:noProof/>
          </w:rPr>
          <w:t>12.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Акционерна структура на Българска фондова борса - София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90" w:history="1">
        <w:r w:rsidRPr="00A75828">
          <w:rPr>
            <w:rStyle w:val="Hyperlink"/>
            <w:rFonts w:cstheme="minorHAnsi"/>
            <w:noProof/>
          </w:rPr>
          <w:t>13.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Членове на Българска фондова борса - София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1"/>
        <w:spacing w:line="240" w:lineRule="auto"/>
        <w:rPr>
          <w:rFonts w:eastAsiaTheme="minorEastAsia" w:cstheme="minorBidi"/>
          <w:noProof/>
          <w:szCs w:val="22"/>
        </w:rPr>
      </w:pPr>
      <w:hyperlink w:anchor="_Toc520473891" w:history="1">
        <w:r w:rsidRPr="00A75828">
          <w:rPr>
            <w:rStyle w:val="Hyperlink"/>
            <w:rFonts w:cstheme="minorHAnsi"/>
            <w:noProof/>
          </w:rPr>
          <w:t>14.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Финансово състояние на Българска фондова борса - София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92" w:history="1">
        <w:r w:rsidRPr="00A75828">
          <w:rPr>
            <w:rStyle w:val="Hyperlink"/>
            <w:rFonts w:cstheme="minorHAnsi"/>
            <w:noProof/>
          </w:rPr>
          <w:t>14.1.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Активи/пасиви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93" w:history="1">
        <w:r w:rsidRPr="00A75828">
          <w:rPr>
            <w:rStyle w:val="Hyperlink"/>
            <w:rFonts w:cstheme="minorHAnsi"/>
            <w:noProof/>
          </w:rPr>
          <w:t>14.2.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Приходи/разходи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94" w:history="1">
        <w:r w:rsidRPr="00A75828">
          <w:rPr>
            <w:rStyle w:val="Hyperlink"/>
            <w:rFonts w:cstheme="minorHAnsi"/>
            <w:noProof/>
          </w:rPr>
          <w:t>14.3.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Финансов резултат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95" w:history="1">
        <w:r w:rsidRPr="00A75828">
          <w:rPr>
            <w:rStyle w:val="Hyperlink"/>
            <w:rFonts w:cstheme="minorHAnsi"/>
            <w:noProof/>
          </w:rPr>
          <w:t>14.4.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Сделки със свързани лица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4837D9" w:rsidRDefault="004837D9" w:rsidP="004837D9">
      <w:pPr>
        <w:pStyle w:val="TOC2"/>
        <w:spacing w:line="240" w:lineRule="auto"/>
        <w:rPr>
          <w:rFonts w:eastAsiaTheme="minorEastAsia" w:cstheme="minorBidi"/>
          <w:noProof/>
          <w:szCs w:val="22"/>
        </w:rPr>
      </w:pPr>
      <w:hyperlink w:anchor="_Toc520473896" w:history="1">
        <w:r w:rsidRPr="00A75828">
          <w:rPr>
            <w:rStyle w:val="Hyperlink"/>
            <w:rFonts w:cstheme="minorHAnsi"/>
            <w:noProof/>
          </w:rPr>
          <w:t>14.5.</w:t>
        </w:r>
        <w:r>
          <w:rPr>
            <w:rFonts w:eastAsiaTheme="minorEastAsia" w:cstheme="minorBidi"/>
            <w:noProof/>
            <w:szCs w:val="22"/>
          </w:rPr>
          <w:tab/>
        </w:r>
        <w:r w:rsidRPr="00A75828">
          <w:rPr>
            <w:rStyle w:val="Hyperlink"/>
            <w:rFonts w:cstheme="minorHAnsi"/>
            <w:noProof/>
          </w:rPr>
          <w:t>Основен доход на акция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_Toc520473896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745FEF" w:rsidRPr="00A13CEF" w:rsidRDefault="0096622D" w:rsidP="004837D9">
      <w:pPr>
        <w:spacing w:line="240" w:lineRule="auto"/>
        <w:rPr>
          <w:rFonts w:cstheme="minorHAnsi"/>
        </w:rPr>
      </w:pPr>
      <w:r w:rsidRPr="00A13CEF">
        <w:rPr>
          <w:rFonts w:cstheme="minorHAnsi"/>
        </w:rPr>
        <w:fldChar w:fldCharType="end"/>
      </w:r>
      <w:r w:rsidR="00843499" w:rsidRPr="00A13CEF">
        <w:rPr>
          <w:rFonts w:cstheme="minorHAnsi"/>
        </w:rPr>
        <w:br w:type="page"/>
      </w:r>
    </w:p>
    <w:p w:rsidR="00E00E9E" w:rsidRPr="00A13CEF" w:rsidRDefault="00E00E9E" w:rsidP="001A50AB">
      <w:pPr>
        <w:pStyle w:val="Mainnumbers"/>
        <w:rPr>
          <w:rFonts w:cstheme="minorHAnsi"/>
        </w:rPr>
      </w:pPr>
      <w:bookmarkStart w:id="1" w:name="_Toc283112098"/>
      <w:bookmarkStart w:id="2" w:name="_Toc520473860"/>
      <w:r w:rsidRPr="00A13CEF">
        <w:rPr>
          <w:rFonts w:cstheme="minorHAnsi"/>
        </w:rPr>
        <w:lastRenderedPageBreak/>
        <w:t>Въведение</w:t>
      </w:r>
      <w:bookmarkEnd w:id="1"/>
      <w:bookmarkEnd w:id="2"/>
    </w:p>
    <w:p w:rsidR="0015471C" w:rsidRPr="00A13CEF" w:rsidRDefault="0015471C" w:rsidP="001A50AB">
      <w:pPr>
        <w:rPr>
          <w:rFonts w:cstheme="minorHAnsi"/>
        </w:rPr>
      </w:pPr>
      <w:r w:rsidRPr="00A13CEF">
        <w:rPr>
          <w:rFonts w:cstheme="minorHAnsi"/>
        </w:rPr>
        <w:t xml:space="preserve">Настоящият доклад е изготвен съгласно изискванията на чл. </w:t>
      </w:r>
      <w:r w:rsidR="00395238" w:rsidRPr="00A13CEF">
        <w:rPr>
          <w:rFonts w:cstheme="minorHAnsi"/>
        </w:rPr>
        <w:t>100о</w:t>
      </w:r>
      <w:r w:rsidRPr="00A13CEF">
        <w:rPr>
          <w:rFonts w:cstheme="minorHAnsi"/>
        </w:rPr>
        <w:t xml:space="preserve"> от </w:t>
      </w:r>
      <w:r w:rsidR="00395238" w:rsidRPr="00A13CEF">
        <w:rPr>
          <w:rFonts w:cstheme="minorHAnsi"/>
        </w:rPr>
        <w:t>Закона за публичното предлагане на ценни книжа</w:t>
      </w:r>
      <w:r w:rsidRPr="00A13CEF">
        <w:rPr>
          <w:rFonts w:cstheme="minorHAnsi"/>
        </w:rPr>
        <w:t xml:space="preserve"> и съдържа данни за дейността на </w:t>
      </w:r>
      <w:r w:rsidR="001A50AB" w:rsidRPr="00A13CEF">
        <w:rPr>
          <w:rFonts w:cstheme="minorHAnsi"/>
        </w:rPr>
        <w:t>„</w:t>
      </w:r>
      <w:r w:rsidR="00636F5A">
        <w:rPr>
          <w:rFonts w:cstheme="minorHAnsi"/>
        </w:rPr>
        <w:t>Българска фондова борса - София</w:t>
      </w:r>
      <w:r w:rsidR="001A50AB" w:rsidRPr="00A13CEF">
        <w:rPr>
          <w:rFonts w:cstheme="minorHAnsi"/>
        </w:rPr>
        <w:t xml:space="preserve">“ АД </w:t>
      </w:r>
      <w:r w:rsidRPr="00A13CEF">
        <w:rPr>
          <w:rFonts w:cstheme="minorHAnsi"/>
        </w:rPr>
        <w:t>(</w:t>
      </w:r>
      <w:r w:rsidR="001A50AB" w:rsidRPr="00A13CEF">
        <w:rPr>
          <w:rFonts w:cstheme="minorHAnsi"/>
        </w:rPr>
        <w:t xml:space="preserve">БФБ, </w:t>
      </w:r>
      <w:r w:rsidRPr="00A13CEF">
        <w:rPr>
          <w:rFonts w:cstheme="minorHAnsi"/>
        </w:rPr>
        <w:t xml:space="preserve">Борсата), за акционерния състав и членовете й, както и </w:t>
      </w:r>
      <w:r w:rsidR="00395238" w:rsidRPr="00A13CEF">
        <w:rPr>
          <w:rFonts w:cstheme="minorHAnsi"/>
        </w:rPr>
        <w:t>шестмесечен</w:t>
      </w:r>
      <w:r w:rsidRPr="00A13CEF">
        <w:rPr>
          <w:rFonts w:cstheme="minorHAnsi"/>
        </w:rPr>
        <w:t xml:space="preserve"> финансов отчет за </w:t>
      </w:r>
      <w:r w:rsidR="001241C2" w:rsidRPr="00A13CEF">
        <w:rPr>
          <w:rFonts w:cstheme="minorHAnsi"/>
        </w:rPr>
        <w:t>първото</w:t>
      </w:r>
      <w:r w:rsidR="009B292F" w:rsidRPr="00A13CEF">
        <w:rPr>
          <w:rFonts w:cstheme="minorHAnsi"/>
        </w:rPr>
        <w:t xml:space="preserve"> </w:t>
      </w:r>
      <w:r w:rsidR="00395238" w:rsidRPr="00A13CEF">
        <w:rPr>
          <w:rFonts w:cstheme="minorHAnsi"/>
        </w:rPr>
        <w:t>шестмесечие</w:t>
      </w:r>
      <w:r w:rsidRPr="00A13CEF">
        <w:rPr>
          <w:rFonts w:cstheme="minorHAnsi"/>
        </w:rPr>
        <w:t xml:space="preserve"> на 201</w:t>
      </w:r>
      <w:r w:rsidR="001A50AB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г.</w:t>
      </w:r>
    </w:p>
    <w:p w:rsidR="0099025F" w:rsidRPr="00A13CEF" w:rsidRDefault="0015471C" w:rsidP="001A50AB">
      <w:pPr>
        <w:rPr>
          <w:rFonts w:cstheme="minorHAnsi"/>
        </w:rPr>
      </w:pPr>
      <w:r w:rsidRPr="00A13CEF">
        <w:rPr>
          <w:rFonts w:cstheme="minorHAnsi"/>
        </w:rPr>
        <w:t xml:space="preserve">Докладът дава информация за важните събития, настъпили през </w:t>
      </w:r>
      <w:r w:rsidR="001241C2" w:rsidRPr="00A13CEF">
        <w:rPr>
          <w:rFonts w:cstheme="minorHAnsi"/>
        </w:rPr>
        <w:t>първото</w:t>
      </w:r>
      <w:r w:rsidRPr="00A13CEF">
        <w:rPr>
          <w:rFonts w:cstheme="minorHAnsi"/>
        </w:rPr>
        <w:t xml:space="preserve"> </w:t>
      </w:r>
      <w:r w:rsidR="00395238" w:rsidRPr="00A13CEF">
        <w:rPr>
          <w:rFonts w:cstheme="minorHAnsi"/>
        </w:rPr>
        <w:t>шестмесечие</w:t>
      </w:r>
      <w:r w:rsidRPr="00A13CEF">
        <w:rPr>
          <w:rFonts w:cstheme="minorHAnsi"/>
        </w:rPr>
        <w:t xml:space="preserve"> на 201</w:t>
      </w:r>
      <w:r w:rsidR="001A50AB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</w:t>
      </w:r>
      <w:r w:rsidR="00954D04" w:rsidRPr="00A13CEF">
        <w:rPr>
          <w:rFonts w:cstheme="minorHAnsi"/>
        </w:rPr>
        <w:t>.</w:t>
      </w:r>
      <w:r w:rsidRPr="00A13CEF">
        <w:rPr>
          <w:rFonts w:cstheme="minorHAnsi"/>
        </w:rPr>
        <w:t xml:space="preserve">, като са взети под внимание основните показатели на дейността, съпроводени със съответните анализи и изводи. Очертани са основните тенденции в развитието на капиталовия пазар, описани са основните рискове и </w:t>
      </w:r>
      <w:proofErr w:type="spellStart"/>
      <w:r w:rsidRPr="00A13CEF">
        <w:rPr>
          <w:rFonts w:cstheme="minorHAnsi"/>
        </w:rPr>
        <w:t>несигурности</w:t>
      </w:r>
      <w:proofErr w:type="spellEnd"/>
      <w:r w:rsidRPr="00A13CEF">
        <w:rPr>
          <w:rFonts w:cstheme="minorHAnsi"/>
        </w:rPr>
        <w:t>, пред които е изправена Борсата.</w:t>
      </w:r>
    </w:p>
    <w:p w:rsidR="00355B33" w:rsidRPr="00A13CEF" w:rsidRDefault="00A916CF" w:rsidP="001A50AB">
      <w:pPr>
        <w:pStyle w:val="Mainnumbers"/>
        <w:spacing w:before="0"/>
        <w:rPr>
          <w:rFonts w:cstheme="minorHAnsi"/>
        </w:rPr>
      </w:pPr>
      <w:r w:rsidRPr="00A13CEF">
        <w:rPr>
          <w:rFonts w:cstheme="minorHAnsi"/>
        </w:rPr>
        <w:br w:type="page"/>
      </w:r>
      <w:bookmarkStart w:id="3" w:name="_Toc283112099"/>
      <w:bookmarkStart w:id="4" w:name="_Toc520473861"/>
      <w:r w:rsidR="001A0C3E" w:rsidRPr="00A13CEF">
        <w:rPr>
          <w:rFonts w:cstheme="minorHAnsi"/>
        </w:rPr>
        <w:lastRenderedPageBreak/>
        <w:t xml:space="preserve">Данни за търговията на </w:t>
      </w:r>
      <w:bookmarkEnd w:id="3"/>
      <w:r w:rsidR="00636F5A">
        <w:rPr>
          <w:rFonts w:cstheme="minorHAnsi"/>
        </w:rPr>
        <w:t>Българска фондова борса - София</w:t>
      </w:r>
      <w:bookmarkEnd w:id="4"/>
    </w:p>
    <w:p w:rsidR="001524A4" w:rsidRPr="00A13CEF" w:rsidRDefault="009A3F7B" w:rsidP="001A50AB">
      <w:pPr>
        <w:pStyle w:val="SubNumbers"/>
        <w:rPr>
          <w:rFonts w:cstheme="minorHAnsi"/>
        </w:rPr>
      </w:pPr>
      <w:bookmarkStart w:id="5" w:name="_Toc283112100"/>
      <w:bookmarkStart w:id="6" w:name="_Toc386535672"/>
      <w:bookmarkStart w:id="7" w:name="_Toc520473862"/>
      <w:r w:rsidRPr="00A13CEF">
        <w:rPr>
          <w:rFonts w:cstheme="minorHAnsi"/>
        </w:rPr>
        <w:t>Оборот, брой сделки</w:t>
      </w:r>
      <w:bookmarkEnd w:id="5"/>
      <w:bookmarkEnd w:id="6"/>
      <w:bookmarkEnd w:id="7"/>
    </w:p>
    <w:tbl>
      <w:tblPr>
        <w:tblStyle w:val="TableGrid"/>
        <w:tblpPr w:leftFromText="142" w:rightFromText="142" w:vertAnchor="text" w:horzAnchor="margin" w:tblpXSpec="right" w:tblpY="568"/>
        <w:tblOverlap w:val="never"/>
        <w:tblW w:w="5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</w:tblGrid>
      <w:tr w:rsidR="00CB1BD8" w:rsidRPr="00A13CEF" w:rsidTr="007F2E58">
        <w:tc>
          <w:tcPr>
            <w:tcW w:w="5211" w:type="dxa"/>
          </w:tcPr>
          <w:p w:rsidR="00CB1BD8" w:rsidRPr="00A13CEF" w:rsidRDefault="0009711E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 xml:space="preserve">Графика 1: </w:t>
            </w:r>
            <w:r w:rsidR="00CB1BD8" w:rsidRPr="00A13CEF">
              <w:rPr>
                <w:rFonts w:cstheme="minorHAnsi"/>
              </w:rPr>
              <w:t xml:space="preserve">Оборот за </w:t>
            </w:r>
            <w:r w:rsidR="009A3F7B" w:rsidRPr="00A13CEF">
              <w:rPr>
                <w:rFonts w:cstheme="minorHAnsi"/>
              </w:rPr>
              <w:t>отчетното</w:t>
            </w:r>
            <w:r w:rsidR="00F215ED" w:rsidRPr="00A13CEF">
              <w:rPr>
                <w:rFonts w:cstheme="minorHAnsi"/>
              </w:rPr>
              <w:t xml:space="preserve"> </w:t>
            </w:r>
            <w:r w:rsidR="00D17299" w:rsidRPr="00A13CEF">
              <w:rPr>
                <w:rFonts w:cstheme="minorHAnsi"/>
              </w:rPr>
              <w:t>шестмесечие</w:t>
            </w:r>
            <w:r w:rsidR="001E33C7" w:rsidRPr="00A13CEF">
              <w:rPr>
                <w:rFonts w:cstheme="minorHAnsi"/>
              </w:rPr>
              <w:t xml:space="preserve"> </w:t>
            </w:r>
            <w:r w:rsidRPr="00A13CEF">
              <w:rPr>
                <w:rFonts w:cstheme="minorHAnsi"/>
              </w:rPr>
              <w:t>и</w:t>
            </w:r>
            <w:r w:rsidR="00CB1BD8" w:rsidRPr="00A13CEF">
              <w:rPr>
                <w:rFonts w:cstheme="minorHAnsi"/>
              </w:rPr>
              <w:t xml:space="preserve"> сравнение</w:t>
            </w:r>
            <w:r w:rsidR="009A3F7B" w:rsidRPr="00A13CEF">
              <w:rPr>
                <w:rFonts w:cstheme="minorHAnsi"/>
              </w:rPr>
              <w:t xml:space="preserve"> с </w:t>
            </w:r>
            <w:r w:rsidR="00D17299" w:rsidRPr="00A13CEF">
              <w:rPr>
                <w:rFonts w:cstheme="minorHAnsi"/>
              </w:rPr>
              <w:t>аналогичния</w:t>
            </w:r>
            <w:r w:rsidR="009A3F7B" w:rsidRPr="00A13CEF">
              <w:rPr>
                <w:rFonts w:cstheme="minorHAnsi"/>
              </w:rPr>
              <w:t xml:space="preserve"> период</w:t>
            </w:r>
            <w:r w:rsidR="00D17299" w:rsidRPr="00A13CEF">
              <w:rPr>
                <w:rFonts w:cstheme="minorHAnsi"/>
              </w:rPr>
              <w:t xml:space="preserve"> на </w:t>
            </w:r>
            <w:r w:rsidR="003421B4" w:rsidRPr="00A13CEF">
              <w:rPr>
                <w:rFonts w:cstheme="minorHAnsi"/>
              </w:rPr>
              <w:t>201</w:t>
            </w:r>
            <w:r w:rsidR="00E236BD" w:rsidRPr="00A13CEF">
              <w:rPr>
                <w:rFonts w:cstheme="minorHAnsi"/>
              </w:rPr>
              <w:t>7</w:t>
            </w:r>
            <w:r w:rsidR="00D17299" w:rsidRPr="00A13CEF">
              <w:rPr>
                <w:rFonts w:cstheme="minorHAnsi"/>
              </w:rPr>
              <w:t xml:space="preserve"> година</w:t>
            </w:r>
          </w:p>
        </w:tc>
      </w:tr>
      <w:tr w:rsidR="00CB1BD8" w:rsidRPr="00A13CEF" w:rsidTr="00E236BD">
        <w:tblPrEx>
          <w:tblCellMar>
            <w:left w:w="70" w:type="dxa"/>
            <w:right w:w="70" w:type="dxa"/>
          </w:tblCellMar>
        </w:tblPrEx>
        <w:trPr>
          <w:trHeight w:val="3398"/>
        </w:trPr>
        <w:tc>
          <w:tcPr>
            <w:tcW w:w="5211" w:type="dxa"/>
          </w:tcPr>
          <w:p w:rsidR="00CB1BD8" w:rsidRPr="00A13CEF" w:rsidRDefault="00E236BD" w:rsidP="001A50AB">
            <w:pPr>
              <w:rPr>
                <w:rFonts w:cstheme="minorHAnsi"/>
                <w:sz w:val="20"/>
                <w:szCs w:val="20"/>
                <w:u w:val="single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397BCD02" wp14:editId="4A6CB68E">
                  <wp:extent cx="3171825" cy="2279650"/>
                  <wp:effectExtent l="0" t="0" r="0" b="0"/>
                  <wp:docPr id="9" name="Chart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1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</w:tr>
    </w:tbl>
    <w:p w:rsidR="00C64B7B" w:rsidRPr="00A13CEF" w:rsidRDefault="00C64B7B" w:rsidP="001A50AB">
      <w:pPr>
        <w:pStyle w:val="SubSubNumber"/>
        <w:spacing w:before="0"/>
        <w:rPr>
          <w:rFonts w:cstheme="minorHAnsi"/>
        </w:rPr>
      </w:pPr>
      <w:bookmarkStart w:id="8" w:name="_Toc520473863"/>
      <w:r w:rsidRPr="00A13CEF">
        <w:rPr>
          <w:rFonts w:cstheme="minorHAnsi"/>
        </w:rPr>
        <w:t>Оборот</w:t>
      </w:r>
      <w:bookmarkEnd w:id="8"/>
    </w:p>
    <w:p w:rsidR="00774D56" w:rsidRPr="00A13CEF" w:rsidRDefault="00624D97" w:rsidP="001A50AB">
      <w:pPr>
        <w:rPr>
          <w:rFonts w:cstheme="minorHAnsi"/>
          <w:color w:val="000000"/>
        </w:rPr>
      </w:pPr>
      <w:r w:rsidRPr="00A13CEF">
        <w:rPr>
          <w:rFonts w:cstheme="minorHAnsi"/>
        </w:rPr>
        <w:t xml:space="preserve">Оборотът на регулирания пазар на финансови инструменти през </w:t>
      </w:r>
      <w:r w:rsidR="001241C2" w:rsidRPr="00A13CEF">
        <w:rPr>
          <w:rFonts w:cstheme="minorHAnsi"/>
        </w:rPr>
        <w:t>първото</w:t>
      </w:r>
      <w:r w:rsidR="00FD1333" w:rsidRPr="00A13CEF">
        <w:rPr>
          <w:rFonts w:cstheme="minorHAnsi"/>
        </w:rPr>
        <w:t xml:space="preserve"> </w:t>
      </w:r>
      <w:r w:rsidR="00F963F0" w:rsidRPr="00A13CEF">
        <w:rPr>
          <w:rFonts w:cstheme="minorHAnsi"/>
        </w:rPr>
        <w:t>шестмесечие</w:t>
      </w:r>
      <w:r w:rsidR="001241C2" w:rsidRPr="00A13CEF">
        <w:rPr>
          <w:rFonts w:cstheme="minorHAnsi"/>
        </w:rPr>
        <w:t xml:space="preserve"> на 201</w:t>
      </w:r>
      <w:r w:rsidR="001A50AB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година </w:t>
      </w:r>
      <w:r w:rsidR="001A4F35" w:rsidRPr="00A13CEF">
        <w:rPr>
          <w:rFonts w:cstheme="minorHAnsi"/>
        </w:rPr>
        <w:t>беше</w:t>
      </w:r>
      <w:r w:rsidRPr="00A13CEF">
        <w:rPr>
          <w:rFonts w:cstheme="minorHAnsi"/>
        </w:rPr>
        <w:t xml:space="preserve"> </w:t>
      </w:r>
      <w:r w:rsidR="001A50AB" w:rsidRPr="00A13CEF">
        <w:rPr>
          <w:rFonts w:cstheme="minorHAnsi"/>
        </w:rPr>
        <w:t xml:space="preserve">274 765 660 </w:t>
      </w:r>
      <w:r w:rsidR="00AA1499" w:rsidRPr="00A13CEF">
        <w:rPr>
          <w:rFonts w:cstheme="minorHAnsi"/>
        </w:rPr>
        <w:t xml:space="preserve">лева. </w:t>
      </w:r>
      <w:r w:rsidRPr="00A13CEF">
        <w:rPr>
          <w:rFonts w:cstheme="minorHAnsi"/>
        </w:rPr>
        <w:t>За сравнение</w:t>
      </w:r>
      <w:r w:rsidR="008F1EF5" w:rsidRPr="00A13CEF">
        <w:rPr>
          <w:rFonts w:cstheme="minorHAnsi"/>
        </w:rPr>
        <w:t>,</w:t>
      </w:r>
      <w:r w:rsidRPr="00A13CEF">
        <w:rPr>
          <w:rFonts w:cstheme="minorHAnsi"/>
        </w:rPr>
        <w:t xml:space="preserve"> през </w:t>
      </w:r>
      <w:r w:rsidR="00D17299" w:rsidRPr="00A13CEF">
        <w:rPr>
          <w:rFonts w:cstheme="minorHAnsi"/>
        </w:rPr>
        <w:t>първата</w:t>
      </w:r>
      <w:r w:rsidR="001241C2" w:rsidRPr="00A13CEF">
        <w:rPr>
          <w:rFonts w:cstheme="minorHAnsi"/>
        </w:rPr>
        <w:t xml:space="preserve"> </w:t>
      </w:r>
      <w:r w:rsidR="00D17299" w:rsidRPr="00A13CEF">
        <w:rPr>
          <w:rFonts w:cstheme="minorHAnsi"/>
        </w:rPr>
        <w:t>половина</w:t>
      </w:r>
      <w:r w:rsidR="001241C2" w:rsidRPr="00A13CEF">
        <w:rPr>
          <w:rFonts w:cstheme="minorHAnsi"/>
        </w:rPr>
        <w:t xml:space="preserve"> на 201</w:t>
      </w:r>
      <w:r w:rsidR="00730935" w:rsidRPr="00A13CEF">
        <w:rPr>
          <w:rFonts w:cstheme="minorHAnsi"/>
          <w:lang w:val="en-US"/>
        </w:rPr>
        <w:t>7</w:t>
      </w:r>
      <w:r w:rsidRPr="00A13CEF">
        <w:rPr>
          <w:rFonts w:cstheme="minorHAnsi"/>
        </w:rPr>
        <w:t xml:space="preserve"> той бе </w:t>
      </w:r>
      <w:bookmarkStart w:id="9" w:name="_Hlk520371796"/>
      <w:r w:rsidR="001A50AB" w:rsidRPr="00A13CEF">
        <w:rPr>
          <w:rFonts w:cstheme="minorHAnsi"/>
        </w:rPr>
        <w:t>219</w:t>
      </w:r>
      <w:r w:rsidR="00730935" w:rsidRPr="00A13CEF">
        <w:rPr>
          <w:rFonts w:cstheme="minorHAnsi"/>
          <w:lang w:val="en-US"/>
        </w:rPr>
        <w:t> </w:t>
      </w:r>
      <w:r w:rsidR="001A50AB" w:rsidRPr="00A13CEF">
        <w:rPr>
          <w:rFonts w:cstheme="minorHAnsi"/>
        </w:rPr>
        <w:t>695 442</w:t>
      </w:r>
      <w:bookmarkEnd w:id="9"/>
      <w:r w:rsidR="003A7A7E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л</w:t>
      </w:r>
      <w:r w:rsidR="00CD1D26" w:rsidRPr="00A13CEF">
        <w:rPr>
          <w:rFonts w:cstheme="minorHAnsi"/>
        </w:rPr>
        <w:t>е</w:t>
      </w:r>
      <w:r w:rsidRPr="00A13CEF">
        <w:rPr>
          <w:rFonts w:cstheme="minorHAnsi"/>
        </w:rPr>
        <w:t>в</w:t>
      </w:r>
      <w:r w:rsidR="00CD1D26" w:rsidRPr="00A13CEF">
        <w:rPr>
          <w:rFonts w:cstheme="minorHAnsi"/>
        </w:rPr>
        <w:t>а</w:t>
      </w:r>
      <w:r w:rsidRPr="00A13CEF">
        <w:rPr>
          <w:rFonts w:cstheme="minorHAnsi"/>
        </w:rPr>
        <w:t>,</w:t>
      </w:r>
      <w:r w:rsidR="00B545E1" w:rsidRPr="00A13CEF">
        <w:rPr>
          <w:rFonts w:cstheme="minorHAnsi"/>
        </w:rPr>
        <w:t xml:space="preserve"> което представлява</w:t>
      </w:r>
      <w:r w:rsidR="00C2306E" w:rsidRPr="00A13CEF">
        <w:rPr>
          <w:rFonts w:cstheme="minorHAnsi"/>
        </w:rPr>
        <w:t xml:space="preserve"> </w:t>
      </w:r>
      <w:r w:rsidR="003A7A7E" w:rsidRPr="00A13CEF">
        <w:rPr>
          <w:rFonts w:cstheme="minorHAnsi"/>
        </w:rPr>
        <w:t>ръст от</w:t>
      </w:r>
      <w:r w:rsidR="00AA1499" w:rsidRPr="00A13CEF">
        <w:rPr>
          <w:rFonts w:cstheme="minorHAnsi"/>
        </w:rPr>
        <w:t xml:space="preserve"> </w:t>
      </w:r>
      <w:r w:rsidR="003A7A7E" w:rsidRPr="00A13CEF">
        <w:rPr>
          <w:rFonts w:cstheme="minorHAnsi"/>
        </w:rPr>
        <w:t xml:space="preserve">над </w:t>
      </w:r>
      <w:r w:rsidR="001A50AB" w:rsidRPr="00A13CEF">
        <w:rPr>
          <w:rFonts w:cstheme="minorHAnsi"/>
        </w:rPr>
        <w:t>25</w:t>
      </w:r>
      <w:r w:rsidR="00C2306E" w:rsidRPr="00A13CEF">
        <w:rPr>
          <w:rFonts w:cstheme="minorHAnsi"/>
        </w:rPr>
        <w:t xml:space="preserve">%. </w:t>
      </w:r>
      <w:r w:rsidRPr="00A13CEF">
        <w:rPr>
          <w:rFonts w:cstheme="minorHAnsi"/>
        </w:rPr>
        <w:t xml:space="preserve">Както става ясно от графиката, </w:t>
      </w:r>
      <w:r w:rsidR="003A7A7E" w:rsidRPr="00A13CEF">
        <w:rPr>
          <w:rFonts w:cstheme="minorHAnsi"/>
        </w:rPr>
        <w:t>той</w:t>
      </w:r>
      <w:r w:rsidRPr="00A13CEF">
        <w:rPr>
          <w:rFonts w:cstheme="minorHAnsi"/>
        </w:rPr>
        <w:t xml:space="preserve"> се дължи на </w:t>
      </w:r>
      <w:r w:rsidR="003A7A7E" w:rsidRPr="00A13CEF">
        <w:rPr>
          <w:rFonts w:cstheme="minorHAnsi"/>
        </w:rPr>
        <w:t>нарастване</w:t>
      </w:r>
      <w:r w:rsidR="00BF237B" w:rsidRPr="00A13CEF">
        <w:rPr>
          <w:rFonts w:cstheme="minorHAnsi"/>
        </w:rPr>
        <w:t xml:space="preserve"> </w:t>
      </w:r>
      <w:r w:rsidR="003A7A7E" w:rsidRPr="00A13CEF">
        <w:rPr>
          <w:rFonts w:cstheme="minorHAnsi"/>
        </w:rPr>
        <w:t>на</w:t>
      </w:r>
      <w:r w:rsidR="00BF237B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оборот</w:t>
      </w:r>
      <w:r w:rsidR="00BF237B" w:rsidRPr="00A13CEF">
        <w:rPr>
          <w:rFonts w:cstheme="minorHAnsi"/>
        </w:rPr>
        <w:t>а</w:t>
      </w:r>
      <w:r w:rsidRPr="00A13CEF">
        <w:rPr>
          <w:rFonts w:cstheme="minorHAnsi"/>
        </w:rPr>
        <w:t xml:space="preserve"> </w:t>
      </w:r>
      <w:r w:rsidR="00EF50CD" w:rsidRPr="00A13CEF">
        <w:rPr>
          <w:rFonts w:cstheme="minorHAnsi"/>
        </w:rPr>
        <w:t>с</w:t>
      </w:r>
      <w:r w:rsidR="00C2306E" w:rsidRPr="00A13CEF">
        <w:rPr>
          <w:rFonts w:cstheme="minorHAnsi"/>
        </w:rPr>
        <w:t xml:space="preserve"> </w:t>
      </w:r>
      <w:r w:rsidR="001A50AB" w:rsidRPr="00A13CEF">
        <w:rPr>
          <w:rFonts w:cstheme="minorHAnsi"/>
        </w:rPr>
        <w:t>компенсаторни инструменти и първичното публично предлагане, осъществено през юни 2018 година.</w:t>
      </w:r>
      <w:r w:rsidR="00AA1499" w:rsidRPr="00A13CEF">
        <w:rPr>
          <w:rFonts w:cstheme="minorHAnsi"/>
        </w:rPr>
        <w:t xml:space="preserve"> </w:t>
      </w:r>
      <w:r w:rsidR="001A50AB" w:rsidRPr="00A13CEF">
        <w:rPr>
          <w:rFonts w:cstheme="minorHAnsi"/>
        </w:rPr>
        <w:t xml:space="preserve">Ако изключим ефекта от </w:t>
      </w:r>
      <w:r w:rsidR="001A50AB" w:rsidRPr="00A13CEF">
        <w:rPr>
          <w:rFonts w:cstheme="minorHAnsi"/>
          <w:lang w:val="en-US"/>
        </w:rPr>
        <w:t>IPO</w:t>
      </w:r>
      <w:r w:rsidR="001A50AB" w:rsidRPr="00A13CEF">
        <w:rPr>
          <w:rFonts w:cstheme="minorHAnsi"/>
        </w:rPr>
        <w:t>, промяната е отрицателна: намаление в оборота спрямо първото шестмесечие на 2017 година с над 26 милиона лева или 12%.</w:t>
      </w:r>
      <w:r w:rsidR="001A50AB" w:rsidRPr="00A13CEF">
        <w:rPr>
          <w:rFonts w:cstheme="minorHAnsi"/>
          <w:lang w:val="en-US"/>
        </w:rPr>
        <w:t xml:space="preserve"> </w:t>
      </w:r>
      <w:r w:rsidR="001A50AB" w:rsidRPr="00A13CEF">
        <w:rPr>
          <w:rFonts w:cstheme="minorHAnsi"/>
        </w:rPr>
        <w:t xml:space="preserve">Оборотът </w:t>
      </w:r>
      <w:r w:rsidR="00961F9B" w:rsidRPr="00A13CEF">
        <w:rPr>
          <w:rFonts w:cstheme="minorHAnsi"/>
        </w:rPr>
        <w:t>с</w:t>
      </w:r>
      <w:r w:rsidR="00CD1D26" w:rsidRPr="00A13CEF">
        <w:rPr>
          <w:rFonts w:cstheme="minorHAnsi"/>
        </w:rPr>
        <w:t xml:space="preserve"> акции (без АДСИЦ)</w:t>
      </w:r>
      <w:r w:rsidR="00AA1499" w:rsidRPr="00A13CEF">
        <w:rPr>
          <w:rFonts w:cstheme="minorHAnsi"/>
        </w:rPr>
        <w:t xml:space="preserve"> </w:t>
      </w:r>
      <w:r w:rsidR="001A50AB" w:rsidRPr="00A13CEF">
        <w:rPr>
          <w:rFonts w:cstheme="minorHAnsi"/>
        </w:rPr>
        <w:t>спадна с</w:t>
      </w:r>
      <w:r w:rsidR="00AA1499" w:rsidRPr="00A13CEF">
        <w:rPr>
          <w:rFonts w:cstheme="minorHAnsi"/>
        </w:rPr>
        <w:t xml:space="preserve"> </w:t>
      </w:r>
      <w:r w:rsidR="001A50AB" w:rsidRPr="00A13CEF">
        <w:rPr>
          <w:rFonts w:cstheme="minorHAnsi"/>
        </w:rPr>
        <w:t>5,3</w:t>
      </w:r>
      <w:r w:rsidR="00AA1499" w:rsidRPr="00A13CEF">
        <w:rPr>
          <w:rFonts w:cstheme="minorHAnsi"/>
        </w:rPr>
        <w:t>%,</w:t>
      </w:r>
      <w:r w:rsidR="00D50D49" w:rsidRPr="00A13CEF">
        <w:rPr>
          <w:rFonts w:cstheme="minorHAnsi"/>
        </w:rPr>
        <w:t xml:space="preserve"> </w:t>
      </w:r>
      <w:r w:rsidR="00961F9B" w:rsidRPr="00A13CEF">
        <w:rPr>
          <w:rFonts w:cstheme="minorHAnsi"/>
        </w:rPr>
        <w:t>с</w:t>
      </w:r>
      <w:r w:rsidR="00C2306E" w:rsidRPr="00A13CEF">
        <w:rPr>
          <w:rFonts w:cstheme="minorHAnsi"/>
        </w:rPr>
        <w:t xml:space="preserve"> АДСИ</w:t>
      </w:r>
      <w:r w:rsidR="00BA7356" w:rsidRPr="00A13CEF">
        <w:rPr>
          <w:rFonts w:cstheme="minorHAnsi"/>
        </w:rPr>
        <w:t>Ц намаля с 47%, оборотът</w:t>
      </w:r>
      <w:r w:rsidRPr="00A13CEF">
        <w:rPr>
          <w:rFonts w:cstheme="minorHAnsi"/>
        </w:rPr>
        <w:t xml:space="preserve"> </w:t>
      </w:r>
      <w:r w:rsidR="00961F9B" w:rsidRPr="00A13CEF">
        <w:rPr>
          <w:rFonts w:cstheme="minorHAnsi"/>
        </w:rPr>
        <w:t>с</w:t>
      </w:r>
      <w:r w:rsidR="00AA1499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 xml:space="preserve">облигации </w:t>
      </w:r>
      <w:r w:rsidR="00BA7356" w:rsidRPr="00A13CEF">
        <w:rPr>
          <w:rFonts w:cstheme="minorHAnsi"/>
        </w:rPr>
        <w:t>бе 25</w:t>
      </w:r>
      <w:r w:rsidRPr="00A13CEF">
        <w:rPr>
          <w:rFonts w:cstheme="minorHAnsi"/>
        </w:rPr>
        <w:t>%</w:t>
      </w:r>
      <w:r w:rsidR="00BA7356" w:rsidRPr="00A13CEF">
        <w:rPr>
          <w:rFonts w:cstheme="minorHAnsi"/>
        </w:rPr>
        <w:t xml:space="preserve"> по-нисък, а оборотът с Борсово търгувани продукти намаля със 7%</w:t>
      </w:r>
      <w:r w:rsidR="00FD1333" w:rsidRPr="00A13CEF">
        <w:rPr>
          <w:rFonts w:cstheme="minorHAnsi"/>
        </w:rPr>
        <w:t>.</w:t>
      </w:r>
      <w:r w:rsidR="00961F9B" w:rsidRPr="00A13CEF">
        <w:rPr>
          <w:rFonts w:cstheme="minorHAnsi"/>
        </w:rPr>
        <w:t xml:space="preserve"> </w:t>
      </w:r>
      <w:r w:rsidR="00D17299" w:rsidRPr="00A13CEF">
        <w:rPr>
          <w:rFonts w:cstheme="minorHAnsi"/>
        </w:rPr>
        <w:t xml:space="preserve">В абсолютна стойност най-значителен бе </w:t>
      </w:r>
      <w:r w:rsidR="00BA7356" w:rsidRPr="00A13CEF">
        <w:rPr>
          <w:rFonts w:cstheme="minorHAnsi"/>
        </w:rPr>
        <w:t>спадът</w:t>
      </w:r>
      <w:r w:rsidR="003421B4" w:rsidRPr="00A13CEF">
        <w:rPr>
          <w:rFonts w:cstheme="minorHAnsi"/>
        </w:rPr>
        <w:t xml:space="preserve"> в оборота с акции</w:t>
      </w:r>
      <w:r w:rsidR="00BA7356" w:rsidRPr="00A13CEF">
        <w:rPr>
          <w:rFonts w:cstheme="minorHAnsi"/>
        </w:rPr>
        <w:t xml:space="preserve"> на АДСИЦ</w:t>
      </w:r>
      <w:r w:rsidR="003421B4" w:rsidRPr="00A13CEF">
        <w:rPr>
          <w:rFonts w:cstheme="minorHAnsi"/>
        </w:rPr>
        <w:t xml:space="preserve">, който </w:t>
      </w:r>
      <w:r w:rsidR="00BA7356" w:rsidRPr="00A13CEF">
        <w:rPr>
          <w:rFonts w:cstheme="minorHAnsi"/>
        </w:rPr>
        <w:t>намаля с</w:t>
      </w:r>
      <w:r w:rsidR="00D17299" w:rsidRPr="00A13CEF">
        <w:rPr>
          <w:rFonts w:cstheme="minorHAnsi"/>
        </w:rPr>
        <w:t xml:space="preserve"> </w:t>
      </w:r>
      <w:r w:rsidR="00BA7356" w:rsidRPr="00A13CEF">
        <w:rPr>
          <w:rFonts w:cstheme="minorHAnsi"/>
        </w:rPr>
        <w:t xml:space="preserve">близо 17 </w:t>
      </w:r>
      <w:r w:rsidR="00D17299" w:rsidRPr="00A13CEF">
        <w:rPr>
          <w:rFonts w:cstheme="minorHAnsi"/>
        </w:rPr>
        <w:t>милиона лева</w:t>
      </w:r>
      <w:r w:rsidR="00FD1333" w:rsidRPr="00A13CEF">
        <w:rPr>
          <w:rFonts w:cstheme="minorHAnsi"/>
        </w:rPr>
        <w:t>.</w:t>
      </w:r>
      <w:r w:rsidR="007F2E58" w:rsidRPr="00A13CEF">
        <w:rPr>
          <w:rFonts w:cstheme="minorHAnsi"/>
        </w:rPr>
        <w:t xml:space="preserve"> </w:t>
      </w:r>
      <w:r w:rsidR="00B545E1" w:rsidRPr="00A13CEF">
        <w:rPr>
          <w:rFonts w:cstheme="minorHAnsi"/>
        </w:rPr>
        <w:t>Най</w:t>
      </w:r>
      <w:r w:rsidR="00C2306E" w:rsidRPr="00A13CEF">
        <w:rPr>
          <w:rFonts w:cstheme="minorHAnsi"/>
        </w:rPr>
        <w:t>-</w:t>
      </w:r>
      <w:r w:rsidR="00AA1499" w:rsidRPr="00A13CEF">
        <w:rPr>
          <w:rFonts w:cstheme="minorHAnsi"/>
        </w:rPr>
        <w:t xml:space="preserve">нисък </w:t>
      </w:r>
      <w:r w:rsidRPr="00A13CEF">
        <w:rPr>
          <w:rFonts w:cstheme="minorHAnsi"/>
        </w:rPr>
        <w:t xml:space="preserve">бе оборотът през </w:t>
      </w:r>
      <w:r w:rsidR="00BA7356" w:rsidRPr="00A13CEF">
        <w:rPr>
          <w:rFonts w:cstheme="minorHAnsi"/>
        </w:rPr>
        <w:t>май</w:t>
      </w:r>
      <w:r w:rsidR="008F1EF5" w:rsidRPr="00A13CEF">
        <w:rPr>
          <w:rFonts w:cstheme="minorHAnsi"/>
        </w:rPr>
        <w:t>:</w:t>
      </w:r>
      <w:r w:rsidRPr="00A13CEF">
        <w:rPr>
          <w:rFonts w:cstheme="minorHAnsi"/>
        </w:rPr>
        <w:t xml:space="preserve"> </w:t>
      </w:r>
      <w:r w:rsidR="00BA7356" w:rsidRPr="00A13CEF">
        <w:rPr>
          <w:rFonts w:cstheme="minorHAnsi"/>
        </w:rPr>
        <w:t>22</w:t>
      </w:r>
      <w:r w:rsidR="00FD1333" w:rsidRPr="00A13CEF">
        <w:rPr>
          <w:rFonts w:cstheme="minorHAnsi"/>
        </w:rPr>
        <w:t>,</w:t>
      </w:r>
      <w:r w:rsidR="00E236BD" w:rsidRPr="00A13CEF">
        <w:rPr>
          <w:rFonts w:cstheme="minorHAnsi"/>
        </w:rPr>
        <w:t>44</w:t>
      </w:r>
      <w:r w:rsidR="00311917" w:rsidRPr="00A13CEF">
        <w:rPr>
          <w:rFonts w:cstheme="minorHAnsi"/>
        </w:rPr>
        <w:t xml:space="preserve"> млн. лв., а най-висок -</w:t>
      </w:r>
      <w:r w:rsidRPr="00A13CEF">
        <w:rPr>
          <w:rFonts w:cstheme="minorHAnsi"/>
        </w:rPr>
        <w:t xml:space="preserve"> през </w:t>
      </w:r>
      <w:r w:rsidR="00610CFD" w:rsidRPr="00A13CEF">
        <w:rPr>
          <w:rFonts w:cstheme="minorHAnsi"/>
        </w:rPr>
        <w:t>юни</w:t>
      </w:r>
      <w:r w:rsidR="008F1EF5" w:rsidRPr="00A13CEF">
        <w:rPr>
          <w:rFonts w:cstheme="minorHAnsi"/>
        </w:rPr>
        <w:t>:</w:t>
      </w:r>
      <w:r w:rsidRPr="00A13CEF">
        <w:rPr>
          <w:rFonts w:cstheme="minorHAnsi"/>
        </w:rPr>
        <w:t xml:space="preserve"> </w:t>
      </w:r>
      <w:r w:rsidR="00E236BD" w:rsidRPr="00A13CEF">
        <w:rPr>
          <w:rFonts w:cstheme="minorHAnsi"/>
        </w:rPr>
        <w:t>117,53</w:t>
      </w:r>
      <w:r w:rsidR="00CD7570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млн.</w:t>
      </w:r>
      <w:r w:rsidR="00AA1499" w:rsidRPr="00A13CEF">
        <w:rPr>
          <w:rFonts w:cstheme="minorHAnsi"/>
        </w:rPr>
        <w:t xml:space="preserve"> лв.</w:t>
      </w:r>
      <w:r w:rsidR="00E236BD" w:rsidRPr="00A13CEF">
        <w:rPr>
          <w:rFonts w:cstheme="minorHAnsi"/>
        </w:rPr>
        <w:t>, но в юнския се включва Първичното публично предлагане, осъществено на Борсата.</w:t>
      </w:r>
    </w:p>
    <w:tbl>
      <w:tblPr>
        <w:tblStyle w:val="TableGrid"/>
        <w:tblpPr w:leftFromText="142" w:rightFromText="142" w:vertAnchor="text" w:horzAnchor="margin" w:tblpY="76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3"/>
      </w:tblGrid>
      <w:tr w:rsidR="00E57439" w:rsidRPr="00A13CEF" w:rsidTr="00CD55AD">
        <w:trPr>
          <w:cantSplit/>
        </w:trPr>
        <w:tc>
          <w:tcPr>
            <w:tcW w:w="5353" w:type="dxa"/>
          </w:tcPr>
          <w:p w:rsidR="00E57439" w:rsidRPr="00A13CEF" w:rsidRDefault="009A3F7B" w:rsidP="001A50AB">
            <w:pPr>
              <w:rPr>
                <w:rFonts w:cstheme="minorHAnsi"/>
                <w:i/>
              </w:rPr>
            </w:pPr>
            <w:r w:rsidRPr="00A13CEF">
              <w:rPr>
                <w:rFonts w:cstheme="minorHAnsi"/>
              </w:rPr>
              <w:t xml:space="preserve">Графика 2: Брой сделки за </w:t>
            </w:r>
            <w:r w:rsidR="00D17299" w:rsidRPr="00A13CEF">
              <w:rPr>
                <w:rFonts w:cstheme="minorHAnsi"/>
              </w:rPr>
              <w:t xml:space="preserve">отчетното шестмесечие и сравнение с аналогичния период на </w:t>
            </w:r>
            <w:r w:rsidR="003421B4" w:rsidRPr="00A13CEF">
              <w:rPr>
                <w:rFonts w:cstheme="minorHAnsi"/>
              </w:rPr>
              <w:t>201</w:t>
            </w:r>
            <w:r w:rsidR="00E236BD" w:rsidRPr="00A13CEF">
              <w:rPr>
                <w:rFonts w:cstheme="minorHAnsi"/>
              </w:rPr>
              <w:t>7</w:t>
            </w:r>
            <w:r w:rsidR="00D17299" w:rsidRPr="00A13CEF">
              <w:rPr>
                <w:rFonts w:cstheme="minorHAnsi"/>
              </w:rPr>
              <w:t xml:space="preserve"> година</w:t>
            </w:r>
          </w:p>
        </w:tc>
      </w:tr>
      <w:tr w:rsidR="00E57439" w:rsidRPr="00A13CEF" w:rsidTr="00E56451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5353" w:type="dxa"/>
          </w:tcPr>
          <w:p w:rsidR="00E57439" w:rsidRPr="00A13CEF" w:rsidRDefault="00E56451" w:rsidP="001A50AB">
            <w:pPr>
              <w:rPr>
                <w:rFonts w:cstheme="minorHAnsi"/>
                <w:sz w:val="12"/>
                <w:szCs w:val="12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0242733F" wp14:editId="5E9C746E">
                  <wp:extent cx="3261995" cy="2446655"/>
                  <wp:effectExtent l="0" t="0" r="0" b="0"/>
                  <wp:docPr id="10" name="Chart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1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</w:tr>
    </w:tbl>
    <w:p w:rsidR="00491DEE" w:rsidRPr="00A13CEF" w:rsidRDefault="00491DEE" w:rsidP="001A50AB">
      <w:pPr>
        <w:pStyle w:val="SubSubNumber"/>
        <w:rPr>
          <w:rFonts w:cstheme="minorHAnsi"/>
        </w:rPr>
      </w:pPr>
      <w:bookmarkStart w:id="10" w:name="_Toc520473864"/>
      <w:r w:rsidRPr="00A13CEF">
        <w:rPr>
          <w:rFonts w:cstheme="minorHAnsi"/>
        </w:rPr>
        <w:t>Брой сделки</w:t>
      </w:r>
      <w:bookmarkEnd w:id="10"/>
    </w:p>
    <w:p w:rsidR="009A3F7B" w:rsidRPr="00A13CEF" w:rsidRDefault="00624D97" w:rsidP="007F2E58">
      <w:pPr>
        <w:pStyle w:val="NoSpacing"/>
        <w:spacing w:line="276" w:lineRule="auto"/>
        <w:rPr>
          <w:rFonts w:asciiTheme="minorHAnsi" w:hAnsiTheme="minorHAnsi" w:cstheme="minorHAnsi"/>
        </w:rPr>
      </w:pPr>
      <w:r w:rsidRPr="00A13CEF">
        <w:rPr>
          <w:rFonts w:asciiTheme="minorHAnsi" w:hAnsiTheme="minorHAnsi" w:cstheme="minorHAnsi"/>
        </w:rPr>
        <w:t xml:space="preserve">Броят сделки на регулирания пазар на финансови инструменти през </w:t>
      </w:r>
      <w:r w:rsidR="00C34D1C" w:rsidRPr="00A13CEF">
        <w:rPr>
          <w:rFonts w:asciiTheme="minorHAnsi" w:hAnsiTheme="minorHAnsi" w:cstheme="minorHAnsi"/>
        </w:rPr>
        <w:t>първото</w:t>
      </w:r>
      <w:r w:rsidRPr="00A13CEF">
        <w:rPr>
          <w:rFonts w:asciiTheme="minorHAnsi" w:hAnsiTheme="minorHAnsi" w:cstheme="minorHAnsi"/>
        </w:rPr>
        <w:t xml:space="preserve"> </w:t>
      </w:r>
      <w:r w:rsidR="00F963F0" w:rsidRPr="00A13CEF">
        <w:rPr>
          <w:rFonts w:asciiTheme="minorHAnsi" w:hAnsiTheme="minorHAnsi" w:cstheme="minorHAnsi"/>
        </w:rPr>
        <w:t>шестмесечие</w:t>
      </w:r>
      <w:r w:rsidR="00C2306E" w:rsidRPr="00A13CEF">
        <w:rPr>
          <w:rFonts w:asciiTheme="minorHAnsi" w:hAnsiTheme="minorHAnsi" w:cstheme="minorHAnsi"/>
        </w:rPr>
        <w:t xml:space="preserve"> на 201</w:t>
      </w:r>
      <w:r w:rsidR="00E236BD" w:rsidRPr="00A13CEF">
        <w:rPr>
          <w:rFonts w:asciiTheme="minorHAnsi" w:hAnsiTheme="minorHAnsi" w:cstheme="minorHAnsi"/>
        </w:rPr>
        <w:t>8</w:t>
      </w:r>
      <w:r w:rsidR="00C2306E" w:rsidRPr="00A13CEF">
        <w:rPr>
          <w:rFonts w:asciiTheme="minorHAnsi" w:hAnsiTheme="minorHAnsi" w:cstheme="minorHAnsi"/>
        </w:rPr>
        <w:t xml:space="preserve"> година достигна</w:t>
      </w:r>
      <w:r w:rsidR="00C34D1C" w:rsidRPr="00A13CEF">
        <w:rPr>
          <w:rFonts w:asciiTheme="minorHAnsi" w:hAnsiTheme="minorHAnsi" w:cstheme="minorHAnsi"/>
        </w:rPr>
        <w:t xml:space="preserve"> </w:t>
      </w:r>
      <w:r w:rsidR="00E236BD" w:rsidRPr="00A13CEF">
        <w:rPr>
          <w:rFonts w:asciiTheme="minorHAnsi" w:hAnsiTheme="minorHAnsi" w:cstheme="minorHAnsi"/>
        </w:rPr>
        <w:t>28</w:t>
      </w:r>
      <w:r w:rsidR="007F2E58" w:rsidRPr="00A13CEF">
        <w:rPr>
          <w:rFonts w:asciiTheme="minorHAnsi" w:hAnsiTheme="minorHAnsi" w:cstheme="minorHAnsi"/>
        </w:rPr>
        <w:t> </w:t>
      </w:r>
      <w:r w:rsidR="00E236BD" w:rsidRPr="00A13CEF">
        <w:rPr>
          <w:rFonts w:asciiTheme="minorHAnsi" w:hAnsiTheme="minorHAnsi" w:cstheme="minorHAnsi"/>
        </w:rPr>
        <w:t>790</w:t>
      </w:r>
      <w:r w:rsidRPr="00A13CEF">
        <w:rPr>
          <w:rFonts w:asciiTheme="minorHAnsi" w:hAnsiTheme="minorHAnsi" w:cstheme="minorHAnsi"/>
        </w:rPr>
        <w:t>. За сравнение</w:t>
      </w:r>
      <w:r w:rsidR="008F1EF5" w:rsidRPr="00A13CEF">
        <w:rPr>
          <w:rFonts w:asciiTheme="minorHAnsi" w:hAnsiTheme="minorHAnsi" w:cstheme="minorHAnsi"/>
        </w:rPr>
        <w:t>,</w:t>
      </w:r>
      <w:r w:rsidRPr="00A13CEF">
        <w:rPr>
          <w:rFonts w:asciiTheme="minorHAnsi" w:hAnsiTheme="minorHAnsi" w:cstheme="minorHAnsi"/>
        </w:rPr>
        <w:t xml:space="preserve"> през </w:t>
      </w:r>
      <w:r w:rsidR="00F963F0" w:rsidRPr="00A13CEF">
        <w:rPr>
          <w:rFonts w:asciiTheme="minorHAnsi" w:hAnsiTheme="minorHAnsi" w:cstheme="minorHAnsi"/>
        </w:rPr>
        <w:t>аналогичния период</w:t>
      </w:r>
      <w:r w:rsidR="007F2E58" w:rsidRPr="00A13CEF">
        <w:rPr>
          <w:rFonts w:asciiTheme="minorHAnsi" w:hAnsiTheme="minorHAnsi" w:cstheme="minorHAnsi"/>
        </w:rPr>
        <w:t xml:space="preserve"> на 201</w:t>
      </w:r>
      <w:r w:rsidR="00E236BD" w:rsidRPr="00A13CEF">
        <w:rPr>
          <w:rFonts w:asciiTheme="minorHAnsi" w:hAnsiTheme="minorHAnsi" w:cstheme="minorHAnsi"/>
        </w:rPr>
        <w:t>7</w:t>
      </w:r>
      <w:r w:rsidR="00C34D1C" w:rsidRPr="00A13CEF">
        <w:rPr>
          <w:rFonts w:asciiTheme="minorHAnsi" w:hAnsiTheme="minorHAnsi" w:cstheme="minorHAnsi"/>
        </w:rPr>
        <w:t xml:space="preserve"> </w:t>
      </w:r>
      <w:r w:rsidRPr="00A13CEF">
        <w:rPr>
          <w:rFonts w:asciiTheme="minorHAnsi" w:hAnsiTheme="minorHAnsi" w:cstheme="minorHAnsi"/>
        </w:rPr>
        <w:t>той беше</w:t>
      </w:r>
      <w:r w:rsidR="00F963F0" w:rsidRPr="00A13CEF">
        <w:rPr>
          <w:rFonts w:asciiTheme="minorHAnsi" w:hAnsiTheme="minorHAnsi" w:cstheme="minorHAnsi"/>
        </w:rPr>
        <w:t xml:space="preserve"> </w:t>
      </w:r>
      <w:r w:rsidR="00E236BD" w:rsidRPr="00A13CEF">
        <w:rPr>
          <w:rFonts w:asciiTheme="minorHAnsi" w:hAnsiTheme="minorHAnsi" w:cstheme="minorHAnsi"/>
        </w:rPr>
        <w:t>39 976</w:t>
      </w:r>
      <w:r w:rsidR="00C2306E" w:rsidRPr="00A13CEF">
        <w:rPr>
          <w:rFonts w:asciiTheme="minorHAnsi" w:hAnsiTheme="minorHAnsi" w:cstheme="minorHAnsi"/>
        </w:rPr>
        <w:t xml:space="preserve">, което </w:t>
      </w:r>
      <w:r w:rsidR="008F1EF5" w:rsidRPr="00A13CEF">
        <w:rPr>
          <w:rFonts w:asciiTheme="minorHAnsi" w:hAnsiTheme="minorHAnsi" w:cstheme="minorHAnsi"/>
        </w:rPr>
        <w:t>представлява</w:t>
      </w:r>
      <w:r w:rsidR="00C2306E" w:rsidRPr="00A13CEF">
        <w:rPr>
          <w:rFonts w:asciiTheme="minorHAnsi" w:hAnsiTheme="minorHAnsi" w:cstheme="minorHAnsi"/>
        </w:rPr>
        <w:t xml:space="preserve"> </w:t>
      </w:r>
      <w:r w:rsidR="00E236BD" w:rsidRPr="00A13CEF">
        <w:rPr>
          <w:rFonts w:asciiTheme="minorHAnsi" w:hAnsiTheme="minorHAnsi" w:cstheme="minorHAnsi"/>
        </w:rPr>
        <w:t>спад</w:t>
      </w:r>
      <w:r w:rsidR="00AA1499" w:rsidRPr="00A13CEF">
        <w:rPr>
          <w:rFonts w:asciiTheme="minorHAnsi" w:hAnsiTheme="minorHAnsi" w:cstheme="minorHAnsi"/>
        </w:rPr>
        <w:t xml:space="preserve"> </w:t>
      </w:r>
      <w:r w:rsidR="00311917" w:rsidRPr="00A13CEF">
        <w:rPr>
          <w:rFonts w:asciiTheme="minorHAnsi" w:hAnsiTheme="minorHAnsi" w:cstheme="minorHAnsi"/>
        </w:rPr>
        <w:t>от</w:t>
      </w:r>
      <w:r w:rsidR="00C2306E" w:rsidRPr="00A13CEF">
        <w:rPr>
          <w:rFonts w:asciiTheme="minorHAnsi" w:hAnsiTheme="minorHAnsi" w:cstheme="minorHAnsi"/>
        </w:rPr>
        <w:t xml:space="preserve"> </w:t>
      </w:r>
      <w:r w:rsidR="00E236BD" w:rsidRPr="00A13CEF">
        <w:rPr>
          <w:rFonts w:asciiTheme="minorHAnsi" w:hAnsiTheme="minorHAnsi" w:cstheme="minorHAnsi"/>
        </w:rPr>
        <w:t>28</w:t>
      </w:r>
      <w:r w:rsidR="00C2306E" w:rsidRPr="00A13CEF">
        <w:rPr>
          <w:rFonts w:asciiTheme="minorHAnsi" w:hAnsiTheme="minorHAnsi" w:cstheme="minorHAnsi"/>
        </w:rPr>
        <w:t>%</w:t>
      </w:r>
      <w:r w:rsidRPr="00A13CEF">
        <w:rPr>
          <w:rFonts w:asciiTheme="minorHAnsi" w:hAnsiTheme="minorHAnsi" w:cstheme="minorHAnsi"/>
        </w:rPr>
        <w:t xml:space="preserve">. </w:t>
      </w:r>
      <w:r w:rsidR="00AA1499" w:rsidRPr="00A13CEF">
        <w:rPr>
          <w:rFonts w:asciiTheme="minorHAnsi" w:hAnsiTheme="minorHAnsi" w:cstheme="minorHAnsi"/>
        </w:rPr>
        <w:t>Това</w:t>
      </w:r>
      <w:r w:rsidRPr="00A13CEF">
        <w:rPr>
          <w:rFonts w:asciiTheme="minorHAnsi" w:hAnsiTheme="minorHAnsi" w:cstheme="minorHAnsi"/>
        </w:rPr>
        <w:t xml:space="preserve"> се дължи</w:t>
      </w:r>
      <w:r w:rsidR="008F1EF5" w:rsidRPr="00A13CEF">
        <w:rPr>
          <w:rFonts w:asciiTheme="minorHAnsi" w:hAnsiTheme="minorHAnsi" w:cstheme="minorHAnsi"/>
        </w:rPr>
        <w:t xml:space="preserve"> на</w:t>
      </w:r>
      <w:r w:rsidR="009105C0" w:rsidRPr="00A13CEF">
        <w:rPr>
          <w:rFonts w:asciiTheme="minorHAnsi" w:hAnsiTheme="minorHAnsi" w:cstheme="minorHAnsi"/>
        </w:rPr>
        <w:t xml:space="preserve"> </w:t>
      </w:r>
      <w:r w:rsidR="008F1EF5" w:rsidRPr="00A13CEF">
        <w:rPr>
          <w:rFonts w:asciiTheme="minorHAnsi" w:hAnsiTheme="minorHAnsi" w:cstheme="minorHAnsi"/>
        </w:rPr>
        <w:t>по-</w:t>
      </w:r>
      <w:r w:rsidR="00E236BD" w:rsidRPr="00A13CEF">
        <w:rPr>
          <w:rFonts w:asciiTheme="minorHAnsi" w:hAnsiTheme="minorHAnsi" w:cstheme="minorHAnsi"/>
        </w:rPr>
        <w:t>нисък</w:t>
      </w:r>
      <w:r w:rsidR="00AA1499" w:rsidRPr="00A13CEF">
        <w:rPr>
          <w:rFonts w:asciiTheme="minorHAnsi" w:hAnsiTheme="minorHAnsi" w:cstheme="minorHAnsi"/>
        </w:rPr>
        <w:t xml:space="preserve"> </w:t>
      </w:r>
      <w:r w:rsidR="008F1EF5" w:rsidRPr="00A13CEF">
        <w:rPr>
          <w:rFonts w:asciiTheme="minorHAnsi" w:hAnsiTheme="minorHAnsi" w:cstheme="minorHAnsi"/>
        </w:rPr>
        <w:t xml:space="preserve">брой сделки </w:t>
      </w:r>
      <w:r w:rsidR="00E56451" w:rsidRPr="00A13CEF">
        <w:rPr>
          <w:rFonts w:asciiTheme="minorHAnsi" w:hAnsiTheme="minorHAnsi" w:cstheme="minorHAnsi"/>
        </w:rPr>
        <w:t xml:space="preserve">с </w:t>
      </w:r>
      <w:r w:rsidR="00E236BD" w:rsidRPr="00A13CEF">
        <w:rPr>
          <w:rFonts w:asciiTheme="minorHAnsi" w:hAnsiTheme="minorHAnsi" w:cstheme="minorHAnsi"/>
        </w:rPr>
        <w:t>всички</w:t>
      </w:r>
      <w:r w:rsidR="00F963F0" w:rsidRPr="00A13CEF">
        <w:rPr>
          <w:rFonts w:asciiTheme="minorHAnsi" w:hAnsiTheme="minorHAnsi" w:cstheme="minorHAnsi"/>
        </w:rPr>
        <w:t xml:space="preserve"> </w:t>
      </w:r>
      <w:r w:rsidR="00E236BD" w:rsidRPr="00A13CEF">
        <w:rPr>
          <w:rFonts w:asciiTheme="minorHAnsi" w:hAnsiTheme="minorHAnsi" w:cstheme="minorHAnsi"/>
        </w:rPr>
        <w:t xml:space="preserve">основни </w:t>
      </w:r>
      <w:r w:rsidR="00F963F0" w:rsidRPr="00A13CEF">
        <w:rPr>
          <w:rFonts w:asciiTheme="minorHAnsi" w:hAnsiTheme="minorHAnsi" w:cstheme="minorHAnsi"/>
        </w:rPr>
        <w:t>групи финансови инструменти</w:t>
      </w:r>
      <w:r w:rsidR="00090367" w:rsidRPr="00A13CEF">
        <w:rPr>
          <w:rFonts w:asciiTheme="minorHAnsi" w:hAnsiTheme="minorHAnsi" w:cstheme="minorHAnsi"/>
        </w:rPr>
        <w:t>.</w:t>
      </w:r>
      <w:r w:rsidR="00E236BD" w:rsidRPr="00A13CEF">
        <w:rPr>
          <w:rFonts w:asciiTheme="minorHAnsi" w:hAnsiTheme="minorHAnsi" w:cstheme="minorHAnsi"/>
        </w:rPr>
        <w:t xml:space="preserve"> </w:t>
      </w:r>
      <w:r w:rsidR="00E56451" w:rsidRPr="00A13CEF">
        <w:rPr>
          <w:rFonts w:asciiTheme="minorHAnsi" w:hAnsiTheme="minorHAnsi" w:cstheme="minorHAnsi"/>
        </w:rPr>
        <w:t>Нарастване имаше при броя сделки с облигации и при Други финансови инструменти (който отново се дължи главно на осъщественото първично публично предлагане), но то не бе значително в абсолютна стойност в сравнение със спада от 11 хиляди (-33,7%) при сделките с акции.</w:t>
      </w:r>
      <w:r w:rsidR="00961F9B" w:rsidRPr="00A13CEF">
        <w:rPr>
          <w:rFonts w:asciiTheme="minorHAnsi" w:hAnsiTheme="minorHAnsi" w:cstheme="minorHAnsi"/>
        </w:rPr>
        <w:t xml:space="preserve"> Най</w:t>
      </w:r>
      <w:r w:rsidR="00090367" w:rsidRPr="00A13CEF">
        <w:rPr>
          <w:rFonts w:asciiTheme="minorHAnsi" w:hAnsiTheme="minorHAnsi" w:cstheme="minorHAnsi"/>
        </w:rPr>
        <w:t>-нисък</w:t>
      </w:r>
      <w:r w:rsidRPr="00A13CEF">
        <w:rPr>
          <w:rFonts w:asciiTheme="minorHAnsi" w:hAnsiTheme="minorHAnsi" w:cstheme="minorHAnsi"/>
        </w:rPr>
        <w:t xml:space="preserve"> </w:t>
      </w:r>
      <w:r w:rsidR="006613CF" w:rsidRPr="00A13CEF">
        <w:rPr>
          <w:rFonts w:asciiTheme="minorHAnsi" w:hAnsiTheme="minorHAnsi" w:cstheme="minorHAnsi"/>
        </w:rPr>
        <w:t>б</w:t>
      </w:r>
      <w:r w:rsidRPr="00A13CEF">
        <w:rPr>
          <w:rFonts w:asciiTheme="minorHAnsi" w:hAnsiTheme="minorHAnsi" w:cstheme="minorHAnsi"/>
        </w:rPr>
        <w:t xml:space="preserve">е броят сделки през </w:t>
      </w:r>
      <w:r w:rsidR="00E56451" w:rsidRPr="00A13CEF">
        <w:rPr>
          <w:rFonts w:asciiTheme="minorHAnsi" w:hAnsiTheme="minorHAnsi" w:cstheme="minorHAnsi"/>
        </w:rPr>
        <w:t>април</w:t>
      </w:r>
      <w:r w:rsidR="008F1EF5" w:rsidRPr="00A13CEF">
        <w:rPr>
          <w:rFonts w:asciiTheme="minorHAnsi" w:hAnsiTheme="minorHAnsi" w:cstheme="minorHAnsi"/>
        </w:rPr>
        <w:t>:</w:t>
      </w:r>
      <w:r w:rsidRPr="00A13CEF">
        <w:rPr>
          <w:rFonts w:asciiTheme="minorHAnsi" w:hAnsiTheme="minorHAnsi" w:cstheme="minorHAnsi"/>
        </w:rPr>
        <w:t xml:space="preserve"> </w:t>
      </w:r>
      <w:r w:rsidR="00E56451" w:rsidRPr="00A13CEF">
        <w:rPr>
          <w:rFonts w:asciiTheme="minorHAnsi" w:hAnsiTheme="minorHAnsi" w:cstheme="minorHAnsi"/>
        </w:rPr>
        <w:t>2</w:t>
      </w:r>
      <w:r w:rsidR="007F2E58" w:rsidRPr="00A13CEF">
        <w:rPr>
          <w:rFonts w:asciiTheme="minorHAnsi" w:hAnsiTheme="minorHAnsi" w:cstheme="minorHAnsi"/>
        </w:rPr>
        <w:t> </w:t>
      </w:r>
      <w:r w:rsidR="00E56451" w:rsidRPr="00A13CEF">
        <w:rPr>
          <w:rFonts w:asciiTheme="minorHAnsi" w:hAnsiTheme="minorHAnsi" w:cstheme="minorHAnsi"/>
        </w:rPr>
        <w:t>697</w:t>
      </w:r>
      <w:r w:rsidR="00610CFD" w:rsidRPr="00A13CEF">
        <w:rPr>
          <w:rFonts w:asciiTheme="minorHAnsi" w:hAnsiTheme="minorHAnsi" w:cstheme="minorHAnsi"/>
        </w:rPr>
        <w:t>, а най-</w:t>
      </w:r>
      <w:r w:rsidRPr="00A13CEF">
        <w:rPr>
          <w:rFonts w:asciiTheme="minorHAnsi" w:hAnsiTheme="minorHAnsi" w:cstheme="minorHAnsi"/>
        </w:rPr>
        <w:t xml:space="preserve">голям </w:t>
      </w:r>
      <w:r w:rsidR="00311917" w:rsidRPr="00A13CEF">
        <w:rPr>
          <w:rFonts w:asciiTheme="minorHAnsi" w:hAnsiTheme="minorHAnsi" w:cstheme="minorHAnsi"/>
        </w:rPr>
        <w:t xml:space="preserve">той беше </w:t>
      </w:r>
      <w:r w:rsidRPr="00A13CEF">
        <w:rPr>
          <w:rFonts w:asciiTheme="minorHAnsi" w:hAnsiTheme="minorHAnsi" w:cstheme="minorHAnsi"/>
        </w:rPr>
        <w:t xml:space="preserve">през </w:t>
      </w:r>
      <w:r w:rsidR="00610CFD" w:rsidRPr="00A13CEF">
        <w:rPr>
          <w:rFonts w:asciiTheme="minorHAnsi" w:hAnsiTheme="minorHAnsi" w:cstheme="minorHAnsi"/>
        </w:rPr>
        <w:t>юни</w:t>
      </w:r>
      <w:r w:rsidR="008F1EF5" w:rsidRPr="00A13CEF">
        <w:rPr>
          <w:rFonts w:asciiTheme="minorHAnsi" w:hAnsiTheme="minorHAnsi" w:cstheme="minorHAnsi"/>
        </w:rPr>
        <w:t>:</w:t>
      </w:r>
      <w:r w:rsidRPr="00A13CEF">
        <w:rPr>
          <w:rFonts w:asciiTheme="minorHAnsi" w:hAnsiTheme="minorHAnsi" w:cstheme="minorHAnsi"/>
        </w:rPr>
        <w:t xml:space="preserve"> </w:t>
      </w:r>
      <w:r w:rsidR="007F2E58" w:rsidRPr="00A13CEF">
        <w:rPr>
          <w:rFonts w:asciiTheme="minorHAnsi" w:hAnsiTheme="minorHAnsi" w:cstheme="minorHAnsi"/>
        </w:rPr>
        <w:t xml:space="preserve">9 091 </w:t>
      </w:r>
      <w:r w:rsidR="00311917" w:rsidRPr="00A13CEF">
        <w:rPr>
          <w:rFonts w:asciiTheme="minorHAnsi" w:hAnsiTheme="minorHAnsi" w:cstheme="minorHAnsi"/>
        </w:rPr>
        <w:t>сделки</w:t>
      </w:r>
      <w:r w:rsidRPr="00A13CEF">
        <w:rPr>
          <w:rFonts w:asciiTheme="minorHAnsi" w:hAnsiTheme="minorHAnsi" w:cstheme="minorHAnsi"/>
        </w:rPr>
        <w:t>.</w:t>
      </w:r>
      <w:r w:rsidR="009A3F7B" w:rsidRPr="00A13CEF">
        <w:rPr>
          <w:rFonts w:asciiTheme="minorHAnsi" w:hAnsiTheme="minorHAnsi" w:cstheme="minorHAnsi"/>
          <w:szCs w:val="22"/>
        </w:rPr>
        <w:br w:type="page"/>
      </w:r>
    </w:p>
    <w:p w:rsidR="009A3F7B" w:rsidRPr="00A13CEF" w:rsidRDefault="009A3F7B" w:rsidP="001A50AB">
      <w:pPr>
        <w:rPr>
          <w:rFonts w:cstheme="minorHAnsi"/>
          <w:i/>
        </w:rPr>
      </w:pPr>
      <w:bookmarkStart w:id="11" w:name="_Toc283112101"/>
      <w:bookmarkStart w:id="12" w:name="_Toc142469780"/>
      <w:bookmarkStart w:id="13" w:name="_Toc142469778"/>
      <w:r w:rsidRPr="00A13CEF">
        <w:rPr>
          <w:rFonts w:cstheme="minorHAnsi"/>
        </w:rPr>
        <w:lastRenderedPageBreak/>
        <w:t xml:space="preserve">Таблица 1. Структура на търговията по пазари за отчетното </w:t>
      </w:r>
      <w:r w:rsidR="00F963F0" w:rsidRPr="00A13CEF">
        <w:rPr>
          <w:rFonts w:cstheme="minorHAnsi"/>
        </w:rPr>
        <w:t>шестмесечие</w:t>
      </w:r>
      <w:r w:rsidRPr="00A13CEF">
        <w:rPr>
          <w:rFonts w:cstheme="minorHAnsi"/>
        </w:rPr>
        <w:t xml:space="preserve"> (оборот в лв.)</w:t>
      </w:r>
    </w:p>
    <w:tbl>
      <w:tblPr>
        <w:tblW w:w="778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5720"/>
        <w:gridCol w:w="1640"/>
      </w:tblGrid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№</w:t>
            </w:r>
          </w:p>
        </w:tc>
        <w:tc>
          <w:tcPr>
            <w:tcW w:w="5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Пазарен сегмент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Оборот (лева)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>Основен пазар BSE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256 838 157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Premium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45 959 251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Standard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94 647 484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c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борсово търгувани продукти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1 356 546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d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11 354 132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e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4 064 668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f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компенсаторни инструменти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2 363 662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g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облигации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15 564 376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h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права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136 682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i</w:t>
            </w:r>
          </w:p>
        </w:tc>
        <w:tc>
          <w:tcPr>
            <w:tcW w:w="5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81 391 356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</w:t>
            </w:r>
          </w:p>
        </w:tc>
        <w:tc>
          <w:tcPr>
            <w:tcW w:w="5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 xml:space="preserve">Алтернативен пазар </w:t>
            </w:r>
            <w:proofErr w:type="spellStart"/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>BaSE</w:t>
            </w:r>
            <w:proofErr w:type="spellEnd"/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17 927 503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10 607 000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7 320 503</w:t>
            </w:r>
          </w:p>
        </w:tc>
      </w:tr>
    </w:tbl>
    <w:p w:rsidR="002A6963" w:rsidRPr="00A13CEF" w:rsidRDefault="009A3F7B" w:rsidP="00E56451">
      <w:pPr>
        <w:spacing w:before="240"/>
        <w:rPr>
          <w:rFonts w:cstheme="minorHAnsi"/>
          <w:i/>
        </w:rPr>
      </w:pPr>
      <w:r w:rsidRPr="00A13CEF">
        <w:rPr>
          <w:rFonts w:cstheme="minorHAnsi"/>
        </w:rPr>
        <w:t xml:space="preserve">Таблица 2. Структура на търговията по пазари за отчетното </w:t>
      </w:r>
      <w:r w:rsidR="00F963F0" w:rsidRPr="00A13CEF">
        <w:rPr>
          <w:rFonts w:cstheme="minorHAnsi"/>
        </w:rPr>
        <w:t>шестмесечие</w:t>
      </w:r>
      <w:r w:rsidRPr="00A13CEF">
        <w:rPr>
          <w:rFonts w:cstheme="minorHAnsi"/>
        </w:rPr>
        <w:t xml:space="preserve"> (брой сделки)</w:t>
      </w:r>
    </w:p>
    <w:tbl>
      <w:tblPr>
        <w:tblW w:w="784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5720"/>
        <w:gridCol w:w="1700"/>
      </w:tblGrid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№</w:t>
            </w:r>
          </w:p>
        </w:tc>
        <w:tc>
          <w:tcPr>
            <w:tcW w:w="5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Пазарен сегмент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 xml:space="preserve">Брой сделки 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>Основен пазар BSE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27 759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Premium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10 716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Standard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10 612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c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борсово търгувани продукти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602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d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3 095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e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f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компенсаторни инструменти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848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g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облигации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170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h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права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296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i</w:t>
            </w:r>
          </w:p>
        </w:tc>
        <w:tc>
          <w:tcPr>
            <w:tcW w:w="5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1 414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</w:t>
            </w:r>
          </w:p>
        </w:tc>
        <w:tc>
          <w:tcPr>
            <w:tcW w:w="5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 xml:space="preserve">Алтернативен пазар </w:t>
            </w:r>
            <w:proofErr w:type="spellStart"/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>BaSE</w:t>
            </w:r>
            <w:proofErr w:type="spellEnd"/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1 031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860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171</w:t>
            </w:r>
          </w:p>
        </w:tc>
      </w:tr>
    </w:tbl>
    <w:p w:rsidR="002A6963" w:rsidRPr="00A13CEF" w:rsidRDefault="009A3F7B" w:rsidP="00E56451">
      <w:pPr>
        <w:spacing w:before="240"/>
        <w:rPr>
          <w:rFonts w:cstheme="minorHAnsi"/>
        </w:rPr>
      </w:pPr>
      <w:r w:rsidRPr="00A13CEF">
        <w:rPr>
          <w:rFonts w:cstheme="minorHAnsi"/>
        </w:rPr>
        <w:t xml:space="preserve">Таблица 3. Структура на търговията по пазари за отчетното </w:t>
      </w:r>
      <w:r w:rsidR="00F963F0" w:rsidRPr="00A13CEF">
        <w:rPr>
          <w:rFonts w:cstheme="minorHAnsi"/>
        </w:rPr>
        <w:t>шестмесечие</w:t>
      </w:r>
      <w:r w:rsidRPr="00A13CEF">
        <w:rPr>
          <w:rFonts w:cstheme="minorHAnsi"/>
        </w:rPr>
        <w:t xml:space="preserve"> (брой лотове)</w:t>
      </w:r>
    </w:p>
    <w:tbl>
      <w:tblPr>
        <w:tblW w:w="80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5720"/>
        <w:gridCol w:w="1900"/>
      </w:tblGrid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№</w:t>
            </w:r>
          </w:p>
        </w:tc>
        <w:tc>
          <w:tcPr>
            <w:tcW w:w="5720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Пазарен сегмент</w:t>
            </w:r>
          </w:p>
        </w:tc>
        <w:tc>
          <w:tcPr>
            <w:tcW w:w="1900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Брой лотове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>Основен пазар BSE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128 585 114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a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Premium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16 444 474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b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Standard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39 896 542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c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борсово търгувани продукти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1 774 358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d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8 509 817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e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3 822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f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компенсаторни инструменти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5 200 863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g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облигации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12 817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h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права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11 525 001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i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45 217 420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 xml:space="preserve">Алтернативен пазар </w:t>
            </w:r>
            <w:proofErr w:type="spellStart"/>
            <w:r w:rsidRPr="00A13CEF">
              <w:rPr>
                <w:rFonts w:cstheme="minorHAnsi"/>
                <w:b/>
                <w:bCs/>
                <w:i/>
                <w:iCs/>
                <w:color w:val="000000"/>
                <w:szCs w:val="22"/>
              </w:rPr>
              <w:t>BaSE</w:t>
            </w:r>
            <w:proofErr w:type="spellEnd"/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8 140 381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a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6 594 967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2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b</w:t>
            </w:r>
          </w:p>
        </w:tc>
        <w:tc>
          <w:tcPr>
            <w:tcW w:w="572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900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6E6027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1 545 414</w:t>
            </w:r>
          </w:p>
        </w:tc>
      </w:tr>
    </w:tbl>
    <w:p w:rsidR="009A3F7B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2A6963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lastRenderedPageBreak/>
        <w:t>Таблица 4. Търговия по видове ценни книжа на регулиран пазар</w:t>
      </w:r>
    </w:p>
    <w:tbl>
      <w:tblPr>
        <w:tblW w:w="91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77"/>
        <w:gridCol w:w="1505"/>
        <w:gridCol w:w="1701"/>
        <w:gridCol w:w="1559"/>
      </w:tblGrid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Cs w:val="22"/>
              </w:rPr>
            </w:pPr>
            <w:r w:rsidRPr="00A13CEF">
              <w:rPr>
                <w:rFonts w:cstheme="minorHAnsi"/>
                <w:b/>
                <w:bCs/>
                <w:color w:val="FFFFFF"/>
                <w:szCs w:val="22"/>
              </w:rPr>
              <w:t>Пазар / Пазарен сегмент</w:t>
            </w:r>
          </w:p>
        </w:tc>
        <w:tc>
          <w:tcPr>
            <w:tcW w:w="1505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Cs w:val="22"/>
              </w:rPr>
            </w:pPr>
            <w:r w:rsidRPr="00A13CEF">
              <w:rPr>
                <w:rFonts w:cstheme="minorHAnsi"/>
                <w:b/>
                <w:bCs/>
                <w:color w:val="FFFFFF"/>
                <w:szCs w:val="22"/>
              </w:rPr>
              <w:t>H1 '17</w:t>
            </w:r>
          </w:p>
        </w:tc>
        <w:tc>
          <w:tcPr>
            <w:tcW w:w="1701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Cs w:val="22"/>
              </w:rPr>
            </w:pPr>
            <w:r w:rsidRPr="00A13CEF">
              <w:rPr>
                <w:rFonts w:cstheme="minorHAnsi"/>
                <w:b/>
                <w:bCs/>
                <w:color w:val="FFFFFF"/>
                <w:szCs w:val="22"/>
              </w:rPr>
              <w:t>H1 '18</w:t>
            </w:r>
          </w:p>
        </w:tc>
        <w:tc>
          <w:tcPr>
            <w:tcW w:w="1559" w:type="dxa"/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Cs w:val="22"/>
              </w:rPr>
            </w:pPr>
            <w:r w:rsidRPr="00A13CEF">
              <w:rPr>
                <w:rFonts w:cstheme="minorHAnsi"/>
                <w:b/>
                <w:bCs/>
                <w:color w:val="FFFFFF"/>
                <w:szCs w:val="22"/>
              </w:rPr>
              <w:t>промяна 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Оборот (BGN)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219 695 442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274 765 660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25.07%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Акции (без АДСИЦ)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159 635 748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151 213 735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-5.28%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Акции на АДСИЦ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35 493 343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18 674 635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-47.39%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Облигации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20 947 188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15 564 376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-25.70%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Борсово търгувани продукти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1 464 459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1 356 546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-7.37%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4 064 668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N/A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Компенсаторни инструменти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2 106 227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2 363 662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12.22%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Други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48 476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81 528 038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168 081.57%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Обем ФИ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122 868 682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136 725 495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11.28%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Акции (без АДСИЦ)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64 601 098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62 935 983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-2.58%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Акции на АДСИЦ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14 070 828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10 055 231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-28.54%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Облигации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15 724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12 817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-18.49%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Борсово търгувани продукти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3 928 305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1 774 358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-54.83%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3 822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N/A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Компенсаторни инструменти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7 490 930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5 200 863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-30.57%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Други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32 761 797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56 742 421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73.20%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 xml:space="preserve">Брой сделки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39 976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28 790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-27.98%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Акции (без АДСИЦ)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33 465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22 188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-33.70%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Акции на АДСИЦ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4 611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3 266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-29.17%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Облигации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86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170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97.67%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Борсово търгувани продукти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790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602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-23.80%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N/A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Компенсаторни инструменти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982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848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-13.65%</w:t>
            </w:r>
          </w:p>
        </w:tc>
      </w:tr>
      <w:tr w:rsidR="00E56451" w:rsidRPr="00A13CEF" w:rsidTr="00E56451">
        <w:trPr>
          <w:trHeight w:val="170"/>
          <w:jc w:val="center"/>
        </w:trPr>
        <w:tc>
          <w:tcPr>
            <w:tcW w:w="4377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Други </w:t>
            </w:r>
          </w:p>
        </w:tc>
        <w:tc>
          <w:tcPr>
            <w:tcW w:w="150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42</w:t>
            </w:r>
          </w:p>
        </w:tc>
        <w:tc>
          <w:tcPr>
            <w:tcW w:w="1701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1 710</w:t>
            </w:r>
          </w:p>
        </w:tc>
        <w:tc>
          <w:tcPr>
            <w:tcW w:w="1559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E56451" w:rsidRPr="00A13CEF" w:rsidRDefault="00E56451" w:rsidP="00E56451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3 971.43%</w:t>
            </w:r>
          </w:p>
        </w:tc>
      </w:tr>
    </w:tbl>
    <w:p w:rsidR="000602B5" w:rsidRPr="00A13CEF" w:rsidRDefault="000602B5" w:rsidP="000602B5">
      <w:pPr>
        <w:spacing w:line="240" w:lineRule="auto"/>
        <w:rPr>
          <w:rFonts w:cstheme="minorHAnsi"/>
        </w:rPr>
      </w:pPr>
    </w:p>
    <w:tbl>
      <w:tblPr>
        <w:tblStyle w:val="TableGrid"/>
        <w:tblW w:w="954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15"/>
        <w:gridCol w:w="32"/>
      </w:tblGrid>
      <w:tr w:rsidR="000602B5" w:rsidRPr="00A13CEF" w:rsidTr="006E6027">
        <w:trPr>
          <w:gridAfter w:val="1"/>
          <w:wAfter w:w="32" w:type="dxa"/>
          <w:jc w:val="center"/>
        </w:trPr>
        <w:tc>
          <w:tcPr>
            <w:tcW w:w="9515" w:type="dxa"/>
          </w:tcPr>
          <w:p w:rsidR="000602B5" w:rsidRPr="00A13CEF" w:rsidRDefault="000602B5" w:rsidP="006E6027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Графика 3: Десетте дружества с най-висок оборот през отчетното шестмесечие</w:t>
            </w:r>
          </w:p>
        </w:tc>
      </w:tr>
      <w:tr w:rsidR="000602B5" w:rsidRPr="00A13CEF" w:rsidTr="000602B5">
        <w:tblPrEx>
          <w:tblCellMar>
            <w:left w:w="70" w:type="dxa"/>
            <w:right w:w="70" w:type="dxa"/>
          </w:tblCellMar>
        </w:tblPrEx>
        <w:trPr>
          <w:trHeight w:hRule="exact" w:val="5041"/>
          <w:jc w:val="center"/>
        </w:trPr>
        <w:tc>
          <w:tcPr>
            <w:tcW w:w="9547" w:type="dxa"/>
            <w:gridSpan w:val="2"/>
            <w:shd w:val="clear" w:color="auto" w:fill="FFFFFF" w:themeFill="background1"/>
          </w:tcPr>
          <w:p w:rsidR="000602B5" w:rsidRPr="00A13CEF" w:rsidRDefault="000602B5" w:rsidP="006E6027">
            <w:pPr>
              <w:rPr>
                <w:rFonts w:cstheme="minorHAnsi"/>
                <w:sz w:val="12"/>
                <w:szCs w:val="12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08B4E496" wp14:editId="1EB1F36F">
                  <wp:extent cx="5949950" cy="3149600"/>
                  <wp:effectExtent l="0" t="0" r="0" b="0"/>
                  <wp:docPr id="11" name="Chart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2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</w:tr>
    </w:tbl>
    <w:p w:rsidR="009A3F7B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316218" w:rsidRPr="00A13CEF" w:rsidRDefault="000432F0" w:rsidP="001A50AB">
      <w:pPr>
        <w:pStyle w:val="SubNumbers"/>
        <w:rPr>
          <w:rFonts w:cstheme="minorHAnsi"/>
        </w:rPr>
      </w:pPr>
      <w:bookmarkStart w:id="14" w:name="_Toc520473865"/>
      <w:r w:rsidRPr="00A13CEF">
        <w:rPr>
          <w:rFonts w:cstheme="minorHAnsi"/>
        </w:rPr>
        <w:lastRenderedPageBreak/>
        <w:t>Отраслова структура на търговията</w:t>
      </w:r>
      <w:bookmarkEnd w:id="11"/>
      <w:bookmarkEnd w:id="14"/>
    </w:p>
    <w:p w:rsidR="004E7FB1" w:rsidRPr="00A13CEF" w:rsidRDefault="007756A8" w:rsidP="001A50AB">
      <w:pPr>
        <w:rPr>
          <w:rFonts w:cstheme="minorHAnsi"/>
          <w:szCs w:val="22"/>
        </w:rPr>
      </w:pPr>
      <w:r w:rsidRPr="00A13CEF">
        <w:rPr>
          <w:rFonts w:cstheme="minorHAnsi"/>
        </w:rPr>
        <w:t xml:space="preserve">През </w:t>
      </w:r>
      <w:r w:rsidR="00711092" w:rsidRPr="00A13CEF">
        <w:rPr>
          <w:rFonts w:cstheme="minorHAnsi"/>
        </w:rPr>
        <w:t xml:space="preserve">първото </w:t>
      </w:r>
      <w:r w:rsidR="0024544F" w:rsidRPr="00A13CEF">
        <w:rPr>
          <w:rFonts w:cstheme="minorHAnsi"/>
        </w:rPr>
        <w:t>шестмесечие</w:t>
      </w:r>
      <w:r w:rsidR="00711092" w:rsidRPr="00A13CEF">
        <w:rPr>
          <w:rFonts w:cstheme="minorHAnsi"/>
        </w:rPr>
        <w:t xml:space="preserve"> на 201</w:t>
      </w:r>
      <w:r w:rsidR="000602B5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година </w:t>
      </w:r>
      <w:r w:rsidR="00E4538A" w:rsidRPr="00A13CEF">
        <w:rPr>
          <w:rFonts w:cstheme="minorHAnsi"/>
        </w:rPr>
        <w:t xml:space="preserve">за пореден път секторът „Финансови и застрахователни дейности“ </w:t>
      </w:r>
      <w:r w:rsidR="004F775A" w:rsidRPr="00A13CEF">
        <w:rPr>
          <w:rFonts w:cstheme="minorHAnsi"/>
        </w:rPr>
        <w:t>б</w:t>
      </w:r>
      <w:r w:rsidR="00E4538A" w:rsidRPr="00A13CEF">
        <w:rPr>
          <w:rFonts w:cstheme="minorHAnsi"/>
        </w:rPr>
        <w:t xml:space="preserve">е на първо място в класацията </w:t>
      </w:r>
      <w:r w:rsidR="00185525" w:rsidRPr="00A13CEF">
        <w:rPr>
          <w:rFonts w:cstheme="minorHAnsi"/>
        </w:rPr>
        <w:t>по</w:t>
      </w:r>
      <w:r w:rsidR="00E4538A" w:rsidRPr="00A13CEF">
        <w:rPr>
          <w:rFonts w:cstheme="minorHAnsi"/>
        </w:rPr>
        <w:t xml:space="preserve"> оборот</w:t>
      </w:r>
      <w:r w:rsidR="00185525" w:rsidRPr="00A13CEF">
        <w:rPr>
          <w:rFonts w:cstheme="minorHAnsi"/>
        </w:rPr>
        <w:t xml:space="preserve"> с</w:t>
      </w:r>
      <w:r w:rsidR="00E4538A" w:rsidRPr="00A13CEF">
        <w:rPr>
          <w:rFonts w:cstheme="minorHAnsi"/>
        </w:rPr>
        <w:t xml:space="preserve"> </w:t>
      </w:r>
      <w:r w:rsidR="000602B5" w:rsidRPr="00A13CEF">
        <w:rPr>
          <w:rFonts w:cstheme="minorHAnsi"/>
        </w:rPr>
        <w:t>100</w:t>
      </w:r>
      <w:r w:rsidR="007B25CE" w:rsidRPr="00A13CEF">
        <w:rPr>
          <w:rFonts w:cstheme="minorHAnsi"/>
        </w:rPr>
        <w:t>,</w:t>
      </w:r>
      <w:r w:rsidR="000602B5" w:rsidRPr="00A13CEF">
        <w:rPr>
          <w:rFonts w:cstheme="minorHAnsi"/>
        </w:rPr>
        <w:t>48</w:t>
      </w:r>
      <w:r w:rsidR="00E4538A" w:rsidRPr="00A13CEF">
        <w:rPr>
          <w:rFonts w:cstheme="minorHAnsi"/>
        </w:rPr>
        <w:t xml:space="preserve"> млн. лв</w:t>
      </w:r>
      <w:r w:rsidR="000602B5" w:rsidRPr="00A13CEF">
        <w:rPr>
          <w:rFonts w:cstheme="minorHAnsi"/>
        </w:rPr>
        <w:t>. (</w:t>
      </w:r>
      <w:r w:rsidR="000602B5" w:rsidRPr="00A13CEF">
        <w:rPr>
          <w:rFonts w:cstheme="minorHAnsi"/>
          <w:lang w:val="en-US"/>
        </w:rPr>
        <w:t xml:space="preserve">H1’17: </w:t>
      </w:r>
      <w:r w:rsidR="000602B5" w:rsidRPr="00A13CEF">
        <w:rPr>
          <w:rFonts w:cstheme="minorHAnsi"/>
        </w:rPr>
        <w:t>111,8 млн. лв.)</w:t>
      </w:r>
      <w:r w:rsidR="0024544F" w:rsidRPr="00A13CEF">
        <w:rPr>
          <w:rFonts w:cstheme="minorHAnsi"/>
        </w:rPr>
        <w:t xml:space="preserve"> Финансовите дейности традиционно формират най-голямата част от оборота на Борсата</w:t>
      </w:r>
      <w:r w:rsidR="0024544F" w:rsidRPr="00A13CEF">
        <w:rPr>
          <w:rFonts w:cstheme="minorHAnsi"/>
          <w:szCs w:val="22"/>
        </w:rPr>
        <w:t xml:space="preserve">. Както се вижда от </w:t>
      </w:r>
      <w:r w:rsidR="00E43C77" w:rsidRPr="00A13CEF">
        <w:rPr>
          <w:rFonts w:cstheme="minorHAnsi"/>
          <w:szCs w:val="22"/>
        </w:rPr>
        <w:t>следващата таблица</w:t>
      </w:r>
      <w:r w:rsidR="0024544F" w:rsidRPr="00A13CEF">
        <w:rPr>
          <w:rFonts w:cstheme="minorHAnsi"/>
          <w:szCs w:val="22"/>
        </w:rPr>
        <w:t>, оборотът на сектора надхвърля общия на всички останали</w:t>
      </w:r>
      <w:r w:rsidR="00E4538A" w:rsidRPr="00A13CEF">
        <w:rPr>
          <w:rFonts w:cstheme="minorHAnsi"/>
          <w:szCs w:val="22"/>
        </w:rPr>
        <w:t xml:space="preserve"> </w:t>
      </w:r>
      <w:r w:rsidR="0024544F" w:rsidRPr="00A13CEF">
        <w:rPr>
          <w:rFonts w:cstheme="minorHAnsi"/>
          <w:szCs w:val="22"/>
        </w:rPr>
        <w:t xml:space="preserve">браншове и формира </w:t>
      </w:r>
      <w:r w:rsidR="000602B5" w:rsidRPr="00A13CEF">
        <w:rPr>
          <w:rFonts w:cstheme="minorHAnsi"/>
          <w:szCs w:val="22"/>
        </w:rPr>
        <w:t xml:space="preserve">59% </w:t>
      </w:r>
      <w:r w:rsidR="000602B5" w:rsidRPr="00A13CEF">
        <w:rPr>
          <w:rFonts w:cstheme="minorHAnsi"/>
          <w:szCs w:val="22"/>
          <w:lang w:val="en-US"/>
        </w:rPr>
        <w:t>(</w:t>
      </w:r>
      <w:r w:rsidR="000602B5" w:rsidRPr="00A13CEF">
        <w:rPr>
          <w:rFonts w:cstheme="minorHAnsi"/>
          <w:lang w:val="en-US"/>
        </w:rPr>
        <w:t>H1’17</w:t>
      </w:r>
      <w:r w:rsidR="000602B5" w:rsidRPr="00A13CEF">
        <w:rPr>
          <w:rFonts w:cstheme="minorHAnsi"/>
        </w:rPr>
        <w:t xml:space="preserve">: </w:t>
      </w:r>
      <w:r w:rsidR="00E71533" w:rsidRPr="00A13CEF">
        <w:rPr>
          <w:rFonts w:cstheme="minorHAnsi"/>
          <w:szCs w:val="22"/>
        </w:rPr>
        <w:t>57</w:t>
      </w:r>
      <w:r w:rsidR="0024544F" w:rsidRPr="00A13CEF">
        <w:rPr>
          <w:rFonts w:cstheme="minorHAnsi"/>
          <w:szCs w:val="22"/>
        </w:rPr>
        <w:t>%</w:t>
      </w:r>
      <w:r w:rsidR="000602B5" w:rsidRPr="00A13CEF">
        <w:rPr>
          <w:rFonts w:cstheme="minorHAnsi"/>
          <w:szCs w:val="22"/>
        </w:rPr>
        <w:t>)</w:t>
      </w:r>
      <w:r w:rsidR="0024544F" w:rsidRPr="00A13CEF">
        <w:rPr>
          <w:rFonts w:cstheme="minorHAnsi"/>
          <w:szCs w:val="22"/>
        </w:rPr>
        <w:t xml:space="preserve"> от общия оборот</w:t>
      </w:r>
      <w:r w:rsidR="00824B28" w:rsidRPr="00A13CEF">
        <w:rPr>
          <w:rFonts w:cstheme="minorHAnsi"/>
          <w:szCs w:val="22"/>
        </w:rPr>
        <w:t xml:space="preserve"> за полугодието. </w:t>
      </w:r>
      <w:r w:rsidR="00E71533" w:rsidRPr="00A13CEF">
        <w:rPr>
          <w:rFonts w:cstheme="minorHAnsi"/>
          <w:szCs w:val="22"/>
        </w:rPr>
        <w:t xml:space="preserve">Това прави оборотът и капитализацията на Борсата особено чувствителни към сътресения и лоши новини, свързани с банковия и застрахователния сектори. </w:t>
      </w:r>
      <w:r w:rsidR="00537AF6" w:rsidRPr="00A13CEF">
        <w:rPr>
          <w:rFonts w:cstheme="minorHAnsi"/>
          <w:szCs w:val="22"/>
        </w:rPr>
        <w:t>Сектор „Преработваща промишленост“ запаз</w:t>
      </w:r>
      <w:r w:rsidR="007B25CE" w:rsidRPr="00A13CEF">
        <w:rPr>
          <w:rFonts w:cstheme="minorHAnsi"/>
          <w:szCs w:val="22"/>
        </w:rPr>
        <w:t xml:space="preserve">и второто си място с оборот от </w:t>
      </w:r>
      <w:r w:rsidR="000602B5" w:rsidRPr="00A13CEF">
        <w:rPr>
          <w:rFonts w:cstheme="minorHAnsi"/>
          <w:szCs w:val="22"/>
        </w:rPr>
        <w:t>28 млн. лв. (</w:t>
      </w:r>
      <w:r w:rsidR="000602B5" w:rsidRPr="00A13CEF">
        <w:rPr>
          <w:rFonts w:cstheme="minorHAnsi"/>
          <w:lang w:val="en-US"/>
        </w:rPr>
        <w:t>H1’17</w:t>
      </w:r>
      <w:r w:rsidR="000602B5" w:rsidRPr="00A13CEF">
        <w:rPr>
          <w:rFonts w:cstheme="minorHAnsi"/>
        </w:rPr>
        <w:t xml:space="preserve">: </w:t>
      </w:r>
      <w:r w:rsidR="00E71533" w:rsidRPr="00A13CEF">
        <w:rPr>
          <w:rFonts w:cstheme="minorHAnsi"/>
          <w:szCs w:val="22"/>
        </w:rPr>
        <w:t>37</w:t>
      </w:r>
      <w:r w:rsidR="007B25CE" w:rsidRPr="00A13CEF">
        <w:rPr>
          <w:rFonts w:cstheme="minorHAnsi"/>
          <w:szCs w:val="22"/>
        </w:rPr>
        <w:t>,</w:t>
      </w:r>
      <w:r w:rsidR="00E71533" w:rsidRPr="00A13CEF">
        <w:rPr>
          <w:rFonts w:cstheme="minorHAnsi"/>
          <w:szCs w:val="22"/>
        </w:rPr>
        <w:t>8</w:t>
      </w:r>
      <w:r w:rsidR="00824B28" w:rsidRPr="00A13CEF">
        <w:rPr>
          <w:rFonts w:cstheme="minorHAnsi"/>
          <w:szCs w:val="22"/>
        </w:rPr>
        <w:t xml:space="preserve"> </w:t>
      </w:r>
      <w:r w:rsidR="00537AF6" w:rsidRPr="00A13CEF">
        <w:rPr>
          <w:rFonts w:cstheme="minorHAnsi"/>
          <w:szCs w:val="22"/>
        </w:rPr>
        <w:t>млн. лв.</w:t>
      </w:r>
      <w:r w:rsidR="000602B5" w:rsidRPr="00A13CEF">
        <w:rPr>
          <w:rFonts w:cstheme="minorHAnsi"/>
          <w:szCs w:val="22"/>
        </w:rPr>
        <w:t>) и 16,5% от общия оборот</w:t>
      </w:r>
      <w:r w:rsidR="00824B28" w:rsidRPr="00A13CEF">
        <w:rPr>
          <w:rFonts w:cstheme="minorHAnsi"/>
          <w:szCs w:val="22"/>
        </w:rPr>
        <w:t xml:space="preserve">, а на </w:t>
      </w:r>
      <w:r w:rsidR="00537AF6" w:rsidRPr="00A13CEF">
        <w:rPr>
          <w:rFonts w:cstheme="minorHAnsi"/>
          <w:szCs w:val="22"/>
        </w:rPr>
        <w:t>трето място</w:t>
      </w:r>
      <w:r w:rsidR="000602B5" w:rsidRPr="00A13CEF">
        <w:rPr>
          <w:rFonts w:cstheme="minorHAnsi"/>
          <w:szCs w:val="22"/>
        </w:rPr>
        <w:t>, както и през първ</w:t>
      </w:r>
      <w:r w:rsidR="004D1FE8" w:rsidRPr="00A13CEF">
        <w:rPr>
          <w:rFonts w:cstheme="minorHAnsi"/>
          <w:szCs w:val="22"/>
        </w:rPr>
        <w:t>ата</w:t>
      </w:r>
      <w:r w:rsidR="000602B5" w:rsidRPr="00A13CEF">
        <w:rPr>
          <w:rFonts w:cstheme="minorHAnsi"/>
          <w:szCs w:val="22"/>
        </w:rPr>
        <w:t xml:space="preserve"> </w:t>
      </w:r>
      <w:r w:rsidR="004D1FE8" w:rsidRPr="00A13CEF">
        <w:rPr>
          <w:rFonts w:cstheme="minorHAnsi"/>
          <w:szCs w:val="22"/>
        </w:rPr>
        <w:t>половина</w:t>
      </w:r>
      <w:r w:rsidR="000602B5" w:rsidRPr="00A13CEF">
        <w:rPr>
          <w:rFonts w:cstheme="minorHAnsi"/>
          <w:szCs w:val="22"/>
        </w:rPr>
        <w:t xml:space="preserve"> на 2017 година,</w:t>
      </w:r>
      <w:r w:rsidR="00537AF6" w:rsidRPr="00A13CEF">
        <w:rPr>
          <w:rFonts w:cstheme="minorHAnsi"/>
          <w:szCs w:val="22"/>
        </w:rPr>
        <w:t xml:space="preserve"> в класацията беше сек</w:t>
      </w:r>
      <w:r w:rsidR="007B25CE" w:rsidRPr="00A13CEF">
        <w:rPr>
          <w:rFonts w:cstheme="minorHAnsi"/>
          <w:szCs w:val="22"/>
        </w:rPr>
        <w:t xml:space="preserve">тор </w:t>
      </w:r>
      <w:r w:rsidR="00711092" w:rsidRPr="00A13CEF">
        <w:rPr>
          <w:rFonts w:cstheme="minorHAnsi"/>
          <w:szCs w:val="22"/>
        </w:rPr>
        <w:t xml:space="preserve">„Операции с недвижими имоти“ с оборот от </w:t>
      </w:r>
      <w:r w:rsidR="000602B5" w:rsidRPr="00A13CEF">
        <w:rPr>
          <w:rFonts w:cstheme="minorHAnsi"/>
          <w:szCs w:val="22"/>
        </w:rPr>
        <w:t>22 млн. лв. (</w:t>
      </w:r>
      <w:r w:rsidR="000602B5" w:rsidRPr="00A13CEF">
        <w:rPr>
          <w:rFonts w:cstheme="minorHAnsi"/>
          <w:lang w:val="en-US"/>
        </w:rPr>
        <w:t>H1’17</w:t>
      </w:r>
      <w:r w:rsidR="000602B5" w:rsidRPr="00A13CEF">
        <w:rPr>
          <w:rFonts w:cstheme="minorHAnsi"/>
        </w:rPr>
        <w:t xml:space="preserve">: </w:t>
      </w:r>
      <w:r w:rsidR="00E71533" w:rsidRPr="00A13CEF">
        <w:rPr>
          <w:rFonts w:cstheme="minorHAnsi"/>
          <w:szCs w:val="22"/>
        </w:rPr>
        <w:t>13</w:t>
      </w:r>
      <w:r w:rsidR="00711092" w:rsidRPr="00A13CEF">
        <w:rPr>
          <w:rFonts w:cstheme="minorHAnsi"/>
          <w:szCs w:val="22"/>
        </w:rPr>
        <w:t>,</w:t>
      </w:r>
      <w:r w:rsidR="00E71533" w:rsidRPr="00A13CEF">
        <w:rPr>
          <w:rFonts w:cstheme="minorHAnsi"/>
          <w:szCs w:val="22"/>
        </w:rPr>
        <w:t>57</w:t>
      </w:r>
      <w:r w:rsidR="00711092" w:rsidRPr="00A13CEF">
        <w:rPr>
          <w:rFonts w:cstheme="minorHAnsi"/>
          <w:szCs w:val="22"/>
        </w:rPr>
        <w:t xml:space="preserve"> млн. лв.</w:t>
      </w:r>
      <w:r w:rsidR="000602B5" w:rsidRPr="00A13CEF">
        <w:rPr>
          <w:rFonts w:cstheme="minorHAnsi"/>
          <w:szCs w:val="22"/>
        </w:rPr>
        <w:t>) и 13% от общия оборот.</w:t>
      </w:r>
      <w:r w:rsidR="00824B28" w:rsidRPr="00A13CEF">
        <w:rPr>
          <w:rFonts w:cstheme="minorHAnsi"/>
          <w:szCs w:val="22"/>
        </w:rPr>
        <w:t xml:space="preserve"> </w:t>
      </w:r>
      <w:r w:rsidR="00E43C77" w:rsidRPr="00A13CEF">
        <w:rPr>
          <w:rFonts w:cstheme="minorHAnsi"/>
          <w:szCs w:val="22"/>
        </w:rPr>
        <w:t>Т</w:t>
      </w:r>
      <w:r w:rsidR="00824B28" w:rsidRPr="00A13CEF">
        <w:rPr>
          <w:rFonts w:cstheme="minorHAnsi"/>
          <w:szCs w:val="22"/>
        </w:rPr>
        <w:t>ази структура се запазва устойчива и рядко друг сектор влиза в топ три, което обикновено се дължи на ефект от еднократни големи сделки</w:t>
      </w:r>
      <w:r w:rsidR="00304BDD" w:rsidRPr="00A13CEF">
        <w:rPr>
          <w:rFonts w:cstheme="minorHAnsi"/>
          <w:szCs w:val="22"/>
        </w:rPr>
        <w:t>.</w:t>
      </w:r>
    </w:p>
    <w:p w:rsidR="00767FDB" w:rsidRPr="00A13CEF" w:rsidRDefault="00767FDB" w:rsidP="001A50AB">
      <w:pPr>
        <w:rPr>
          <w:rFonts w:cstheme="minorHAnsi"/>
        </w:rPr>
      </w:pPr>
    </w:p>
    <w:p w:rsidR="00E62ABA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t xml:space="preserve">Таблица 5. Структура на търговията </w:t>
      </w:r>
      <w:r w:rsidR="00595F0B" w:rsidRPr="00A13CEF">
        <w:rPr>
          <w:rFonts w:cstheme="minorHAnsi"/>
        </w:rPr>
        <w:t>в</w:t>
      </w:r>
      <w:r w:rsidRPr="00A13CEF">
        <w:rPr>
          <w:rFonts w:cstheme="minorHAnsi"/>
        </w:rPr>
        <w:t xml:space="preserve"> 10-те водещи сектора през </w:t>
      </w:r>
      <w:r w:rsidR="00824B28" w:rsidRPr="00A13CEF">
        <w:rPr>
          <w:rFonts w:cstheme="minorHAnsi"/>
        </w:rPr>
        <w:t>първото шестмесечие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82"/>
        <w:gridCol w:w="1417"/>
        <w:gridCol w:w="1360"/>
        <w:gridCol w:w="1334"/>
      </w:tblGrid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000000" w:fill="538DD5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Сектор</w:t>
            </w:r>
          </w:p>
        </w:tc>
        <w:tc>
          <w:tcPr>
            <w:tcW w:w="1417" w:type="dxa"/>
            <w:shd w:val="clear" w:color="000000" w:fill="538DD5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Брой сделки</w:t>
            </w:r>
          </w:p>
        </w:tc>
        <w:tc>
          <w:tcPr>
            <w:tcW w:w="1360" w:type="dxa"/>
            <w:shd w:val="clear" w:color="000000" w:fill="538DD5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Изтъргувани лотове</w:t>
            </w:r>
          </w:p>
        </w:tc>
        <w:tc>
          <w:tcPr>
            <w:tcW w:w="1334" w:type="dxa"/>
            <w:shd w:val="clear" w:color="000000" w:fill="538DD5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Оборот (лв.)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Финансови и застрахователни дейности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15 273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52 448 345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100 484 556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Преработваща промишленост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5 633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5 830 543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28 032 118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Операции с недвижими имоти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404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4 970 984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22 015 779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Създаване и разпространение на информация и творчески продукти; далекосъобщения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644 622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6 107 642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Строителство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654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4 184 155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3 819 784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Професионални дейности и научни изследвания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1 179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2 236 546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2 806 825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Производство и разпределение на електрическа и топлинна енергия и на газообразни горива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349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33 741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2 437 929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Търговия; ремонт на автомобили и мотоциклети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1 111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1 774 295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1 635 409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Хотелиерство и ресторантьорство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501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30 828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1 099 270</w:t>
            </w:r>
          </w:p>
        </w:tc>
      </w:tr>
      <w:tr w:rsidR="00E62ABA" w:rsidRPr="00A13CEF" w:rsidTr="004E34D8">
        <w:trPr>
          <w:trHeight w:val="170"/>
          <w:jc w:val="center"/>
        </w:trPr>
        <w:tc>
          <w:tcPr>
            <w:tcW w:w="5382" w:type="dxa"/>
            <w:shd w:val="clear" w:color="auto" w:fill="auto"/>
            <w:noWrap/>
            <w:tcMar>
              <w:left w:w="57" w:type="dxa"/>
              <w:right w:w="28" w:type="dxa"/>
            </w:tcMar>
            <w:hideMark/>
          </w:tcPr>
          <w:p w:rsidR="00E62ABA" w:rsidRPr="00A13CEF" w:rsidRDefault="00E62ABA" w:rsidP="00972D8A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Транспорт, складиране и пощи</w:t>
            </w:r>
          </w:p>
        </w:tc>
        <w:tc>
          <w:tcPr>
            <w:tcW w:w="1417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1360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758 615</w:t>
            </w:r>
          </w:p>
        </w:tc>
        <w:tc>
          <w:tcPr>
            <w:tcW w:w="1334" w:type="dxa"/>
            <w:shd w:val="clear" w:color="auto" w:fill="auto"/>
            <w:noWrap/>
            <w:tcMar>
              <w:left w:w="57" w:type="dxa"/>
              <w:right w:w="28" w:type="dxa"/>
            </w:tcMar>
            <w:vAlign w:val="bottom"/>
            <w:hideMark/>
          </w:tcPr>
          <w:p w:rsidR="00E62ABA" w:rsidRPr="00A13CEF" w:rsidRDefault="00E62ABA" w:rsidP="00E62ABA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873 131</w:t>
            </w:r>
          </w:p>
        </w:tc>
      </w:tr>
    </w:tbl>
    <w:tbl>
      <w:tblPr>
        <w:tblStyle w:val="TableGrid"/>
        <w:tblW w:w="104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80"/>
      </w:tblGrid>
      <w:tr w:rsidR="00994D7C" w:rsidRPr="00A13CEF" w:rsidTr="004B518A">
        <w:trPr>
          <w:jc w:val="center"/>
        </w:trPr>
        <w:tc>
          <w:tcPr>
            <w:tcW w:w="10480" w:type="dxa"/>
          </w:tcPr>
          <w:p w:rsidR="00994D7C" w:rsidRPr="00A13CEF" w:rsidRDefault="00994D7C" w:rsidP="004E34D8">
            <w:pPr>
              <w:spacing w:before="240"/>
              <w:rPr>
                <w:rFonts w:cstheme="minorHAnsi"/>
              </w:rPr>
            </w:pPr>
            <w:bookmarkStart w:id="15" w:name="_Toc283112102"/>
            <w:r w:rsidRPr="00A13CEF">
              <w:rPr>
                <w:rFonts w:cstheme="minorHAnsi"/>
              </w:rPr>
              <w:t>График</w:t>
            </w:r>
            <w:r w:rsidR="00B577CD" w:rsidRPr="00A13CEF">
              <w:rPr>
                <w:rFonts w:cstheme="minorHAnsi"/>
              </w:rPr>
              <w:t xml:space="preserve">а 4: Разпределение на оборота </w:t>
            </w:r>
            <w:r w:rsidRPr="00A13CEF">
              <w:rPr>
                <w:rFonts w:cstheme="minorHAnsi"/>
              </w:rPr>
              <w:t xml:space="preserve">през отчетното </w:t>
            </w:r>
            <w:r w:rsidR="005717BA" w:rsidRPr="00A13CEF">
              <w:rPr>
                <w:rFonts w:cstheme="minorHAnsi"/>
              </w:rPr>
              <w:t>шест</w:t>
            </w:r>
            <w:r w:rsidRPr="00A13CEF">
              <w:rPr>
                <w:rFonts w:cstheme="minorHAnsi"/>
              </w:rPr>
              <w:t>месечие</w:t>
            </w:r>
            <w:r w:rsidR="00B577CD" w:rsidRPr="00A13CEF">
              <w:rPr>
                <w:rFonts w:cstheme="minorHAnsi"/>
              </w:rPr>
              <w:t xml:space="preserve"> по сектори</w:t>
            </w:r>
          </w:p>
        </w:tc>
      </w:tr>
      <w:tr w:rsidR="00994D7C" w:rsidRPr="00A13CEF" w:rsidTr="004E34D8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480" w:type="dxa"/>
          </w:tcPr>
          <w:p w:rsidR="00994D7C" w:rsidRPr="00A13CEF" w:rsidRDefault="004E34D8" w:rsidP="001A50AB">
            <w:pPr>
              <w:rPr>
                <w:rFonts w:cstheme="minorHAnsi"/>
                <w:sz w:val="12"/>
                <w:szCs w:val="12"/>
                <w:highlight w:val="green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660F4653" wp14:editId="79C4B577">
                  <wp:extent cx="6120130" cy="2811145"/>
                  <wp:effectExtent l="0" t="0" r="0" b="0"/>
                  <wp:docPr id="12" name="Chart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</w:tc>
      </w:tr>
    </w:tbl>
    <w:p w:rsidR="00772A63" w:rsidRPr="00A13CEF" w:rsidRDefault="00656AAC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4B006C" w:rsidRPr="00A13CEF" w:rsidRDefault="00241ABE" w:rsidP="001A50AB">
      <w:pPr>
        <w:pStyle w:val="Mainnumbers"/>
        <w:rPr>
          <w:rFonts w:cstheme="minorHAnsi"/>
        </w:rPr>
      </w:pPr>
      <w:bookmarkStart w:id="16" w:name="_Toc520473866"/>
      <w:r w:rsidRPr="00A13CEF">
        <w:rPr>
          <w:rFonts w:cstheme="minorHAnsi"/>
        </w:rPr>
        <w:lastRenderedPageBreak/>
        <w:t>Регистрирани е</w:t>
      </w:r>
      <w:r w:rsidR="00266E75" w:rsidRPr="00A13CEF">
        <w:rPr>
          <w:rFonts w:cstheme="minorHAnsi"/>
        </w:rPr>
        <w:t xml:space="preserve">мисии </w:t>
      </w:r>
      <w:r w:rsidR="00D06C89" w:rsidRPr="00A13CEF">
        <w:rPr>
          <w:rFonts w:cstheme="minorHAnsi"/>
        </w:rPr>
        <w:t>финансови инструменти</w:t>
      </w:r>
      <w:r w:rsidRPr="00A13CEF">
        <w:rPr>
          <w:rFonts w:cstheme="minorHAnsi"/>
        </w:rPr>
        <w:t xml:space="preserve"> на </w:t>
      </w:r>
      <w:bookmarkEnd w:id="15"/>
      <w:r w:rsidR="00636F5A">
        <w:rPr>
          <w:rFonts w:cstheme="minorHAnsi"/>
        </w:rPr>
        <w:t>Българска фондова борса - София</w:t>
      </w:r>
      <w:bookmarkEnd w:id="16"/>
    </w:p>
    <w:p w:rsidR="009A3F7B" w:rsidRPr="00A13CEF" w:rsidRDefault="007756A8" w:rsidP="001A50AB">
      <w:pPr>
        <w:rPr>
          <w:rFonts w:cstheme="minorHAnsi"/>
        </w:rPr>
      </w:pPr>
      <w:r w:rsidRPr="00A13CEF">
        <w:rPr>
          <w:rFonts w:cstheme="minorHAnsi"/>
        </w:rPr>
        <w:t xml:space="preserve">Както се вижда от следващата таблица, броят на емисиите финансови инструменти, допуснати до търговия на пазарите на БФБ към </w:t>
      </w:r>
      <w:r w:rsidR="000C56C3" w:rsidRPr="00A13CEF">
        <w:rPr>
          <w:rFonts w:cstheme="minorHAnsi"/>
        </w:rPr>
        <w:t>31</w:t>
      </w:r>
      <w:r w:rsidRPr="00A13CEF">
        <w:rPr>
          <w:rFonts w:cstheme="minorHAnsi"/>
        </w:rPr>
        <w:t xml:space="preserve"> </w:t>
      </w:r>
      <w:r w:rsidR="000C56C3" w:rsidRPr="00A13CEF">
        <w:rPr>
          <w:rFonts w:cstheme="minorHAnsi"/>
        </w:rPr>
        <w:t xml:space="preserve">декември </w:t>
      </w:r>
      <w:r w:rsidRPr="00A13CEF">
        <w:rPr>
          <w:rFonts w:cstheme="minorHAnsi"/>
        </w:rPr>
        <w:t>201</w:t>
      </w:r>
      <w:r w:rsidR="00F2592C" w:rsidRPr="00A13CEF">
        <w:rPr>
          <w:rFonts w:cstheme="minorHAnsi"/>
        </w:rPr>
        <w:t>7</w:t>
      </w:r>
      <w:r w:rsidRPr="00A13CEF">
        <w:rPr>
          <w:rFonts w:cstheme="minorHAnsi"/>
        </w:rPr>
        <w:t xml:space="preserve"> г. бе</w:t>
      </w:r>
      <w:r w:rsidR="00DE7178" w:rsidRPr="00A13CEF">
        <w:rPr>
          <w:rFonts w:cstheme="minorHAnsi"/>
        </w:rPr>
        <w:t>ше</w:t>
      </w:r>
      <w:r w:rsidRPr="00A13CEF">
        <w:rPr>
          <w:rFonts w:cstheme="minorHAnsi"/>
        </w:rPr>
        <w:t xml:space="preserve"> </w:t>
      </w:r>
      <w:r w:rsidR="00F2592C" w:rsidRPr="00A13CEF">
        <w:rPr>
          <w:rFonts w:cstheme="minorHAnsi"/>
        </w:rPr>
        <w:t>368</w:t>
      </w:r>
      <w:r w:rsidRPr="00A13CEF">
        <w:rPr>
          <w:rFonts w:cstheme="minorHAnsi"/>
        </w:rPr>
        <w:t xml:space="preserve"> и се измени до </w:t>
      </w:r>
      <w:r w:rsidR="00F2592C" w:rsidRPr="00A13CEF">
        <w:rPr>
          <w:rFonts w:cstheme="minorHAnsi"/>
        </w:rPr>
        <w:t>335</w:t>
      </w:r>
      <w:r w:rsidR="000C56C3" w:rsidRPr="00A13CEF">
        <w:rPr>
          <w:rFonts w:cstheme="minorHAnsi"/>
        </w:rPr>
        <w:t xml:space="preserve"> </w:t>
      </w:r>
      <w:r w:rsidR="005B272E" w:rsidRPr="00A13CEF">
        <w:rPr>
          <w:rFonts w:cstheme="minorHAnsi"/>
        </w:rPr>
        <w:t xml:space="preserve">в края </w:t>
      </w:r>
      <w:r w:rsidRPr="00A13CEF">
        <w:rPr>
          <w:rFonts w:cstheme="minorHAnsi"/>
        </w:rPr>
        <w:t xml:space="preserve">на </w:t>
      </w:r>
      <w:r w:rsidR="004B518A" w:rsidRPr="00A13CEF">
        <w:rPr>
          <w:rFonts w:cstheme="minorHAnsi"/>
        </w:rPr>
        <w:t>шестмесечието</w:t>
      </w:r>
      <w:r w:rsidRPr="00A13CEF">
        <w:rPr>
          <w:rFonts w:cstheme="minorHAnsi"/>
        </w:rPr>
        <w:t xml:space="preserve">. </w:t>
      </w:r>
      <w:r w:rsidR="00687209" w:rsidRPr="00A13CEF">
        <w:rPr>
          <w:rFonts w:cstheme="minorHAnsi"/>
        </w:rPr>
        <w:t>Спадът в броя инструменти</w:t>
      </w:r>
      <w:r w:rsidR="005B272E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 xml:space="preserve">се дължи </w:t>
      </w:r>
      <w:r w:rsidR="00610CFD" w:rsidRPr="00A13CEF">
        <w:rPr>
          <w:rFonts w:cstheme="minorHAnsi"/>
        </w:rPr>
        <w:t xml:space="preserve">на </w:t>
      </w:r>
      <w:proofErr w:type="spellStart"/>
      <w:r w:rsidR="00F2592C" w:rsidRPr="00A13CEF">
        <w:rPr>
          <w:rFonts w:cstheme="minorHAnsi"/>
        </w:rPr>
        <w:t>де</w:t>
      </w:r>
      <w:r w:rsidR="00610CFD" w:rsidRPr="00A13CEF">
        <w:rPr>
          <w:rFonts w:cstheme="minorHAnsi"/>
        </w:rPr>
        <w:t>листвани</w:t>
      </w:r>
      <w:proofErr w:type="spellEnd"/>
      <w:r w:rsidR="00610CFD" w:rsidRPr="00A13CEF">
        <w:rPr>
          <w:rFonts w:cstheme="minorHAnsi"/>
        </w:rPr>
        <w:t xml:space="preserve"> емисии </w:t>
      </w:r>
      <w:r w:rsidR="00F2592C" w:rsidRPr="00A13CEF">
        <w:rPr>
          <w:rFonts w:cstheme="minorHAnsi"/>
        </w:rPr>
        <w:t xml:space="preserve">акции от Алтернативния пазар </w:t>
      </w:r>
      <w:r w:rsidR="00610CFD" w:rsidRPr="00A13CEF">
        <w:rPr>
          <w:rFonts w:cstheme="minorHAnsi"/>
        </w:rPr>
        <w:t xml:space="preserve">и </w:t>
      </w:r>
      <w:r w:rsidR="00F2592C" w:rsidRPr="00A13CEF">
        <w:rPr>
          <w:rFonts w:cstheme="minorHAnsi"/>
        </w:rPr>
        <w:t xml:space="preserve">нови </w:t>
      </w:r>
      <w:proofErr w:type="spellStart"/>
      <w:r w:rsidR="00F2592C" w:rsidRPr="00A13CEF">
        <w:rPr>
          <w:rFonts w:cstheme="minorHAnsi"/>
        </w:rPr>
        <w:t>листвани</w:t>
      </w:r>
      <w:proofErr w:type="spellEnd"/>
      <w:r w:rsidR="00F2592C" w:rsidRPr="00A13CEF">
        <w:rPr>
          <w:rFonts w:cstheme="minorHAnsi"/>
        </w:rPr>
        <w:t xml:space="preserve"> емисии БТП и облигации и</w:t>
      </w:r>
      <w:r w:rsidR="00F225FE" w:rsidRPr="00A13CEF">
        <w:rPr>
          <w:rFonts w:cstheme="minorHAnsi"/>
        </w:rPr>
        <w:t xml:space="preserve"> е подробно описан</w:t>
      </w:r>
      <w:r w:rsidR="00610CFD" w:rsidRPr="00A13CEF">
        <w:rPr>
          <w:rFonts w:cstheme="minorHAnsi"/>
        </w:rPr>
        <w:t xml:space="preserve"> в точка </w:t>
      </w:r>
      <w:r w:rsidR="00610CFD" w:rsidRPr="00A13CEF">
        <w:rPr>
          <w:rFonts w:cstheme="minorHAnsi"/>
        </w:rPr>
        <w:fldChar w:fldCharType="begin"/>
      </w:r>
      <w:r w:rsidR="00610CFD" w:rsidRPr="00A13CEF">
        <w:rPr>
          <w:rFonts w:cstheme="minorHAnsi"/>
        </w:rPr>
        <w:instrText xml:space="preserve"> REF _Ref457297363 \r \h </w:instrText>
      </w:r>
      <w:r w:rsidR="00764742" w:rsidRPr="00A13CEF">
        <w:rPr>
          <w:rFonts w:cstheme="minorHAnsi"/>
        </w:rPr>
        <w:instrText xml:space="preserve"> \* MERGEFORMAT </w:instrText>
      </w:r>
      <w:r w:rsidR="00610CFD" w:rsidRPr="00A13CEF">
        <w:rPr>
          <w:rFonts w:cstheme="minorHAnsi"/>
        </w:rPr>
      </w:r>
      <w:r w:rsidR="00610CFD" w:rsidRPr="00A13CEF">
        <w:rPr>
          <w:rFonts w:cstheme="minorHAnsi"/>
        </w:rPr>
        <w:fldChar w:fldCharType="separate"/>
      </w:r>
      <w:r w:rsidR="00F2592C" w:rsidRPr="00A13CEF">
        <w:rPr>
          <w:rFonts w:cstheme="minorHAnsi"/>
        </w:rPr>
        <w:t>4</w:t>
      </w:r>
      <w:r w:rsidR="00610CFD" w:rsidRPr="00A13CEF">
        <w:rPr>
          <w:rFonts w:cstheme="minorHAnsi"/>
        </w:rPr>
        <w:fldChar w:fldCharType="end"/>
      </w:r>
      <w:r w:rsidR="00610CFD" w:rsidRPr="00A13CEF">
        <w:rPr>
          <w:rFonts w:cstheme="minorHAnsi"/>
        </w:rPr>
        <w:t xml:space="preserve"> от настоящия доклад</w:t>
      </w:r>
      <w:r w:rsidR="0013201F" w:rsidRPr="00A13CEF">
        <w:rPr>
          <w:rFonts w:cstheme="minorHAnsi"/>
        </w:rPr>
        <w:t>.</w:t>
      </w:r>
    </w:p>
    <w:p w:rsidR="00A33B2C" w:rsidRPr="00A13CEF" w:rsidRDefault="00A33B2C" w:rsidP="001A50AB">
      <w:pPr>
        <w:rPr>
          <w:rFonts w:cstheme="minorHAnsi"/>
        </w:rPr>
      </w:pPr>
    </w:p>
    <w:p w:rsidR="00F2592C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t>Таблица 6: Регистрирани емисии по сегменти</w:t>
      </w:r>
    </w:p>
    <w:tbl>
      <w:tblPr>
        <w:tblW w:w="894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42"/>
        <w:gridCol w:w="1300"/>
        <w:gridCol w:w="1300"/>
        <w:gridCol w:w="1300"/>
      </w:tblGrid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 xml:space="preserve">Пазарен сегмент \ Регистрирани емисии 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31.12.2017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3B2497" w:rsidP="00F2592C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30</w:t>
            </w:r>
            <w:r w:rsidR="00F2592C" w:rsidRPr="00A13CEF">
              <w:rPr>
                <w:rFonts w:cstheme="minorHAnsi"/>
                <w:color w:val="FFFFFF"/>
                <w:szCs w:val="22"/>
              </w:rPr>
              <w:t>.</w:t>
            </w:r>
            <w:r w:rsidRPr="00A13CEF">
              <w:rPr>
                <w:rFonts w:cstheme="minorHAnsi"/>
                <w:color w:val="FFFFFF"/>
                <w:szCs w:val="22"/>
              </w:rPr>
              <w:t>06</w:t>
            </w:r>
            <w:r w:rsidR="00F2592C" w:rsidRPr="00A13CEF">
              <w:rPr>
                <w:rFonts w:cstheme="minorHAnsi"/>
                <w:color w:val="FFFFFF"/>
                <w:szCs w:val="22"/>
              </w:rPr>
              <w:t>.2018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промяна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Premium,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акции Standard,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-3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борсово търгувани продукти,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АДСИЦ,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ДЦК,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компенсаторни инструменти,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облигации,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Сегмент за права, пазар BSE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Сегмент акции, пазар </w:t>
            </w:r>
            <w:proofErr w:type="spellStart"/>
            <w:r w:rsidRPr="00A13CEF">
              <w:rPr>
                <w:rFonts w:cstheme="minorHAnsi"/>
                <w:color w:val="000000"/>
                <w:szCs w:val="22"/>
              </w:rPr>
              <w:t>BаSE</w:t>
            </w:r>
            <w:proofErr w:type="spellEnd"/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186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-46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 xml:space="preserve">Сегмент за АДСИЦ, пазар </w:t>
            </w:r>
            <w:proofErr w:type="spellStart"/>
            <w:r w:rsidRPr="00A13CEF">
              <w:rPr>
                <w:rFonts w:cstheme="minorHAnsi"/>
                <w:color w:val="000000"/>
                <w:szCs w:val="22"/>
              </w:rPr>
              <w:t>BаSE</w:t>
            </w:r>
            <w:proofErr w:type="spellEnd"/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0</w:t>
            </w:r>
          </w:p>
        </w:tc>
      </w:tr>
      <w:tr w:rsidR="00F2592C" w:rsidRPr="00A13CEF" w:rsidTr="00F2592C">
        <w:trPr>
          <w:trHeight w:val="170"/>
          <w:jc w:val="center"/>
        </w:trPr>
        <w:tc>
          <w:tcPr>
            <w:tcW w:w="5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Общо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368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335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F2592C" w:rsidRPr="00A13CEF" w:rsidRDefault="00F2592C" w:rsidP="00F2592C">
            <w:pPr>
              <w:widowControl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Cs w:val="22"/>
              </w:rPr>
            </w:pPr>
            <w:r w:rsidRPr="00A13CEF">
              <w:rPr>
                <w:rFonts w:cstheme="minorHAnsi"/>
                <w:b/>
                <w:bCs/>
                <w:color w:val="000000"/>
                <w:szCs w:val="22"/>
              </w:rPr>
              <w:t>-33</w:t>
            </w:r>
          </w:p>
        </w:tc>
      </w:tr>
    </w:tbl>
    <w:p w:rsidR="00773327" w:rsidRPr="00A13CEF" w:rsidRDefault="00773327" w:rsidP="001A50AB">
      <w:pPr>
        <w:rPr>
          <w:rFonts w:cstheme="minorHAnsi"/>
        </w:rPr>
      </w:pPr>
    </w:p>
    <w:tbl>
      <w:tblPr>
        <w:tblStyle w:val="TableGrid"/>
        <w:tblW w:w="96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78"/>
      </w:tblGrid>
      <w:tr w:rsidR="005B3FF0" w:rsidRPr="00A13CEF" w:rsidTr="00773327">
        <w:trPr>
          <w:jc w:val="center"/>
        </w:trPr>
        <w:tc>
          <w:tcPr>
            <w:tcW w:w="9680" w:type="dxa"/>
          </w:tcPr>
          <w:p w:rsidR="005B3FF0" w:rsidRPr="00A13CEF" w:rsidRDefault="005B3FF0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 xml:space="preserve">Графика 5: Регистрирани емисии по сегменти за отчетното </w:t>
            </w:r>
            <w:r w:rsidR="005717BA" w:rsidRPr="00A13CEF">
              <w:rPr>
                <w:rFonts w:cstheme="minorHAnsi"/>
              </w:rPr>
              <w:t>шест</w:t>
            </w:r>
            <w:r w:rsidRPr="00A13CEF">
              <w:rPr>
                <w:rFonts w:cstheme="minorHAnsi"/>
              </w:rPr>
              <w:t>месечие и сравнение</w:t>
            </w:r>
          </w:p>
        </w:tc>
      </w:tr>
      <w:tr w:rsidR="005B3FF0" w:rsidRPr="00A13CEF" w:rsidTr="006D7BFB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680" w:type="dxa"/>
          </w:tcPr>
          <w:p w:rsidR="005B3FF0" w:rsidRPr="00A13CEF" w:rsidRDefault="006D7BFB" w:rsidP="001A50AB">
            <w:pPr>
              <w:rPr>
                <w:rFonts w:cstheme="minorHAnsi"/>
                <w:sz w:val="20"/>
                <w:szCs w:val="20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314ABB35" wp14:editId="6B202C09">
                  <wp:extent cx="6120130" cy="3981450"/>
                  <wp:effectExtent l="0" t="0" r="0" b="0"/>
                  <wp:docPr id="15" name="Chart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4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3"/>
                    </a:graphicData>
                  </a:graphic>
                </wp:inline>
              </w:drawing>
            </w:r>
          </w:p>
        </w:tc>
      </w:tr>
    </w:tbl>
    <w:p w:rsidR="009A3F7B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A22320" w:rsidRPr="00A13CEF" w:rsidRDefault="00A22320" w:rsidP="001A50AB">
      <w:pPr>
        <w:pStyle w:val="Mainnumbers"/>
        <w:rPr>
          <w:rFonts w:cstheme="minorHAnsi"/>
        </w:rPr>
      </w:pPr>
      <w:bookmarkStart w:id="17" w:name="_Toc283112103"/>
      <w:bookmarkStart w:id="18" w:name="_Ref457297363"/>
      <w:bookmarkStart w:id="19" w:name="_Toc520473867"/>
      <w:r w:rsidRPr="00A13CEF">
        <w:rPr>
          <w:rFonts w:cstheme="minorHAnsi"/>
        </w:rPr>
        <w:lastRenderedPageBreak/>
        <w:t>Нови емитенти, отписани емисии и увеличения на капита</w:t>
      </w:r>
      <w:bookmarkEnd w:id="17"/>
      <w:r w:rsidR="001E6C9F" w:rsidRPr="00A13CEF">
        <w:rPr>
          <w:rFonts w:cstheme="minorHAnsi"/>
        </w:rPr>
        <w:t>л</w:t>
      </w:r>
      <w:bookmarkEnd w:id="18"/>
      <w:bookmarkEnd w:id="19"/>
    </w:p>
    <w:p w:rsidR="000C2FF8" w:rsidRPr="00A13CEF" w:rsidRDefault="00ED2F4C" w:rsidP="0047355D">
      <w:pPr>
        <w:pStyle w:val="NoSpacing"/>
        <w:spacing w:line="276" w:lineRule="auto"/>
        <w:rPr>
          <w:rFonts w:asciiTheme="minorHAnsi" w:hAnsiTheme="minorHAnsi" w:cstheme="minorHAnsi"/>
        </w:rPr>
      </w:pPr>
      <w:bookmarkStart w:id="20" w:name="_Toc142469786"/>
      <w:bookmarkStart w:id="21" w:name="_Toc283112104"/>
      <w:bookmarkEnd w:id="12"/>
      <w:bookmarkEnd w:id="13"/>
      <w:r w:rsidRPr="00A13CEF">
        <w:rPr>
          <w:rFonts w:asciiTheme="minorHAnsi" w:hAnsiTheme="minorHAnsi" w:cstheme="minorHAnsi"/>
        </w:rPr>
        <w:t xml:space="preserve">През </w:t>
      </w:r>
      <w:r w:rsidR="00BB0AE7" w:rsidRPr="00A13CEF">
        <w:rPr>
          <w:rFonts w:asciiTheme="minorHAnsi" w:hAnsiTheme="minorHAnsi" w:cstheme="minorHAnsi"/>
        </w:rPr>
        <w:t>първото шестмесечие на 201</w:t>
      </w:r>
      <w:r w:rsidR="006D7BFB" w:rsidRPr="00A13CEF">
        <w:rPr>
          <w:rFonts w:asciiTheme="minorHAnsi" w:hAnsiTheme="minorHAnsi" w:cstheme="minorHAnsi"/>
        </w:rPr>
        <w:t>8</w:t>
      </w:r>
      <w:r w:rsidR="00BB0AE7" w:rsidRPr="00A13CEF">
        <w:rPr>
          <w:rFonts w:asciiTheme="minorHAnsi" w:hAnsiTheme="minorHAnsi" w:cstheme="minorHAnsi"/>
        </w:rPr>
        <w:t xml:space="preserve"> година</w:t>
      </w:r>
      <w:r w:rsidRPr="00A13CEF">
        <w:rPr>
          <w:rFonts w:asciiTheme="minorHAnsi" w:hAnsiTheme="minorHAnsi" w:cstheme="minorHAnsi"/>
        </w:rPr>
        <w:t xml:space="preserve"> </w:t>
      </w:r>
      <w:r w:rsidR="000F109B" w:rsidRPr="00A13CEF">
        <w:rPr>
          <w:rFonts w:asciiTheme="minorHAnsi" w:hAnsiTheme="minorHAnsi" w:cstheme="minorHAnsi"/>
        </w:rPr>
        <w:t xml:space="preserve">имаше </w:t>
      </w:r>
      <w:r w:rsidR="006D7BFB" w:rsidRPr="00A13CEF">
        <w:rPr>
          <w:rFonts w:asciiTheme="minorHAnsi" w:hAnsiTheme="minorHAnsi" w:cstheme="minorHAnsi"/>
        </w:rPr>
        <w:t>двадесет и пет</w:t>
      </w:r>
      <w:r w:rsidR="00BB0AE7" w:rsidRPr="00A13CEF">
        <w:rPr>
          <w:rFonts w:asciiTheme="minorHAnsi" w:hAnsiTheme="minorHAnsi" w:cstheme="minorHAnsi"/>
        </w:rPr>
        <w:t xml:space="preserve"> нови емисии </w:t>
      </w:r>
      <w:r w:rsidR="00783023" w:rsidRPr="00A13CEF">
        <w:rPr>
          <w:rFonts w:asciiTheme="minorHAnsi" w:hAnsiTheme="minorHAnsi" w:cstheme="minorHAnsi"/>
        </w:rPr>
        <w:t>финансови инструменти, допуснати до търговия</w:t>
      </w:r>
      <w:r w:rsidR="00C27505" w:rsidRPr="00A13CEF">
        <w:rPr>
          <w:rFonts w:asciiTheme="minorHAnsi" w:hAnsiTheme="minorHAnsi" w:cstheme="minorHAnsi"/>
        </w:rPr>
        <w:t xml:space="preserve">: </w:t>
      </w:r>
      <w:r w:rsidR="006D7BFB" w:rsidRPr="00A13CEF">
        <w:rPr>
          <w:rFonts w:asciiTheme="minorHAnsi" w:hAnsiTheme="minorHAnsi" w:cstheme="minorHAnsi"/>
        </w:rPr>
        <w:t>една емисия акции на АДСИЦ, седем облигационни емисии, една емисия на сегмента за първично публично предлагане, десет емисии борсово търгувани продукти и шест</w:t>
      </w:r>
      <w:r w:rsidR="00BB0AE7" w:rsidRPr="00A13CEF">
        <w:rPr>
          <w:rFonts w:asciiTheme="minorHAnsi" w:hAnsiTheme="minorHAnsi" w:cstheme="minorHAnsi"/>
        </w:rPr>
        <w:t xml:space="preserve"> емисии на права. За сравнение</w:t>
      </w:r>
      <w:r w:rsidR="00783023" w:rsidRPr="00A13CEF">
        <w:rPr>
          <w:rFonts w:asciiTheme="minorHAnsi" w:hAnsiTheme="minorHAnsi" w:cstheme="minorHAnsi"/>
        </w:rPr>
        <w:t xml:space="preserve">, през </w:t>
      </w:r>
      <w:r w:rsidR="00BB0AE7" w:rsidRPr="00A13CEF">
        <w:rPr>
          <w:rFonts w:asciiTheme="minorHAnsi" w:hAnsiTheme="minorHAnsi" w:cstheme="minorHAnsi"/>
        </w:rPr>
        <w:t>първата половина</w:t>
      </w:r>
      <w:r w:rsidR="00783023" w:rsidRPr="00A13CEF">
        <w:rPr>
          <w:rFonts w:asciiTheme="minorHAnsi" w:hAnsiTheme="minorHAnsi" w:cstheme="minorHAnsi"/>
        </w:rPr>
        <w:t xml:space="preserve"> </w:t>
      </w:r>
      <w:r w:rsidR="00BB0AE7" w:rsidRPr="00A13CEF">
        <w:rPr>
          <w:rFonts w:asciiTheme="minorHAnsi" w:hAnsiTheme="minorHAnsi" w:cstheme="minorHAnsi"/>
        </w:rPr>
        <w:t xml:space="preserve">на предходната година </w:t>
      </w:r>
      <w:r w:rsidR="00364FB4" w:rsidRPr="00A13CEF">
        <w:rPr>
          <w:rFonts w:asciiTheme="minorHAnsi" w:hAnsiTheme="minorHAnsi" w:cstheme="minorHAnsi"/>
        </w:rPr>
        <w:t>н</w:t>
      </w:r>
      <w:r w:rsidR="0095361A" w:rsidRPr="00A13CEF">
        <w:rPr>
          <w:rFonts w:asciiTheme="minorHAnsi" w:hAnsiTheme="minorHAnsi" w:cstheme="minorHAnsi"/>
        </w:rPr>
        <w:t>овите емисии</w:t>
      </w:r>
      <w:r w:rsidR="00364FB4" w:rsidRPr="00A13CEF">
        <w:rPr>
          <w:rFonts w:asciiTheme="minorHAnsi" w:hAnsiTheme="minorHAnsi" w:cstheme="minorHAnsi"/>
        </w:rPr>
        <w:t xml:space="preserve"> бяха </w:t>
      </w:r>
      <w:r w:rsidR="006D7BFB" w:rsidRPr="00A13CEF">
        <w:rPr>
          <w:rFonts w:asciiTheme="minorHAnsi" w:hAnsiTheme="minorHAnsi" w:cstheme="minorHAnsi"/>
        </w:rPr>
        <w:t>девет</w:t>
      </w:r>
      <w:r w:rsidR="007C5285" w:rsidRPr="00A13CEF">
        <w:rPr>
          <w:rFonts w:asciiTheme="minorHAnsi" w:hAnsiTheme="minorHAnsi" w:cstheme="minorHAnsi"/>
        </w:rPr>
        <w:t xml:space="preserve">: </w:t>
      </w:r>
      <w:r w:rsidR="006D7BFB" w:rsidRPr="00A13CEF">
        <w:rPr>
          <w:rFonts w:asciiTheme="minorHAnsi" w:hAnsiTheme="minorHAnsi" w:cstheme="minorHAnsi"/>
        </w:rPr>
        <w:t>две от тях бяха акции, две бяха облигационни емисии и пет бяха емисии на права</w:t>
      </w:r>
      <w:r w:rsidR="000F109B" w:rsidRPr="00A13CEF">
        <w:rPr>
          <w:rFonts w:asciiTheme="minorHAnsi" w:hAnsiTheme="minorHAnsi" w:cstheme="minorHAnsi"/>
        </w:rPr>
        <w:t>.</w:t>
      </w:r>
    </w:p>
    <w:p w:rsidR="000C2FF8" w:rsidRPr="00A13CEF" w:rsidRDefault="00ED2F4C" w:rsidP="0047355D">
      <w:pPr>
        <w:pStyle w:val="NoSpacing"/>
        <w:spacing w:line="276" w:lineRule="auto"/>
        <w:rPr>
          <w:rFonts w:asciiTheme="minorHAnsi" w:hAnsiTheme="minorHAnsi" w:cstheme="minorHAnsi"/>
        </w:rPr>
      </w:pPr>
      <w:r w:rsidRPr="00A13CEF">
        <w:rPr>
          <w:rFonts w:asciiTheme="minorHAnsi" w:hAnsiTheme="minorHAnsi" w:cstheme="minorHAnsi"/>
        </w:rPr>
        <w:t xml:space="preserve">Прекратена бе регистрацията на </w:t>
      </w:r>
      <w:r w:rsidR="00A77FFC" w:rsidRPr="00A13CEF">
        <w:rPr>
          <w:rFonts w:asciiTheme="minorHAnsi" w:hAnsiTheme="minorHAnsi" w:cstheme="minorHAnsi"/>
        </w:rPr>
        <w:t>петдесет и осем</w:t>
      </w:r>
      <w:r w:rsidR="007756A8" w:rsidRPr="00A13CEF">
        <w:rPr>
          <w:rFonts w:asciiTheme="minorHAnsi" w:hAnsiTheme="minorHAnsi" w:cstheme="minorHAnsi"/>
        </w:rPr>
        <w:t xml:space="preserve"> емисии</w:t>
      </w:r>
      <w:r w:rsidR="00BB0AE7" w:rsidRPr="00A13CEF">
        <w:rPr>
          <w:rFonts w:asciiTheme="minorHAnsi" w:hAnsiTheme="minorHAnsi" w:cstheme="minorHAnsi"/>
        </w:rPr>
        <w:t xml:space="preserve">, от които </w:t>
      </w:r>
      <w:r w:rsidR="00A77FFC" w:rsidRPr="00A13CEF">
        <w:rPr>
          <w:rFonts w:asciiTheme="minorHAnsi" w:hAnsiTheme="minorHAnsi" w:cstheme="minorHAnsi"/>
        </w:rPr>
        <w:t xml:space="preserve">четиридесет и осем емисии </w:t>
      </w:r>
      <w:r w:rsidR="00BB0AE7" w:rsidRPr="00A13CEF">
        <w:rPr>
          <w:rFonts w:asciiTheme="minorHAnsi" w:hAnsiTheme="minorHAnsi" w:cstheme="minorHAnsi"/>
        </w:rPr>
        <w:t>акции</w:t>
      </w:r>
      <w:r w:rsidR="00A77FFC" w:rsidRPr="00A13CEF">
        <w:rPr>
          <w:rFonts w:asciiTheme="minorHAnsi" w:hAnsiTheme="minorHAnsi" w:cstheme="minorHAnsi"/>
        </w:rPr>
        <w:t xml:space="preserve"> (четиридесет и седем от които бяха </w:t>
      </w:r>
      <w:proofErr w:type="spellStart"/>
      <w:r w:rsidR="00A77FFC" w:rsidRPr="00A13CEF">
        <w:rPr>
          <w:rFonts w:asciiTheme="minorHAnsi" w:hAnsiTheme="minorHAnsi" w:cstheme="minorHAnsi"/>
        </w:rPr>
        <w:t>листвани</w:t>
      </w:r>
      <w:proofErr w:type="spellEnd"/>
      <w:r w:rsidR="00A77FFC" w:rsidRPr="00A13CEF">
        <w:rPr>
          <w:rFonts w:asciiTheme="minorHAnsi" w:hAnsiTheme="minorHAnsi" w:cstheme="minorHAnsi"/>
        </w:rPr>
        <w:t xml:space="preserve"> на Алтернативен пазар, двадесет и две </w:t>
      </w:r>
      <w:r w:rsidR="007406D6" w:rsidRPr="00A13CEF">
        <w:rPr>
          <w:rFonts w:asciiTheme="minorHAnsi" w:hAnsiTheme="minorHAnsi" w:cstheme="minorHAnsi"/>
        </w:rPr>
        <w:t xml:space="preserve">от тях </w:t>
      </w:r>
      <w:r w:rsidR="00A77FFC" w:rsidRPr="00A13CEF">
        <w:rPr>
          <w:rFonts w:asciiTheme="minorHAnsi" w:hAnsiTheme="minorHAnsi" w:cstheme="minorHAnsi"/>
        </w:rPr>
        <w:t>– на дружества в ликвидация и несъстоятел</w:t>
      </w:r>
      <w:r w:rsidR="00ED750F" w:rsidRPr="00A13CEF">
        <w:rPr>
          <w:rFonts w:asciiTheme="minorHAnsi" w:hAnsiTheme="minorHAnsi" w:cstheme="minorHAnsi"/>
        </w:rPr>
        <w:t>ност</w:t>
      </w:r>
      <w:r w:rsidR="00A77FFC" w:rsidRPr="00A13CEF">
        <w:rPr>
          <w:rFonts w:asciiTheme="minorHAnsi" w:hAnsiTheme="minorHAnsi" w:cstheme="minorHAnsi"/>
        </w:rPr>
        <w:t>)</w:t>
      </w:r>
      <w:r w:rsidR="00BB0AE7" w:rsidRPr="00A13CEF">
        <w:rPr>
          <w:rFonts w:asciiTheme="minorHAnsi" w:hAnsiTheme="minorHAnsi" w:cstheme="minorHAnsi"/>
        </w:rPr>
        <w:t xml:space="preserve">, </w:t>
      </w:r>
      <w:r w:rsidR="007C5285" w:rsidRPr="00A13CEF">
        <w:rPr>
          <w:rFonts w:asciiTheme="minorHAnsi" w:hAnsiTheme="minorHAnsi" w:cstheme="minorHAnsi"/>
        </w:rPr>
        <w:t>две</w:t>
      </w:r>
      <w:r w:rsidR="00BB0AE7" w:rsidRPr="00A13CEF">
        <w:rPr>
          <w:rFonts w:asciiTheme="minorHAnsi" w:hAnsiTheme="minorHAnsi" w:cstheme="minorHAnsi"/>
        </w:rPr>
        <w:t xml:space="preserve"> облигационни емисии</w:t>
      </w:r>
      <w:r w:rsidR="007C5285" w:rsidRPr="00A13CEF">
        <w:rPr>
          <w:rFonts w:asciiTheme="minorHAnsi" w:hAnsiTheme="minorHAnsi" w:cstheme="minorHAnsi"/>
        </w:rPr>
        <w:t>,</w:t>
      </w:r>
      <w:r w:rsidR="007406D6" w:rsidRPr="00A13CEF">
        <w:rPr>
          <w:rFonts w:asciiTheme="minorHAnsi" w:hAnsiTheme="minorHAnsi" w:cstheme="minorHAnsi"/>
        </w:rPr>
        <w:t xml:space="preserve"> една емисия</w:t>
      </w:r>
      <w:r w:rsidR="00EF3285" w:rsidRPr="00A13CEF">
        <w:rPr>
          <w:rFonts w:asciiTheme="minorHAnsi" w:hAnsiTheme="minorHAnsi" w:cstheme="minorHAnsi"/>
        </w:rPr>
        <w:t xml:space="preserve"> от сегмента за борсово търгувани продукти, една – от сегмента</w:t>
      </w:r>
      <w:r w:rsidR="007C5285" w:rsidRPr="00A13CEF">
        <w:rPr>
          <w:rFonts w:asciiTheme="minorHAnsi" w:hAnsiTheme="minorHAnsi" w:cstheme="minorHAnsi"/>
        </w:rPr>
        <w:t xml:space="preserve"> </w:t>
      </w:r>
      <w:r w:rsidR="00EF3285" w:rsidRPr="00A13CEF">
        <w:rPr>
          <w:rFonts w:asciiTheme="minorHAnsi" w:hAnsiTheme="minorHAnsi" w:cstheme="minorHAnsi"/>
        </w:rPr>
        <w:t>за първично публично предлагане и шест</w:t>
      </w:r>
      <w:r w:rsidR="00BB0AE7" w:rsidRPr="00A13CEF">
        <w:rPr>
          <w:rFonts w:asciiTheme="minorHAnsi" w:hAnsiTheme="minorHAnsi" w:cstheme="minorHAnsi"/>
        </w:rPr>
        <w:t xml:space="preserve"> емиси</w:t>
      </w:r>
      <w:r w:rsidR="007C5285" w:rsidRPr="00A13CEF">
        <w:rPr>
          <w:rFonts w:asciiTheme="minorHAnsi" w:hAnsiTheme="minorHAnsi" w:cstheme="minorHAnsi"/>
        </w:rPr>
        <w:t>и</w:t>
      </w:r>
      <w:r w:rsidR="00BB0AE7" w:rsidRPr="00A13CEF">
        <w:rPr>
          <w:rFonts w:asciiTheme="minorHAnsi" w:hAnsiTheme="minorHAnsi" w:cstheme="minorHAnsi"/>
        </w:rPr>
        <w:t xml:space="preserve"> </w:t>
      </w:r>
      <w:r w:rsidR="007C5285" w:rsidRPr="00A13CEF">
        <w:rPr>
          <w:rFonts w:asciiTheme="minorHAnsi" w:hAnsiTheme="minorHAnsi" w:cstheme="minorHAnsi"/>
        </w:rPr>
        <w:t>права</w:t>
      </w:r>
      <w:r w:rsidR="00FA3B28" w:rsidRPr="00A13CEF">
        <w:rPr>
          <w:rFonts w:asciiTheme="minorHAnsi" w:hAnsiTheme="minorHAnsi" w:cstheme="minorHAnsi"/>
        </w:rPr>
        <w:t>.</w:t>
      </w:r>
      <w:r w:rsidR="00FC3D31" w:rsidRPr="00A13CEF">
        <w:rPr>
          <w:rFonts w:asciiTheme="minorHAnsi" w:hAnsiTheme="minorHAnsi" w:cstheme="minorHAnsi"/>
        </w:rPr>
        <w:t xml:space="preserve"> З</w:t>
      </w:r>
      <w:r w:rsidR="007756A8" w:rsidRPr="00A13CEF">
        <w:rPr>
          <w:rFonts w:asciiTheme="minorHAnsi" w:hAnsiTheme="minorHAnsi" w:cstheme="minorHAnsi"/>
        </w:rPr>
        <w:t xml:space="preserve">а сравнение през </w:t>
      </w:r>
      <w:r w:rsidR="00BB0AE7" w:rsidRPr="00A13CEF">
        <w:rPr>
          <w:rFonts w:asciiTheme="minorHAnsi" w:hAnsiTheme="minorHAnsi" w:cstheme="minorHAnsi"/>
        </w:rPr>
        <w:t>аналогичния</w:t>
      </w:r>
      <w:r w:rsidR="007756A8" w:rsidRPr="00A13CEF">
        <w:rPr>
          <w:rFonts w:asciiTheme="minorHAnsi" w:hAnsiTheme="minorHAnsi" w:cstheme="minorHAnsi"/>
        </w:rPr>
        <w:t xml:space="preserve"> период </w:t>
      </w:r>
      <w:r w:rsidR="00BB0AE7" w:rsidRPr="00A13CEF">
        <w:rPr>
          <w:rFonts w:asciiTheme="minorHAnsi" w:hAnsiTheme="minorHAnsi" w:cstheme="minorHAnsi"/>
        </w:rPr>
        <w:t>на 201</w:t>
      </w:r>
      <w:r w:rsidR="00ED750F" w:rsidRPr="00A13CEF">
        <w:rPr>
          <w:rFonts w:asciiTheme="minorHAnsi" w:hAnsiTheme="minorHAnsi" w:cstheme="minorHAnsi"/>
        </w:rPr>
        <w:t>7</w:t>
      </w:r>
      <w:r w:rsidR="00BB0AE7" w:rsidRPr="00A13CEF">
        <w:rPr>
          <w:rFonts w:asciiTheme="minorHAnsi" w:hAnsiTheme="minorHAnsi" w:cstheme="minorHAnsi"/>
        </w:rPr>
        <w:t xml:space="preserve"> година </w:t>
      </w:r>
      <w:r w:rsidR="007756A8" w:rsidRPr="00A13CEF">
        <w:rPr>
          <w:rFonts w:asciiTheme="minorHAnsi" w:hAnsiTheme="minorHAnsi" w:cstheme="minorHAnsi"/>
        </w:rPr>
        <w:t xml:space="preserve">бе прекратена регистрацията на </w:t>
      </w:r>
      <w:r w:rsidR="006E6027" w:rsidRPr="00A13CEF">
        <w:rPr>
          <w:rFonts w:asciiTheme="minorHAnsi" w:hAnsiTheme="minorHAnsi" w:cstheme="minorHAnsi"/>
        </w:rPr>
        <w:t>десет</w:t>
      </w:r>
      <w:r w:rsidR="007C5285" w:rsidRPr="00A13CEF">
        <w:rPr>
          <w:rFonts w:asciiTheme="minorHAnsi" w:hAnsiTheme="minorHAnsi" w:cstheme="minorHAnsi"/>
        </w:rPr>
        <w:t xml:space="preserve"> емисии, от които </w:t>
      </w:r>
      <w:r w:rsidR="00A77FFC" w:rsidRPr="00A13CEF">
        <w:rPr>
          <w:rFonts w:asciiTheme="minorHAnsi" w:hAnsiTheme="minorHAnsi" w:cstheme="minorHAnsi"/>
        </w:rPr>
        <w:t>три емисии акции, две облигационни емисии</w:t>
      </w:r>
      <w:r w:rsidR="00ED750F" w:rsidRPr="00A13CEF">
        <w:rPr>
          <w:rFonts w:asciiTheme="minorHAnsi" w:hAnsiTheme="minorHAnsi" w:cstheme="minorHAnsi"/>
        </w:rPr>
        <w:t xml:space="preserve"> и</w:t>
      </w:r>
      <w:r w:rsidR="00A77FFC" w:rsidRPr="00A13CEF">
        <w:rPr>
          <w:rFonts w:asciiTheme="minorHAnsi" w:hAnsiTheme="minorHAnsi" w:cstheme="minorHAnsi"/>
        </w:rPr>
        <w:t xml:space="preserve"> пет емисии права</w:t>
      </w:r>
      <w:r w:rsidR="00C83A5F" w:rsidRPr="00A13CEF">
        <w:rPr>
          <w:rFonts w:asciiTheme="minorHAnsi" w:hAnsiTheme="minorHAnsi" w:cstheme="minorHAnsi"/>
        </w:rPr>
        <w:t>.</w:t>
      </w:r>
    </w:p>
    <w:p w:rsidR="00106038" w:rsidRPr="00A13CEF" w:rsidRDefault="00C83A5F" w:rsidP="0047355D">
      <w:pPr>
        <w:pStyle w:val="NoSpacing"/>
        <w:spacing w:line="276" w:lineRule="auto"/>
        <w:rPr>
          <w:rFonts w:asciiTheme="minorHAnsi" w:hAnsiTheme="minorHAnsi" w:cstheme="minorHAnsi"/>
        </w:rPr>
      </w:pPr>
      <w:r w:rsidRPr="00A13CEF">
        <w:rPr>
          <w:rFonts w:asciiTheme="minorHAnsi" w:hAnsiTheme="minorHAnsi" w:cstheme="minorHAnsi"/>
        </w:rPr>
        <w:t xml:space="preserve">През отчетното </w:t>
      </w:r>
      <w:r w:rsidR="00BB0AE7" w:rsidRPr="00A13CEF">
        <w:rPr>
          <w:rFonts w:asciiTheme="minorHAnsi" w:hAnsiTheme="minorHAnsi" w:cstheme="minorHAnsi"/>
        </w:rPr>
        <w:t>шестмесечие</w:t>
      </w:r>
      <w:r w:rsidRPr="00A13CEF">
        <w:rPr>
          <w:rFonts w:asciiTheme="minorHAnsi" w:hAnsiTheme="minorHAnsi" w:cstheme="minorHAnsi"/>
        </w:rPr>
        <w:t xml:space="preserve"> </w:t>
      </w:r>
      <w:r w:rsidR="00ED750F" w:rsidRPr="00A13CEF">
        <w:rPr>
          <w:rFonts w:asciiTheme="minorHAnsi" w:hAnsiTheme="minorHAnsi" w:cstheme="minorHAnsi"/>
        </w:rPr>
        <w:t xml:space="preserve">пет </w:t>
      </w:r>
      <w:r w:rsidR="007C5285" w:rsidRPr="00A13CEF">
        <w:rPr>
          <w:rFonts w:asciiTheme="minorHAnsi" w:hAnsiTheme="minorHAnsi" w:cstheme="minorHAnsi"/>
        </w:rPr>
        <w:t>дружества</w:t>
      </w:r>
      <w:r w:rsidR="00463761" w:rsidRPr="00A13CEF">
        <w:rPr>
          <w:rFonts w:asciiTheme="minorHAnsi" w:hAnsiTheme="minorHAnsi" w:cstheme="minorHAnsi"/>
        </w:rPr>
        <w:t xml:space="preserve"> увеличи</w:t>
      </w:r>
      <w:r w:rsidR="007C5285" w:rsidRPr="00A13CEF">
        <w:rPr>
          <w:rFonts w:asciiTheme="minorHAnsi" w:hAnsiTheme="minorHAnsi" w:cstheme="minorHAnsi"/>
        </w:rPr>
        <w:t>ха</w:t>
      </w:r>
      <w:r w:rsidR="007756A8" w:rsidRPr="00A13CEF">
        <w:rPr>
          <w:rFonts w:asciiTheme="minorHAnsi" w:hAnsiTheme="minorHAnsi" w:cstheme="minorHAnsi"/>
        </w:rPr>
        <w:t xml:space="preserve"> капитала си, </w:t>
      </w:r>
      <w:r w:rsidR="00BB0AE7" w:rsidRPr="00A13CEF">
        <w:rPr>
          <w:rFonts w:asciiTheme="minorHAnsi" w:hAnsiTheme="minorHAnsi" w:cstheme="minorHAnsi"/>
        </w:rPr>
        <w:t xml:space="preserve">а през първата половина на предходната година </w:t>
      </w:r>
      <w:r w:rsidR="007C5285" w:rsidRPr="00A13CEF">
        <w:rPr>
          <w:rFonts w:asciiTheme="minorHAnsi" w:hAnsiTheme="minorHAnsi" w:cstheme="minorHAnsi"/>
        </w:rPr>
        <w:t xml:space="preserve">само </w:t>
      </w:r>
      <w:r w:rsidR="00ED750F" w:rsidRPr="00A13CEF">
        <w:rPr>
          <w:rFonts w:asciiTheme="minorHAnsi" w:hAnsiTheme="minorHAnsi" w:cstheme="minorHAnsi"/>
        </w:rPr>
        <w:t>три</w:t>
      </w:r>
      <w:r w:rsidR="007C5285" w:rsidRPr="00A13CEF">
        <w:rPr>
          <w:rFonts w:asciiTheme="minorHAnsi" w:hAnsiTheme="minorHAnsi" w:cstheme="minorHAnsi"/>
        </w:rPr>
        <w:t xml:space="preserve"> дружеств</w:t>
      </w:r>
      <w:r w:rsidR="00ED750F" w:rsidRPr="00A13CEF">
        <w:rPr>
          <w:rFonts w:asciiTheme="minorHAnsi" w:hAnsiTheme="minorHAnsi" w:cstheme="minorHAnsi"/>
        </w:rPr>
        <w:t>а</w:t>
      </w:r>
      <w:r w:rsidR="007C5285" w:rsidRPr="00A13CEF">
        <w:rPr>
          <w:rFonts w:asciiTheme="minorHAnsi" w:hAnsiTheme="minorHAnsi" w:cstheme="minorHAnsi"/>
        </w:rPr>
        <w:t xml:space="preserve"> направи</w:t>
      </w:r>
      <w:r w:rsidR="00ED750F" w:rsidRPr="00A13CEF">
        <w:rPr>
          <w:rFonts w:asciiTheme="minorHAnsi" w:hAnsiTheme="minorHAnsi" w:cstheme="minorHAnsi"/>
        </w:rPr>
        <w:t>ха</w:t>
      </w:r>
      <w:r w:rsidR="007C5285" w:rsidRPr="00A13CEF">
        <w:rPr>
          <w:rFonts w:asciiTheme="minorHAnsi" w:hAnsiTheme="minorHAnsi" w:cstheme="minorHAnsi"/>
        </w:rPr>
        <w:t xml:space="preserve"> това</w:t>
      </w:r>
      <w:r w:rsidR="00C27505" w:rsidRPr="00A13CEF">
        <w:rPr>
          <w:rFonts w:asciiTheme="minorHAnsi" w:hAnsiTheme="minorHAnsi" w:cstheme="minorHAnsi"/>
        </w:rPr>
        <w:t>.</w:t>
      </w:r>
    </w:p>
    <w:p w:rsidR="00106038" w:rsidRPr="00A13CEF" w:rsidRDefault="00106038" w:rsidP="001A50AB">
      <w:pPr>
        <w:rPr>
          <w:rFonts w:cstheme="minorHAnsi"/>
        </w:rPr>
      </w:pPr>
    </w:p>
    <w:p w:rsidR="007C5285" w:rsidRPr="00A13CEF" w:rsidRDefault="009A3F7B" w:rsidP="001A50AB">
      <w:pPr>
        <w:rPr>
          <w:rFonts w:cstheme="minorHAnsi"/>
        </w:rPr>
      </w:pPr>
      <w:r w:rsidRPr="00A13CEF">
        <w:rPr>
          <w:rFonts w:cstheme="minorHAnsi"/>
        </w:rPr>
        <w:t xml:space="preserve">Таблица 7а. Нови емитенти през отчетното </w:t>
      </w:r>
      <w:r w:rsidR="000F62B5" w:rsidRPr="00A13CEF">
        <w:rPr>
          <w:rFonts w:cstheme="minorHAnsi"/>
        </w:rPr>
        <w:t>шест</w:t>
      </w:r>
      <w:r w:rsidRPr="00A13CEF">
        <w:rPr>
          <w:rFonts w:cstheme="minorHAnsi"/>
        </w:rPr>
        <w:t>месечие</w:t>
      </w:r>
      <w:r w:rsidR="000B2B69" w:rsidRPr="00A13CEF">
        <w:rPr>
          <w:rFonts w:cstheme="minorHAnsi"/>
        </w:rPr>
        <w:t>:</w:t>
      </w:r>
    </w:p>
    <w:tbl>
      <w:tblPr>
        <w:tblW w:w="71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50"/>
        <w:gridCol w:w="1053"/>
        <w:gridCol w:w="1276"/>
      </w:tblGrid>
      <w:tr w:rsidR="00ED750F" w:rsidRPr="00A13CEF" w:rsidTr="00ED750F">
        <w:trPr>
          <w:trHeight w:val="254"/>
          <w:jc w:val="center"/>
        </w:trPr>
        <w:tc>
          <w:tcPr>
            <w:tcW w:w="4850" w:type="dxa"/>
            <w:shd w:val="clear" w:color="auto" w:fill="4F81BD" w:themeFill="accent1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Нови емисии по сегмент</w:t>
            </w:r>
          </w:p>
        </w:tc>
        <w:tc>
          <w:tcPr>
            <w:tcW w:w="1053" w:type="dxa"/>
            <w:shd w:val="clear" w:color="auto" w:fill="4F81BD" w:themeFill="accent1"/>
          </w:tcPr>
          <w:p w:rsidR="00ED750F" w:rsidRPr="00A13CEF" w:rsidRDefault="00ED750F" w:rsidP="00ED750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Пазар</w:t>
            </w:r>
          </w:p>
        </w:tc>
        <w:tc>
          <w:tcPr>
            <w:tcW w:w="1276" w:type="dxa"/>
            <w:shd w:val="clear" w:color="auto" w:fill="4F81BD" w:themeFill="accent1"/>
          </w:tcPr>
          <w:p w:rsidR="00ED750F" w:rsidRPr="00A13CEF" w:rsidRDefault="00ED750F" w:rsidP="00ED750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FFFFFF"/>
                <w:sz w:val="20"/>
                <w:szCs w:val="20"/>
              </w:rPr>
              <w:t>Eмисии</w:t>
            </w:r>
            <w:proofErr w:type="spellEnd"/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850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права</w:t>
            </w:r>
          </w:p>
        </w:tc>
        <w:tc>
          <w:tcPr>
            <w:tcW w:w="1053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850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борсово търгувани продукти</w:t>
            </w:r>
          </w:p>
        </w:tc>
        <w:tc>
          <w:tcPr>
            <w:tcW w:w="1053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10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850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първично публично предлагане</w:t>
            </w:r>
          </w:p>
        </w:tc>
        <w:tc>
          <w:tcPr>
            <w:tcW w:w="1053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850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облигации</w:t>
            </w:r>
          </w:p>
        </w:tc>
        <w:tc>
          <w:tcPr>
            <w:tcW w:w="1053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7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850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АДСИЦ</w:t>
            </w:r>
          </w:p>
        </w:tc>
        <w:tc>
          <w:tcPr>
            <w:tcW w:w="1053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BASE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</w:tbl>
    <w:p w:rsidR="00ED750F" w:rsidRPr="00A13CEF" w:rsidRDefault="009A3F7B" w:rsidP="00ED750F">
      <w:pPr>
        <w:spacing w:before="240"/>
        <w:rPr>
          <w:rFonts w:cstheme="minorHAnsi"/>
        </w:rPr>
      </w:pPr>
      <w:r w:rsidRPr="00A13CEF">
        <w:rPr>
          <w:rFonts w:cstheme="minorHAnsi"/>
        </w:rPr>
        <w:t>Таблица 7б. Прекратени е</w:t>
      </w:r>
      <w:r w:rsidR="000443AD" w:rsidRPr="00A13CEF">
        <w:rPr>
          <w:rFonts w:cstheme="minorHAnsi"/>
        </w:rPr>
        <w:t xml:space="preserve">мисии през отчетното </w:t>
      </w:r>
      <w:r w:rsidR="000F62B5" w:rsidRPr="00A13CEF">
        <w:rPr>
          <w:rFonts w:cstheme="minorHAnsi"/>
        </w:rPr>
        <w:t>шест</w:t>
      </w:r>
      <w:r w:rsidR="000443AD" w:rsidRPr="00A13CEF">
        <w:rPr>
          <w:rFonts w:cstheme="minorHAnsi"/>
        </w:rPr>
        <w:t>месечие:</w:t>
      </w:r>
    </w:p>
    <w:tbl>
      <w:tblPr>
        <w:tblW w:w="69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8"/>
        <w:gridCol w:w="992"/>
        <w:gridCol w:w="1276"/>
      </w:tblGrid>
      <w:tr w:rsidR="00ED750F" w:rsidRPr="00A13CEF" w:rsidTr="00ED750F">
        <w:trPr>
          <w:trHeight w:val="254"/>
          <w:jc w:val="center"/>
        </w:trPr>
        <w:tc>
          <w:tcPr>
            <w:tcW w:w="4708" w:type="dxa"/>
            <w:shd w:val="clear" w:color="auto" w:fill="4F81BD" w:themeFill="accent1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Прекратени емисии по сегмент</w:t>
            </w:r>
          </w:p>
        </w:tc>
        <w:tc>
          <w:tcPr>
            <w:tcW w:w="992" w:type="dxa"/>
            <w:shd w:val="clear" w:color="auto" w:fill="4F81BD" w:themeFill="accent1"/>
          </w:tcPr>
          <w:p w:rsidR="00ED750F" w:rsidRPr="00A13CEF" w:rsidRDefault="00ED750F" w:rsidP="00ED750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Пазар</w:t>
            </w:r>
          </w:p>
        </w:tc>
        <w:tc>
          <w:tcPr>
            <w:tcW w:w="1276" w:type="dxa"/>
            <w:shd w:val="clear" w:color="auto" w:fill="4F81BD" w:themeFill="accent1"/>
          </w:tcPr>
          <w:p w:rsidR="00ED750F" w:rsidRPr="00A13CEF" w:rsidRDefault="00ED750F" w:rsidP="00ED750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FFFFFF"/>
                <w:sz w:val="20"/>
                <w:szCs w:val="20"/>
              </w:rPr>
              <w:t>Eмисии</w:t>
            </w:r>
            <w:proofErr w:type="spellEnd"/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708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акции Standard</w:t>
            </w:r>
          </w:p>
        </w:tc>
        <w:tc>
          <w:tcPr>
            <w:tcW w:w="992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708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права</w:t>
            </w:r>
          </w:p>
        </w:tc>
        <w:tc>
          <w:tcPr>
            <w:tcW w:w="992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708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борсово търгувани продукти</w:t>
            </w:r>
          </w:p>
        </w:tc>
        <w:tc>
          <w:tcPr>
            <w:tcW w:w="992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708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първично публично предлагане</w:t>
            </w:r>
          </w:p>
        </w:tc>
        <w:tc>
          <w:tcPr>
            <w:tcW w:w="992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708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за облигации</w:t>
            </w:r>
          </w:p>
        </w:tc>
        <w:tc>
          <w:tcPr>
            <w:tcW w:w="992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</w:t>
            </w:r>
          </w:p>
        </w:tc>
      </w:tr>
      <w:tr w:rsidR="00ED750F" w:rsidRPr="00A13CEF" w:rsidTr="00ED750F">
        <w:trPr>
          <w:trHeight w:val="254"/>
          <w:jc w:val="center"/>
        </w:trPr>
        <w:tc>
          <w:tcPr>
            <w:tcW w:w="4708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акции</w:t>
            </w:r>
          </w:p>
        </w:tc>
        <w:tc>
          <w:tcPr>
            <w:tcW w:w="992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BаSE</w:t>
            </w:r>
            <w:proofErr w:type="spellEnd"/>
          </w:p>
        </w:tc>
        <w:tc>
          <w:tcPr>
            <w:tcW w:w="1276" w:type="dxa"/>
          </w:tcPr>
          <w:p w:rsidR="00ED750F" w:rsidRPr="00A13CEF" w:rsidRDefault="00ED750F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47</w:t>
            </w:r>
          </w:p>
        </w:tc>
      </w:tr>
    </w:tbl>
    <w:p w:rsidR="003B2497" w:rsidRPr="00A13CEF" w:rsidRDefault="004F60F1" w:rsidP="00ED750F">
      <w:pPr>
        <w:spacing w:before="240"/>
        <w:rPr>
          <w:rFonts w:cstheme="minorHAnsi"/>
        </w:rPr>
      </w:pPr>
      <w:r w:rsidRPr="00A13CEF">
        <w:rPr>
          <w:rFonts w:cstheme="minorHAnsi"/>
        </w:rPr>
        <w:t>Таблица 7в. Увеличения на капитала и преобразуване</w:t>
      </w:r>
      <w:r w:rsidR="000F62B5" w:rsidRPr="00A13CEF">
        <w:rPr>
          <w:rFonts w:cstheme="minorHAnsi"/>
        </w:rPr>
        <w:t>:</w:t>
      </w:r>
    </w:p>
    <w:tbl>
      <w:tblPr>
        <w:tblW w:w="73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44"/>
        <w:gridCol w:w="1047"/>
        <w:gridCol w:w="851"/>
        <w:gridCol w:w="1595"/>
      </w:tblGrid>
      <w:tr w:rsidR="003B2497" w:rsidRPr="00A13CEF" w:rsidTr="00CC7437">
        <w:trPr>
          <w:trHeight w:val="254"/>
          <w:jc w:val="center"/>
        </w:trPr>
        <w:tc>
          <w:tcPr>
            <w:tcW w:w="3844" w:type="dxa"/>
            <w:shd w:val="clear" w:color="auto" w:fill="4F81BD" w:themeFill="accent1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Увеличения на капитала и преобразуване</w:t>
            </w:r>
          </w:p>
        </w:tc>
        <w:tc>
          <w:tcPr>
            <w:tcW w:w="1047" w:type="dxa"/>
            <w:shd w:val="clear" w:color="auto" w:fill="4F81BD" w:themeFill="accent1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пазар</w:t>
            </w:r>
          </w:p>
        </w:tc>
        <w:tc>
          <w:tcPr>
            <w:tcW w:w="851" w:type="dxa"/>
            <w:shd w:val="clear" w:color="auto" w:fill="4F81BD" w:themeFill="accent1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емисии</w:t>
            </w:r>
          </w:p>
        </w:tc>
        <w:tc>
          <w:tcPr>
            <w:tcW w:w="1595" w:type="dxa"/>
            <w:shd w:val="clear" w:color="auto" w:fill="4F81BD" w:themeFill="accent1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color w:val="FFFFFF"/>
                <w:sz w:val="20"/>
                <w:szCs w:val="20"/>
              </w:rPr>
              <w:t>набран капитал</w:t>
            </w:r>
          </w:p>
        </w:tc>
      </w:tr>
      <w:tr w:rsidR="003B2497" w:rsidRPr="00A13CEF" w:rsidTr="00CC7437">
        <w:trPr>
          <w:trHeight w:val="254"/>
          <w:jc w:val="center"/>
        </w:trPr>
        <w:tc>
          <w:tcPr>
            <w:tcW w:w="3844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акции Standard</w:t>
            </w:r>
          </w:p>
        </w:tc>
        <w:tc>
          <w:tcPr>
            <w:tcW w:w="1047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851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95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66 535 055</w:t>
            </w:r>
          </w:p>
        </w:tc>
      </w:tr>
      <w:tr w:rsidR="003B2497" w:rsidRPr="00A13CEF" w:rsidTr="00CC7437">
        <w:trPr>
          <w:trHeight w:val="254"/>
          <w:jc w:val="center"/>
        </w:trPr>
        <w:tc>
          <w:tcPr>
            <w:tcW w:w="3844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акции</w:t>
            </w:r>
          </w:p>
        </w:tc>
        <w:tc>
          <w:tcPr>
            <w:tcW w:w="1047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BASE</w:t>
            </w:r>
          </w:p>
        </w:tc>
        <w:tc>
          <w:tcPr>
            <w:tcW w:w="851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5" w:type="dxa"/>
          </w:tcPr>
          <w:p w:rsidR="003B2497" w:rsidRPr="00A13CEF" w:rsidRDefault="003B2497" w:rsidP="003B2497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19 642 500</w:t>
            </w:r>
          </w:p>
        </w:tc>
      </w:tr>
    </w:tbl>
    <w:p w:rsidR="001A0C3E" w:rsidRPr="00A13CEF" w:rsidRDefault="001A0C3E" w:rsidP="001A50AB">
      <w:pPr>
        <w:pStyle w:val="Mainnumbers"/>
        <w:rPr>
          <w:rFonts w:cstheme="minorHAnsi"/>
        </w:rPr>
      </w:pPr>
      <w:bookmarkStart w:id="22" w:name="_Toc520473868"/>
      <w:r w:rsidRPr="00A13CEF">
        <w:rPr>
          <w:rFonts w:cstheme="minorHAnsi"/>
        </w:rPr>
        <w:t xml:space="preserve">Пазарна капитализация на </w:t>
      </w:r>
      <w:r w:rsidR="00415B34" w:rsidRPr="00A13CEF">
        <w:rPr>
          <w:rFonts w:cstheme="minorHAnsi"/>
        </w:rPr>
        <w:t>Борсата</w:t>
      </w:r>
      <w:bookmarkEnd w:id="20"/>
      <w:bookmarkEnd w:id="21"/>
      <w:bookmarkEnd w:id="22"/>
    </w:p>
    <w:p w:rsidR="009C6920" w:rsidRPr="00A13CEF" w:rsidRDefault="007756A8" w:rsidP="001A50AB">
      <w:pPr>
        <w:rPr>
          <w:rFonts w:cstheme="minorHAnsi"/>
        </w:rPr>
      </w:pPr>
      <w:r w:rsidRPr="00A13CEF">
        <w:rPr>
          <w:rFonts w:cstheme="minorHAnsi"/>
        </w:rPr>
        <w:t xml:space="preserve">Пазарната капитализация на </w:t>
      </w:r>
      <w:r w:rsidR="0019633E" w:rsidRPr="00A13CEF">
        <w:rPr>
          <w:rFonts w:cstheme="minorHAnsi"/>
        </w:rPr>
        <w:t>„</w:t>
      </w:r>
      <w:r w:rsidR="00636F5A">
        <w:rPr>
          <w:rFonts w:cstheme="minorHAnsi"/>
        </w:rPr>
        <w:t>Българска фондова борса - София</w:t>
      </w:r>
      <w:r w:rsidR="0019633E" w:rsidRPr="00A13CEF">
        <w:rPr>
          <w:rFonts w:cstheme="minorHAnsi"/>
        </w:rPr>
        <w:t>“ АД</w:t>
      </w:r>
      <w:r w:rsidRPr="00A13CEF">
        <w:rPr>
          <w:rFonts w:cstheme="minorHAnsi"/>
        </w:rPr>
        <w:t xml:space="preserve"> достигна </w:t>
      </w:r>
      <w:r w:rsidR="009C6920" w:rsidRPr="00A13CEF">
        <w:rPr>
          <w:rFonts w:cstheme="minorHAnsi"/>
        </w:rPr>
        <w:t xml:space="preserve">23 735 408 685 </w:t>
      </w:r>
      <w:r w:rsidR="00C83A5F" w:rsidRPr="00A13CEF">
        <w:rPr>
          <w:rFonts w:cstheme="minorHAnsi"/>
        </w:rPr>
        <w:t xml:space="preserve">лева </w:t>
      </w:r>
      <w:r w:rsidRPr="00A13CEF">
        <w:rPr>
          <w:rFonts w:cstheme="minorHAnsi"/>
        </w:rPr>
        <w:t xml:space="preserve">в края на </w:t>
      </w:r>
      <w:r w:rsidR="00213288" w:rsidRPr="00A13CEF">
        <w:rPr>
          <w:rFonts w:cstheme="minorHAnsi"/>
        </w:rPr>
        <w:t>първото шестмесечие</w:t>
      </w:r>
      <w:r w:rsidR="0019633E" w:rsidRPr="00A13CEF">
        <w:rPr>
          <w:rFonts w:cstheme="minorHAnsi"/>
        </w:rPr>
        <w:t xml:space="preserve"> на</w:t>
      </w:r>
      <w:r w:rsidR="006B4F9B" w:rsidRPr="00A13CEF">
        <w:rPr>
          <w:rFonts w:cstheme="minorHAnsi"/>
        </w:rPr>
        <w:t xml:space="preserve"> 2017</w:t>
      </w:r>
      <w:r w:rsidRPr="00A13CEF">
        <w:rPr>
          <w:rFonts w:cstheme="minorHAnsi"/>
        </w:rPr>
        <w:t xml:space="preserve"> г., което представлява </w:t>
      </w:r>
      <w:r w:rsidR="006A08D0" w:rsidRPr="00A13CEF">
        <w:rPr>
          <w:rFonts w:cstheme="minorHAnsi"/>
        </w:rPr>
        <w:t>ръст</w:t>
      </w:r>
      <w:r w:rsidR="00403A3B" w:rsidRPr="00A13CEF">
        <w:rPr>
          <w:rFonts w:cstheme="minorHAnsi"/>
        </w:rPr>
        <w:t xml:space="preserve"> </w:t>
      </w:r>
      <w:r w:rsidR="006A08D0" w:rsidRPr="00A13CEF">
        <w:rPr>
          <w:rFonts w:cstheme="minorHAnsi"/>
        </w:rPr>
        <w:t>от</w:t>
      </w:r>
      <w:r w:rsidRPr="00A13CEF">
        <w:rPr>
          <w:rFonts w:cstheme="minorHAnsi"/>
        </w:rPr>
        <w:t xml:space="preserve"> </w:t>
      </w:r>
      <w:r w:rsidR="009C6920" w:rsidRPr="00A13CEF">
        <w:rPr>
          <w:rFonts w:cstheme="minorHAnsi"/>
        </w:rPr>
        <w:t>111,9</w:t>
      </w:r>
      <w:r w:rsidRPr="00A13CEF">
        <w:rPr>
          <w:rFonts w:cstheme="minorHAnsi"/>
        </w:rPr>
        <w:t xml:space="preserve">% в сравнение със стойността от </w:t>
      </w:r>
      <w:r w:rsidR="009C6920" w:rsidRPr="00A13CEF">
        <w:rPr>
          <w:rFonts w:cstheme="minorHAnsi"/>
        </w:rPr>
        <w:t>11 199 572 803</w:t>
      </w:r>
      <w:r w:rsidR="006B4F9B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 xml:space="preserve">лв. в края на </w:t>
      </w:r>
      <w:r w:rsidR="00213288" w:rsidRPr="00A13CEF">
        <w:rPr>
          <w:rFonts w:cstheme="minorHAnsi"/>
        </w:rPr>
        <w:t>първата половина на 201</w:t>
      </w:r>
      <w:r w:rsidR="009C6920" w:rsidRPr="00A13CEF">
        <w:rPr>
          <w:rFonts w:cstheme="minorHAnsi"/>
        </w:rPr>
        <w:t>7</w:t>
      </w:r>
      <w:r w:rsidR="00213288" w:rsidRPr="00A13CEF">
        <w:rPr>
          <w:rFonts w:cstheme="minorHAnsi"/>
        </w:rPr>
        <w:t xml:space="preserve"> година</w:t>
      </w:r>
      <w:r w:rsidRPr="00A13CEF">
        <w:rPr>
          <w:rFonts w:cstheme="minorHAnsi"/>
        </w:rPr>
        <w:t xml:space="preserve"> (виж. Таблица 8).</w:t>
      </w:r>
      <w:r w:rsidR="006B4F9B" w:rsidRPr="00A13CEF">
        <w:rPr>
          <w:rFonts w:cstheme="minorHAnsi"/>
        </w:rPr>
        <w:t xml:space="preserve"> </w:t>
      </w:r>
      <w:r w:rsidR="00235507" w:rsidRPr="00A13CEF">
        <w:rPr>
          <w:rFonts w:cstheme="minorHAnsi"/>
        </w:rPr>
        <w:t>П</w:t>
      </w:r>
      <w:r w:rsidR="006B4F9B" w:rsidRPr="00A13CEF">
        <w:rPr>
          <w:rFonts w:cstheme="minorHAnsi"/>
        </w:rPr>
        <w:t>азарната капитализация</w:t>
      </w:r>
      <w:r w:rsidRPr="00A13CEF">
        <w:rPr>
          <w:rFonts w:cstheme="minorHAnsi"/>
        </w:rPr>
        <w:t xml:space="preserve"> на </w:t>
      </w:r>
      <w:r w:rsidR="006B4F9B" w:rsidRPr="00A13CEF">
        <w:rPr>
          <w:rFonts w:cstheme="minorHAnsi"/>
        </w:rPr>
        <w:t>сегменти</w:t>
      </w:r>
      <w:r w:rsidR="009C6920" w:rsidRPr="00A13CEF">
        <w:rPr>
          <w:rFonts w:cstheme="minorHAnsi"/>
        </w:rPr>
        <w:t xml:space="preserve">те </w:t>
      </w:r>
      <w:r w:rsidR="009C6920" w:rsidRPr="00A13CEF">
        <w:rPr>
          <w:rFonts w:cstheme="minorHAnsi"/>
          <w:lang w:val="en-US"/>
        </w:rPr>
        <w:t xml:space="preserve">Standard </w:t>
      </w:r>
      <w:r w:rsidR="009C6920" w:rsidRPr="00A13CEF">
        <w:rPr>
          <w:rFonts w:cstheme="minorHAnsi"/>
        </w:rPr>
        <w:t xml:space="preserve">и </w:t>
      </w:r>
      <w:r w:rsidR="009C6920" w:rsidRPr="00A13CEF">
        <w:rPr>
          <w:rFonts w:cstheme="minorHAnsi"/>
          <w:lang w:val="en-US"/>
        </w:rPr>
        <w:t xml:space="preserve">Premium </w:t>
      </w:r>
      <w:r w:rsidR="00403A3B" w:rsidRPr="00A13CEF">
        <w:rPr>
          <w:rFonts w:cstheme="minorHAnsi"/>
        </w:rPr>
        <w:t xml:space="preserve">на </w:t>
      </w:r>
      <w:r w:rsidR="00213288" w:rsidRPr="00A13CEF">
        <w:rPr>
          <w:rFonts w:cstheme="minorHAnsi"/>
        </w:rPr>
        <w:t xml:space="preserve">Основния пазар </w:t>
      </w:r>
      <w:r w:rsidR="009C6920" w:rsidRPr="00A13CEF">
        <w:rPr>
          <w:rFonts w:cstheme="minorHAnsi"/>
        </w:rPr>
        <w:t>намаля съответно със 7,83% и 5,63%, а тези на Сегмент АДСИЦ на Основния и двата сегмента на</w:t>
      </w:r>
      <w:r w:rsidR="00403A3B" w:rsidRPr="00A13CEF">
        <w:rPr>
          <w:rFonts w:cstheme="minorHAnsi"/>
        </w:rPr>
        <w:t xml:space="preserve"> </w:t>
      </w:r>
      <w:r w:rsidR="006B4F9B" w:rsidRPr="00A13CEF">
        <w:rPr>
          <w:rFonts w:cstheme="minorHAnsi"/>
        </w:rPr>
        <w:t xml:space="preserve">Алтернативния пазар </w:t>
      </w:r>
      <w:r w:rsidR="006B4F9B" w:rsidRPr="00A13CEF">
        <w:rPr>
          <w:rFonts w:cstheme="minorHAnsi"/>
        </w:rPr>
        <w:lastRenderedPageBreak/>
        <w:t>нарасна</w:t>
      </w:r>
      <w:r w:rsidR="009C6920" w:rsidRPr="00A13CEF">
        <w:rPr>
          <w:rFonts w:cstheme="minorHAnsi"/>
        </w:rPr>
        <w:t>ха</w:t>
      </w:r>
      <w:r w:rsidR="00403A3B" w:rsidRPr="00A13CEF">
        <w:rPr>
          <w:rFonts w:cstheme="minorHAnsi"/>
        </w:rPr>
        <w:t>.</w:t>
      </w:r>
      <w:r w:rsidR="006B4F9B" w:rsidRPr="00A13CEF">
        <w:rPr>
          <w:rFonts w:cstheme="minorHAnsi"/>
        </w:rPr>
        <w:t xml:space="preserve"> </w:t>
      </w:r>
    </w:p>
    <w:p w:rsidR="00A33B2C" w:rsidRPr="00A13CEF" w:rsidRDefault="009C6920" w:rsidP="001A50AB">
      <w:pPr>
        <w:rPr>
          <w:rFonts w:cstheme="minorHAnsi"/>
        </w:rPr>
      </w:pPr>
      <w:r w:rsidRPr="00A13CEF">
        <w:rPr>
          <w:rFonts w:cstheme="minorHAnsi"/>
          <w:szCs w:val="22"/>
        </w:rPr>
        <w:t xml:space="preserve">Най-голям ръст в относителен и абсолютен размер имаше в капитализацията на сегмента за акции на Алтернативен пазар, която отбеляза ръст от 1 019,48% или 13,11 милиарда лева след </w:t>
      </w:r>
      <w:proofErr w:type="spellStart"/>
      <w:r w:rsidRPr="00A13CEF">
        <w:rPr>
          <w:rFonts w:cstheme="minorHAnsi"/>
          <w:szCs w:val="22"/>
        </w:rPr>
        <w:t>листване</w:t>
      </w:r>
      <w:proofErr w:type="spellEnd"/>
      <w:r w:rsidRPr="00A13CEF">
        <w:rPr>
          <w:rFonts w:cstheme="minorHAnsi"/>
          <w:szCs w:val="22"/>
        </w:rPr>
        <w:t xml:space="preserve"> на емисия </w:t>
      </w:r>
      <w:proofErr w:type="spellStart"/>
      <w:r w:rsidRPr="00A13CEF">
        <w:rPr>
          <w:rFonts w:cstheme="minorHAnsi"/>
          <w:szCs w:val="22"/>
        </w:rPr>
        <w:t>варанти</w:t>
      </w:r>
      <w:proofErr w:type="spellEnd"/>
      <w:r w:rsidRPr="00A13CEF">
        <w:rPr>
          <w:rFonts w:cstheme="minorHAnsi"/>
          <w:szCs w:val="22"/>
        </w:rPr>
        <w:t xml:space="preserve"> с над 2,1 милиарда броя инструменти и сделка на цена от над шест лева за инструмент. Първоначално тази емисия бе </w:t>
      </w:r>
      <w:proofErr w:type="spellStart"/>
      <w:r w:rsidRPr="00A13CEF">
        <w:rPr>
          <w:rFonts w:cstheme="minorHAnsi"/>
          <w:szCs w:val="22"/>
        </w:rPr>
        <w:t>листвана</w:t>
      </w:r>
      <w:proofErr w:type="spellEnd"/>
      <w:r w:rsidRPr="00A13CEF">
        <w:rPr>
          <w:rFonts w:cstheme="minorHAnsi"/>
          <w:szCs w:val="22"/>
        </w:rPr>
        <w:t xml:space="preserve"> на сегмент </w:t>
      </w:r>
      <w:r w:rsidRPr="00A13CEF">
        <w:rPr>
          <w:rFonts w:cstheme="minorHAnsi"/>
          <w:szCs w:val="22"/>
          <w:lang w:val="en-US"/>
        </w:rPr>
        <w:t xml:space="preserve">Standard </w:t>
      </w:r>
      <w:r w:rsidRPr="00A13CEF">
        <w:rPr>
          <w:rFonts w:cstheme="minorHAnsi"/>
          <w:szCs w:val="22"/>
        </w:rPr>
        <w:t>на Основен пазар, но впоследствие, през първото тримесечие на 2018 година бе преместена на Алтернативен</w:t>
      </w:r>
      <w:r w:rsidR="006B4F9B" w:rsidRPr="00A13CEF">
        <w:rPr>
          <w:rFonts w:cstheme="minorHAnsi"/>
        </w:rPr>
        <w:t xml:space="preserve">. </w:t>
      </w:r>
      <w:r w:rsidR="007756A8" w:rsidRPr="00A13CEF">
        <w:rPr>
          <w:rFonts w:cstheme="minorHAnsi"/>
        </w:rPr>
        <w:t>(Таблица 9)</w:t>
      </w:r>
      <w:r w:rsidR="007700BA" w:rsidRPr="00A13CEF">
        <w:rPr>
          <w:rFonts w:cstheme="minorHAnsi"/>
        </w:rPr>
        <w:t>.</w:t>
      </w:r>
    </w:p>
    <w:p w:rsidR="000515C3" w:rsidRPr="00A13CEF" w:rsidRDefault="004F60F1" w:rsidP="000515C3">
      <w:pPr>
        <w:spacing w:before="240"/>
        <w:rPr>
          <w:rFonts w:cstheme="minorHAnsi"/>
        </w:rPr>
      </w:pPr>
      <w:r w:rsidRPr="00A13CEF">
        <w:rPr>
          <w:rFonts w:cstheme="minorHAnsi"/>
        </w:rPr>
        <w:t>Таблица 8: Пазарна капитализация по видове инструменти и общо (сравнение)</w:t>
      </w:r>
    </w:p>
    <w:tbl>
      <w:tblPr>
        <w:tblW w:w="9102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49"/>
        <w:gridCol w:w="1984"/>
        <w:gridCol w:w="1985"/>
        <w:gridCol w:w="1984"/>
      </w:tblGrid>
      <w:tr w:rsidR="000515C3" w:rsidRPr="00A13CEF" w:rsidTr="003F40B5">
        <w:trPr>
          <w:trHeight w:val="170"/>
          <w:jc w:val="center"/>
        </w:trPr>
        <w:tc>
          <w:tcPr>
            <w:tcW w:w="3149" w:type="dxa"/>
            <w:tcBorders>
              <w:right w:val="single" w:sz="2" w:space="0" w:color="auto"/>
            </w:tcBorders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Капитализация</w:t>
            </w:r>
          </w:p>
        </w:tc>
        <w:tc>
          <w:tcPr>
            <w:tcW w:w="1985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(BGN)</w:t>
            </w:r>
          </w:p>
        </w:tc>
        <w:tc>
          <w:tcPr>
            <w:tcW w:w="1984" w:type="dxa"/>
            <w:tcBorders>
              <w:left w:val="single" w:sz="2" w:space="0" w:color="auto"/>
            </w:tcBorders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сравнение</w:t>
            </w:r>
          </w:p>
        </w:tc>
      </w:tr>
      <w:tr w:rsidR="000515C3" w:rsidRPr="00A13CEF" w:rsidTr="003F40B5">
        <w:trPr>
          <w:trHeight w:val="170"/>
          <w:jc w:val="center"/>
        </w:trPr>
        <w:tc>
          <w:tcPr>
            <w:tcW w:w="3149" w:type="dxa"/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Сегмент/пазар</w:t>
            </w:r>
          </w:p>
        </w:tc>
        <w:tc>
          <w:tcPr>
            <w:tcW w:w="1984" w:type="dxa"/>
            <w:tcBorders>
              <w:top w:val="single" w:sz="2" w:space="0" w:color="auto"/>
            </w:tcBorders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30.06.2017 г.</w:t>
            </w:r>
          </w:p>
        </w:tc>
        <w:tc>
          <w:tcPr>
            <w:tcW w:w="1985" w:type="dxa"/>
            <w:tcBorders>
              <w:top w:val="single" w:sz="2" w:space="0" w:color="auto"/>
            </w:tcBorders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30.06.2018 г.</w:t>
            </w:r>
          </w:p>
        </w:tc>
        <w:tc>
          <w:tcPr>
            <w:tcW w:w="1984" w:type="dxa"/>
            <w:shd w:val="clear" w:color="auto" w:fill="4F81BD" w:themeFill="accent1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H1 '18 / H1 '17</w:t>
            </w:r>
          </w:p>
        </w:tc>
      </w:tr>
      <w:tr w:rsidR="000515C3" w:rsidRPr="00A13CEF" w:rsidTr="003F40B5">
        <w:trPr>
          <w:trHeight w:val="170"/>
          <w:jc w:val="center"/>
        </w:trPr>
        <w:tc>
          <w:tcPr>
            <w:tcW w:w="3149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Пазари на акции без АДСИЦ</w:t>
            </w:r>
          </w:p>
        </w:tc>
        <w:tc>
          <w:tcPr>
            <w:tcW w:w="1984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10 201 708 342</w:t>
            </w:r>
          </w:p>
        </w:tc>
        <w:tc>
          <w:tcPr>
            <w:tcW w:w="1985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22 668 066 487</w:t>
            </w:r>
          </w:p>
        </w:tc>
        <w:tc>
          <w:tcPr>
            <w:tcW w:w="1984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122.20%</w:t>
            </w:r>
          </w:p>
        </w:tc>
      </w:tr>
      <w:tr w:rsidR="000515C3" w:rsidRPr="00A13CEF" w:rsidTr="003F40B5">
        <w:trPr>
          <w:trHeight w:val="170"/>
          <w:jc w:val="center"/>
        </w:trPr>
        <w:tc>
          <w:tcPr>
            <w:tcW w:w="3149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Пазар на АДСИЦ</w:t>
            </w:r>
          </w:p>
        </w:tc>
        <w:tc>
          <w:tcPr>
            <w:tcW w:w="1984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997 864 461</w:t>
            </w:r>
          </w:p>
        </w:tc>
        <w:tc>
          <w:tcPr>
            <w:tcW w:w="1985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1 067 342 198</w:t>
            </w:r>
          </w:p>
        </w:tc>
        <w:tc>
          <w:tcPr>
            <w:tcW w:w="1984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6.96%</w:t>
            </w:r>
          </w:p>
        </w:tc>
      </w:tr>
      <w:tr w:rsidR="000515C3" w:rsidRPr="00A13CEF" w:rsidTr="003F40B5">
        <w:trPr>
          <w:trHeight w:val="170"/>
          <w:jc w:val="center"/>
        </w:trPr>
        <w:tc>
          <w:tcPr>
            <w:tcW w:w="3149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Обща пазарна капитализация</w:t>
            </w:r>
          </w:p>
        </w:tc>
        <w:tc>
          <w:tcPr>
            <w:tcW w:w="1984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11 199 572 803</w:t>
            </w:r>
          </w:p>
        </w:tc>
        <w:tc>
          <w:tcPr>
            <w:tcW w:w="1985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23 735 408 685</w:t>
            </w:r>
          </w:p>
        </w:tc>
        <w:tc>
          <w:tcPr>
            <w:tcW w:w="1984" w:type="dxa"/>
          </w:tcPr>
          <w:p w:rsidR="000515C3" w:rsidRPr="00A13CEF" w:rsidRDefault="000515C3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111.93%</w:t>
            </w:r>
          </w:p>
        </w:tc>
      </w:tr>
    </w:tbl>
    <w:p w:rsidR="000515C3" w:rsidRPr="00A13CEF" w:rsidRDefault="004F60F1" w:rsidP="000515C3">
      <w:pPr>
        <w:spacing w:before="240"/>
        <w:rPr>
          <w:rFonts w:cstheme="minorHAnsi"/>
        </w:rPr>
      </w:pPr>
      <w:r w:rsidRPr="00A13CEF">
        <w:rPr>
          <w:rFonts w:cstheme="minorHAnsi"/>
        </w:rPr>
        <w:t>Таблица 9: Пазарна капитализация по пазарни сегменти (сравнение)</w:t>
      </w:r>
    </w:p>
    <w:tbl>
      <w:tblPr>
        <w:tblW w:w="8961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24"/>
        <w:gridCol w:w="850"/>
        <w:gridCol w:w="1843"/>
        <w:gridCol w:w="1843"/>
        <w:gridCol w:w="1701"/>
      </w:tblGrid>
      <w:tr w:rsidR="000515C3" w:rsidRPr="00A13CEF" w:rsidTr="003F40B5">
        <w:trPr>
          <w:trHeight w:val="244"/>
          <w:jc w:val="center"/>
        </w:trPr>
        <w:tc>
          <w:tcPr>
            <w:tcW w:w="2724" w:type="dxa"/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50" w:type="dxa"/>
            <w:tcBorders>
              <w:right w:val="single" w:sz="2" w:space="0" w:color="auto"/>
            </w:tcBorders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Капитализация</w:t>
            </w:r>
          </w:p>
        </w:tc>
        <w:tc>
          <w:tcPr>
            <w:tcW w:w="1843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(BGN)</w:t>
            </w:r>
          </w:p>
        </w:tc>
        <w:tc>
          <w:tcPr>
            <w:tcW w:w="1701" w:type="dxa"/>
            <w:tcBorders>
              <w:left w:val="single" w:sz="2" w:space="0" w:color="auto"/>
            </w:tcBorders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сравнение</w:t>
            </w:r>
          </w:p>
        </w:tc>
      </w:tr>
      <w:tr w:rsidR="000515C3" w:rsidRPr="00A13CEF" w:rsidTr="003F40B5">
        <w:trPr>
          <w:trHeight w:val="244"/>
          <w:jc w:val="center"/>
        </w:trPr>
        <w:tc>
          <w:tcPr>
            <w:tcW w:w="2724" w:type="dxa"/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Пазарен сегмент</w:t>
            </w:r>
          </w:p>
        </w:tc>
        <w:tc>
          <w:tcPr>
            <w:tcW w:w="850" w:type="dxa"/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пазар</w:t>
            </w:r>
          </w:p>
        </w:tc>
        <w:tc>
          <w:tcPr>
            <w:tcW w:w="1843" w:type="dxa"/>
            <w:tcBorders>
              <w:top w:val="single" w:sz="2" w:space="0" w:color="auto"/>
            </w:tcBorders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30.06.2017 г.</w:t>
            </w:r>
          </w:p>
        </w:tc>
        <w:tc>
          <w:tcPr>
            <w:tcW w:w="1843" w:type="dxa"/>
            <w:tcBorders>
              <w:top w:val="single" w:sz="2" w:space="0" w:color="auto"/>
            </w:tcBorders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30.06.2018 г.</w:t>
            </w:r>
          </w:p>
        </w:tc>
        <w:tc>
          <w:tcPr>
            <w:tcW w:w="1701" w:type="dxa"/>
            <w:shd w:val="clear" w:color="auto" w:fill="4F81BD" w:themeFill="accent1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H1 '18 / H1 '17</w:t>
            </w:r>
          </w:p>
        </w:tc>
      </w:tr>
      <w:tr w:rsidR="000515C3" w:rsidRPr="00A13CEF" w:rsidTr="003F40B5">
        <w:trPr>
          <w:trHeight w:val="244"/>
          <w:jc w:val="center"/>
        </w:trPr>
        <w:tc>
          <w:tcPr>
            <w:tcW w:w="2724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акции Premium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2 290 374 504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2 161 526 445</w:t>
            </w:r>
          </w:p>
        </w:tc>
        <w:tc>
          <w:tcPr>
            <w:tcW w:w="1701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-5.63%</w:t>
            </w:r>
          </w:p>
        </w:tc>
      </w:tr>
      <w:tr w:rsidR="000515C3" w:rsidRPr="00A13CEF" w:rsidTr="003F40B5">
        <w:trPr>
          <w:trHeight w:val="244"/>
          <w:jc w:val="center"/>
        </w:trPr>
        <w:tc>
          <w:tcPr>
            <w:tcW w:w="2724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акции Standard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6 625 015 568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6 106 443 025</w:t>
            </w:r>
          </w:p>
        </w:tc>
        <w:tc>
          <w:tcPr>
            <w:tcW w:w="1701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-7.83%</w:t>
            </w:r>
          </w:p>
        </w:tc>
      </w:tr>
      <w:tr w:rsidR="000515C3" w:rsidRPr="00A13CEF" w:rsidTr="003F40B5">
        <w:trPr>
          <w:trHeight w:val="244"/>
          <w:jc w:val="center"/>
        </w:trPr>
        <w:tc>
          <w:tcPr>
            <w:tcW w:w="2724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АДСИЦ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BSE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635 235 956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692 585 609</w:t>
            </w:r>
          </w:p>
        </w:tc>
        <w:tc>
          <w:tcPr>
            <w:tcW w:w="1701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9.03%</w:t>
            </w:r>
          </w:p>
        </w:tc>
      </w:tr>
      <w:tr w:rsidR="000515C3" w:rsidRPr="00A13CEF" w:rsidTr="003F40B5">
        <w:trPr>
          <w:trHeight w:val="244"/>
          <w:jc w:val="center"/>
        </w:trPr>
        <w:tc>
          <w:tcPr>
            <w:tcW w:w="2724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Сегмент акции 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BaSE</w:t>
            </w:r>
            <w:proofErr w:type="spellEnd"/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1 286 318 270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14 400 097 017</w:t>
            </w:r>
          </w:p>
        </w:tc>
        <w:tc>
          <w:tcPr>
            <w:tcW w:w="1701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1 019.48%</w:t>
            </w:r>
          </w:p>
        </w:tc>
      </w:tr>
      <w:tr w:rsidR="000515C3" w:rsidRPr="00A13CEF" w:rsidTr="003F40B5">
        <w:trPr>
          <w:trHeight w:val="245"/>
          <w:jc w:val="center"/>
        </w:trPr>
        <w:tc>
          <w:tcPr>
            <w:tcW w:w="2724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Сегмент АДСИЦ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BaSE</w:t>
            </w:r>
            <w:proofErr w:type="spellEnd"/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362 628 504</w:t>
            </w:r>
          </w:p>
        </w:tc>
        <w:tc>
          <w:tcPr>
            <w:tcW w:w="1843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374 756 589</w:t>
            </w:r>
          </w:p>
        </w:tc>
        <w:tc>
          <w:tcPr>
            <w:tcW w:w="1701" w:type="dxa"/>
            <w:tcMar>
              <w:left w:w="57" w:type="dxa"/>
              <w:right w:w="57" w:type="dxa"/>
            </w:tcMar>
          </w:tcPr>
          <w:p w:rsidR="000515C3" w:rsidRPr="00A13CEF" w:rsidRDefault="000515C3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3.34%</w:t>
            </w:r>
          </w:p>
        </w:tc>
      </w:tr>
    </w:tbl>
    <w:p w:rsidR="003F40B5" w:rsidRPr="00A13CEF" w:rsidRDefault="004F60F1" w:rsidP="003F40B5">
      <w:pPr>
        <w:spacing w:before="240" w:line="240" w:lineRule="auto"/>
        <w:rPr>
          <w:rFonts w:cstheme="minorHAnsi"/>
        </w:rPr>
      </w:pPr>
      <w:r w:rsidRPr="00A13CEF">
        <w:rPr>
          <w:rFonts w:cstheme="minorHAnsi"/>
        </w:rPr>
        <w:t>Таблица 10. Пазарна капитализация / Брутен вътрешен продукт</w:t>
      </w:r>
    </w:p>
    <w:tbl>
      <w:tblPr>
        <w:tblW w:w="881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80"/>
        <w:gridCol w:w="1512"/>
        <w:gridCol w:w="1275"/>
        <w:gridCol w:w="1276"/>
        <w:gridCol w:w="1276"/>
      </w:tblGrid>
      <w:tr w:rsidR="003F40B5" w:rsidRPr="00A13CEF" w:rsidTr="003F40B5">
        <w:trPr>
          <w:trHeight w:val="170"/>
          <w:jc w:val="center"/>
        </w:trPr>
        <w:tc>
          <w:tcPr>
            <w:tcW w:w="3480" w:type="dxa"/>
            <w:shd w:val="clear" w:color="auto" w:fill="4F81BD" w:themeFill="accent1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FFFFFF" w:themeColor="background1"/>
                <w:szCs w:val="22"/>
              </w:rPr>
            </w:pPr>
          </w:p>
        </w:tc>
        <w:tc>
          <w:tcPr>
            <w:tcW w:w="1512" w:type="dxa"/>
            <w:shd w:val="clear" w:color="auto" w:fill="4F81BD" w:themeFill="accent1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Cs w:val="22"/>
              </w:rPr>
            </w:pPr>
            <w:r w:rsidRPr="00A13CEF">
              <w:rPr>
                <w:rFonts w:cstheme="minorHAnsi"/>
                <w:color w:val="FFFFFF" w:themeColor="background1"/>
                <w:szCs w:val="22"/>
              </w:rPr>
              <w:t>31.12.2015</w:t>
            </w:r>
          </w:p>
        </w:tc>
        <w:tc>
          <w:tcPr>
            <w:tcW w:w="1275" w:type="dxa"/>
            <w:shd w:val="clear" w:color="auto" w:fill="4F81BD" w:themeFill="accent1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Cs w:val="22"/>
              </w:rPr>
            </w:pPr>
            <w:r w:rsidRPr="00A13CEF">
              <w:rPr>
                <w:rFonts w:cstheme="minorHAnsi"/>
                <w:color w:val="FFFFFF" w:themeColor="background1"/>
                <w:szCs w:val="22"/>
              </w:rPr>
              <w:t>31.12.2016</w:t>
            </w:r>
          </w:p>
        </w:tc>
        <w:tc>
          <w:tcPr>
            <w:tcW w:w="1276" w:type="dxa"/>
            <w:shd w:val="clear" w:color="auto" w:fill="4F81BD" w:themeFill="accent1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Cs w:val="22"/>
              </w:rPr>
            </w:pPr>
            <w:r w:rsidRPr="00A13CEF">
              <w:rPr>
                <w:rFonts w:cstheme="minorHAnsi"/>
                <w:color w:val="FFFFFF" w:themeColor="background1"/>
                <w:szCs w:val="22"/>
              </w:rPr>
              <w:t>31.12.2017</w:t>
            </w:r>
          </w:p>
        </w:tc>
        <w:tc>
          <w:tcPr>
            <w:tcW w:w="1276" w:type="dxa"/>
            <w:shd w:val="clear" w:color="auto" w:fill="4F81BD" w:themeFill="accent1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Cs w:val="22"/>
              </w:rPr>
            </w:pPr>
            <w:r w:rsidRPr="00A13CEF">
              <w:rPr>
                <w:rFonts w:cstheme="minorHAnsi"/>
                <w:color w:val="FFFFFF" w:themeColor="background1"/>
                <w:szCs w:val="22"/>
              </w:rPr>
              <w:t>30.06.2018</w:t>
            </w:r>
          </w:p>
        </w:tc>
      </w:tr>
      <w:tr w:rsidR="003F40B5" w:rsidRPr="00A13CEF" w:rsidTr="003F40B5">
        <w:trPr>
          <w:trHeight w:val="170"/>
          <w:jc w:val="center"/>
        </w:trPr>
        <w:tc>
          <w:tcPr>
            <w:tcW w:w="3480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Пазарна капитализация (млн. лв.)</w:t>
            </w:r>
          </w:p>
        </w:tc>
        <w:tc>
          <w:tcPr>
            <w:tcW w:w="1512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8 587,42</w:t>
            </w:r>
          </w:p>
        </w:tc>
        <w:tc>
          <w:tcPr>
            <w:tcW w:w="1275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9 682.52</w:t>
            </w:r>
          </w:p>
        </w:tc>
        <w:tc>
          <w:tcPr>
            <w:tcW w:w="1276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23 620.97</w:t>
            </w:r>
          </w:p>
        </w:tc>
        <w:tc>
          <w:tcPr>
            <w:tcW w:w="1276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23 735.41</w:t>
            </w:r>
          </w:p>
        </w:tc>
      </w:tr>
      <w:tr w:rsidR="003F40B5" w:rsidRPr="00A13CEF" w:rsidTr="003F40B5">
        <w:trPr>
          <w:trHeight w:val="170"/>
          <w:jc w:val="center"/>
        </w:trPr>
        <w:tc>
          <w:tcPr>
            <w:tcW w:w="3480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БВП (млн. лв.) *</w:t>
            </w:r>
          </w:p>
        </w:tc>
        <w:tc>
          <w:tcPr>
            <w:tcW w:w="1512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86 373</w:t>
            </w:r>
          </w:p>
        </w:tc>
        <w:tc>
          <w:tcPr>
            <w:tcW w:w="1275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92 635</w:t>
            </w:r>
          </w:p>
        </w:tc>
        <w:tc>
          <w:tcPr>
            <w:tcW w:w="1276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98 631</w:t>
            </w:r>
          </w:p>
        </w:tc>
        <w:tc>
          <w:tcPr>
            <w:tcW w:w="1276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103 252</w:t>
            </w:r>
          </w:p>
        </w:tc>
      </w:tr>
      <w:tr w:rsidR="003F40B5" w:rsidRPr="00A13CEF" w:rsidTr="003F40B5">
        <w:trPr>
          <w:trHeight w:val="170"/>
          <w:jc w:val="center"/>
        </w:trPr>
        <w:tc>
          <w:tcPr>
            <w:tcW w:w="3480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Пазарна капитализация/ БВП</w:t>
            </w:r>
          </w:p>
        </w:tc>
        <w:tc>
          <w:tcPr>
            <w:tcW w:w="1512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9.94%</w:t>
            </w:r>
          </w:p>
        </w:tc>
        <w:tc>
          <w:tcPr>
            <w:tcW w:w="1275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10.45%</w:t>
            </w:r>
          </w:p>
        </w:tc>
        <w:tc>
          <w:tcPr>
            <w:tcW w:w="1276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23.95%</w:t>
            </w:r>
          </w:p>
        </w:tc>
        <w:tc>
          <w:tcPr>
            <w:tcW w:w="1276" w:type="dxa"/>
          </w:tcPr>
          <w:p w:rsidR="003F40B5" w:rsidRPr="00A13CEF" w:rsidRDefault="003F40B5" w:rsidP="003F40B5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22.99%</w:t>
            </w:r>
          </w:p>
        </w:tc>
      </w:tr>
    </w:tbl>
    <w:p w:rsidR="00106038" w:rsidRPr="00A13CEF" w:rsidRDefault="007B1E7A" w:rsidP="001A50AB">
      <w:pPr>
        <w:rPr>
          <w:rFonts w:cstheme="minorHAnsi"/>
        </w:rPr>
      </w:pPr>
      <w:r w:rsidRPr="00A13CEF">
        <w:rPr>
          <w:rFonts w:cstheme="minorHAnsi"/>
        </w:rPr>
        <w:t xml:space="preserve">* </w:t>
      </w:r>
      <w:r w:rsidR="004F60F1" w:rsidRPr="00A13CEF">
        <w:rPr>
          <w:rFonts w:cstheme="minorHAnsi"/>
        </w:rPr>
        <w:t xml:space="preserve">БВП </w:t>
      </w:r>
      <w:r w:rsidRPr="00A13CEF">
        <w:rPr>
          <w:rFonts w:cstheme="minorHAnsi"/>
        </w:rPr>
        <w:t xml:space="preserve">за текущия период </w:t>
      </w:r>
      <w:r w:rsidR="004F60F1" w:rsidRPr="00A13CEF">
        <w:rPr>
          <w:rFonts w:cstheme="minorHAnsi"/>
        </w:rPr>
        <w:t>е п</w:t>
      </w:r>
      <w:r w:rsidR="006B0D94" w:rsidRPr="00A13CEF">
        <w:rPr>
          <w:rFonts w:cstheme="minorHAnsi"/>
        </w:rPr>
        <w:t xml:space="preserve">о </w:t>
      </w:r>
      <w:r w:rsidR="00B96A5D" w:rsidRPr="00A13CEF">
        <w:rPr>
          <w:rFonts w:cstheme="minorHAnsi"/>
        </w:rPr>
        <w:t>оценка</w:t>
      </w:r>
      <w:r w:rsidR="006B0D94" w:rsidRPr="00A13CEF">
        <w:rPr>
          <w:rFonts w:cstheme="minorHAnsi"/>
        </w:rPr>
        <w:t xml:space="preserve"> на БНБ </w:t>
      </w:r>
      <w:r w:rsidRPr="00A13CEF">
        <w:rPr>
          <w:rFonts w:cstheme="minorHAnsi"/>
        </w:rPr>
        <w:t>към датата на публикуване на този доклад. За останалите периоди БВП е по окончателни данни за съответната година.</w:t>
      </w:r>
    </w:p>
    <w:p w:rsidR="00CB13ED" w:rsidRPr="00A13CEF" w:rsidRDefault="00CB13ED" w:rsidP="001A50AB">
      <w:pPr>
        <w:pStyle w:val="Mainnumbers"/>
        <w:rPr>
          <w:rFonts w:cstheme="minorHAnsi"/>
        </w:rPr>
      </w:pPr>
      <w:bookmarkStart w:id="23" w:name="_Toc283112105"/>
      <w:bookmarkStart w:id="24" w:name="_Toc520473869"/>
      <w:r w:rsidRPr="00A13CEF">
        <w:rPr>
          <w:rFonts w:cstheme="minorHAnsi"/>
        </w:rPr>
        <w:t xml:space="preserve">Индекси на </w:t>
      </w:r>
      <w:bookmarkEnd w:id="23"/>
      <w:r w:rsidR="00636F5A">
        <w:rPr>
          <w:rFonts w:cstheme="minorHAnsi"/>
        </w:rPr>
        <w:t>Българска фондова борса - София</w:t>
      </w:r>
      <w:bookmarkEnd w:id="24"/>
    </w:p>
    <w:p w:rsidR="0067282F" w:rsidRPr="00A13CEF" w:rsidRDefault="00095414" w:rsidP="0010327A">
      <w:pPr>
        <w:pStyle w:val="NoSpacing"/>
        <w:spacing w:line="276" w:lineRule="auto"/>
        <w:rPr>
          <w:rFonts w:asciiTheme="minorHAnsi" w:hAnsiTheme="minorHAnsi" w:cstheme="minorHAnsi"/>
          <w:szCs w:val="22"/>
        </w:rPr>
      </w:pPr>
      <w:r w:rsidRPr="00A13CEF">
        <w:rPr>
          <w:rFonts w:asciiTheme="minorHAnsi" w:eastAsia="Calibri" w:hAnsiTheme="minorHAnsi" w:cstheme="minorHAnsi"/>
          <w:szCs w:val="22"/>
          <w:lang w:eastAsia="en-US"/>
        </w:rPr>
        <w:t xml:space="preserve">В края на </w:t>
      </w:r>
      <w:r w:rsidR="00F3739A" w:rsidRPr="00A13CEF">
        <w:rPr>
          <w:rFonts w:asciiTheme="minorHAnsi" w:eastAsia="Calibri" w:hAnsiTheme="minorHAnsi" w:cstheme="minorHAnsi"/>
          <w:szCs w:val="22"/>
          <w:lang w:eastAsia="en-US"/>
        </w:rPr>
        <w:t>първото шестмесечие</w:t>
      </w:r>
      <w:r w:rsidR="0067282F"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C01B21" w:rsidRPr="00A13CEF">
        <w:rPr>
          <w:rFonts w:asciiTheme="minorHAnsi" w:eastAsia="Calibri" w:hAnsiTheme="minorHAnsi" w:cstheme="minorHAnsi"/>
          <w:szCs w:val="22"/>
          <w:lang w:eastAsia="en-US"/>
        </w:rPr>
        <w:t xml:space="preserve">бе отбелязано намаление в </w:t>
      </w:r>
      <w:r w:rsidR="00DB6D28" w:rsidRPr="00A13CEF">
        <w:rPr>
          <w:rFonts w:asciiTheme="minorHAnsi" w:eastAsia="Calibri" w:hAnsiTheme="minorHAnsi" w:cstheme="minorHAnsi"/>
          <w:szCs w:val="22"/>
          <w:lang w:eastAsia="en-US"/>
        </w:rPr>
        <w:t xml:space="preserve">стойността </w:t>
      </w:r>
      <w:r w:rsidR="00C01B21" w:rsidRPr="00A13CEF">
        <w:rPr>
          <w:rFonts w:asciiTheme="minorHAnsi" w:eastAsia="Calibri" w:hAnsiTheme="minorHAnsi" w:cstheme="minorHAnsi"/>
          <w:szCs w:val="22"/>
          <w:lang w:eastAsia="en-US"/>
        </w:rPr>
        <w:t xml:space="preserve">на всички индекси на БФБ </w:t>
      </w:r>
      <w:r w:rsidR="00201CFE" w:rsidRPr="00A13CEF">
        <w:rPr>
          <w:rFonts w:asciiTheme="minorHAnsi" w:eastAsia="Calibri" w:hAnsiTheme="minorHAnsi" w:cstheme="minorHAnsi"/>
          <w:szCs w:val="22"/>
          <w:lang w:eastAsia="en-US"/>
        </w:rPr>
        <w:t>спрямо началото му</w:t>
      </w:r>
      <w:r w:rsidRPr="00A13CEF">
        <w:rPr>
          <w:rFonts w:asciiTheme="minorHAnsi" w:eastAsia="Calibri" w:hAnsiTheme="minorHAnsi" w:cstheme="minorHAnsi"/>
          <w:szCs w:val="22"/>
          <w:lang w:eastAsia="en-US"/>
        </w:rPr>
        <w:t>.</w:t>
      </w:r>
      <w:r w:rsidR="007C048D"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67282F" w:rsidRPr="00A13CEF">
        <w:rPr>
          <w:rFonts w:asciiTheme="minorHAnsi" w:hAnsiTheme="minorHAnsi" w:cstheme="minorHAnsi"/>
          <w:szCs w:val="22"/>
        </w:rPr>
        <w:t xml:space="preserve">Както се вижда от графиките по-долу, движението в стойностите на индексите бе сходно, единствено </w:t>
      </w:r>
      <w:r w:rsidR="004929B1" w:rsidRPr="00A13CEF">
        <w:rPr>
          <w:rFonts w:asciiTheme="minorHAnsi" w:hAnsiTheme="minorHAnsi" w:cstheme="minorHAnsi"/>
          <w:szCs w:val="22"/>
        </w:rPr>
        <w:t>изменението</w:t>
      </w:r>
      <w:r w:rsidR="0067282F" w:rsidRPr="00A13CEF">
        <w:rPr>
          <w:rFonts w:asciiTheme="minorHAnsi" w:hAnsiTheme="minorHAnsi" w:cstheme="minorHAnsi"/>
          <w:szCs w:val="22"/>
        </w:rPr>
        <w:t xml:space="preserve"> на BGREIT е с различна форма, което се дължи на типа дружества, съставляващи индекса.</w:t>
      </w:r>
      <w:r w:rsidR="00C01B21" w:rsidRPr="00A13CEF">
        <w:rPr>
          <w:rFonts w:asciiTheme="minorHAnsi" w:hAnsiTheme="minorHAnsi" w:cstheme="minorHAnsi"/>
          <w:szCs w:val="22"/>
        </w:rPr>
        <w:t xml:space="preserve"> Нещо повече, </w:t>
      </w:r>
      <w:r w:rsidR="00BE0D96" w:rsidRPr="00A13CEF">
        <w:rPr>
          <w:rFonts w:asciiTheme="minorHAnsi" w:hAnsiTheme="minorHAnsi" w:cstheme="minorHAnsi"/>
          <w:szCs w:val="22"/>
        </w:rPr>
        <w:t xml:space="preserve">промяната в </w:t>
      </w:r>
      <w:r w:rsidR="00BE0D96" w:rsidRPr="00A13CEF">
        <w:rPr>
          <w:rFonts w:asciiTheme="minorHAnsi" w:hAnsiTheme="minorHAnsi" w:cstheme="minorHAnsi"/>
          <w:szCs w:val="22"/>
          <w:lang w:val="en-US"/>
        </w:rPr>
        <w:t>BGREIT</w:t>
      </w:r>
      <w:r w:rsidR="00BE0D96" w:rsidRPr="00A13CEF">
        <w:rPr>
          <w:rFonts w:asciiTheme="minorHAnsi" w:hAnsiTheme="minorHAnsi" w:cstheme="minorHAnsi"/>
          <w:szCs w:val="22"/>
        </w:rPr>
        <w:t xml:space="preserve"> беше символична, а най-ниската и най-високата стойност на индекса се различаваха едва с 3,17 пункта на фона на спада във всички останали индекси.</w:t>
      </w:r>
    </w:p>
    <w:p w:rsidR="004D1FE8" w:rsidRPr="00A13CEF" w:rsidRDefault="0037435D" w:rsidP="0010327A">
      <w:pPr>
        <w:pStyle w:val="NoSpacing"/>
        <w:spacing w:line="276" w:lineRule="auto"/>
        <w:rPr>
          <w:rFonts w:asciiTheme="minorHAnsi" w:hAnsiTheme="minorHAnsi" w:cstheme="minorHAnsi"/>
          <w:szCs w:val="22"/>
        </w:rPr>
      </w:pPr>
      <w:r w:rsidRPr="00A13CEF">
        <w:rPr>
          <w:rFonts w:asciiTheme="minorHAnsi" w:eastAsia="Calibri" w:hAnsiTheme="minorHAnsi" w:cstheme="minorHAnsi"/>
          <w:szCs w:val="22"/>
          <w:lang w:eastAsia="en-US"/>
        </w:rPr>
        <w:t>Най-голям</w:t>
      </w:r>
      <w:r w:rsidR="007C048D" w:rsidRPr="00A13CEF">
        <w:rPr>
          <w:rFonts w:asciiTheme="minorHAnsi" w:eastAsia="Calibri" w:hAnsiTheme="minorHAnsi" w:cstheme="minorHAnsi"/>
          <w:szCs w:val="22"/>
          <w:lang w:eastAsia="en-US"/>
        </w:rPr>
        <w:t>о</w:t>
      </w:r>
      <w:r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304480" w:rsidRPr="00A13CEF">
        <w:rPr>
          <w:rFonts w:asciiTheme="minorHAnsi" w:eastAsia="Calibri" w:hAnsiTheme="minorHAnsi" w:cstheme="minorHAnsi"/>
          <w:szCs w:val="22"/>
          <w:lang w:eastAsia="en-US"/>
        </w:rPr>
        <w:t xml:space="preserve">в процентно отношение </w:t>
      </w:r>
      <w:r w:rsidRPr="00A13CEF">
        <w:rPr>
          <w:rFonts w:asciiTheme="minorHAnsi" w:eastAsia="Calibri" w:hAnsiTheme="minorHAnsi" w:cstheme="minorHAnsi"/>
          <w:szCs w:val="22"/>
          <w:lang w:eastAsia="en-US"/>
        </w:rPr>
        <w:t xml:space="preserve">бе </w:t>
      </w:r>
      <w:r w:rsidR="00DB6D28" w:rsidRPr="00A13CEF">
        <w:rPr>
          <w:rFonts w:asciiTheme="minorHAnsi" w:eastAsia="Calibri" w:hAnsiTheme="minorHAnsi" w:cstheme="minorHAnsi"/>
          <w:szCs w:val="22"/>
          <w:lang w:eastAsia="en-US"/>
        </w:rPr>
        <w:t>п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он</w:t>
      </w:r>
      <w:r w:rsidR="00DB6D28" w:rsidRPr="00A13CEF">
        <w:rPr>
          <w:rFonts w:asciiTheme="minorHAnsi" w:eastAsia="Calibri" w:hAnsiTheme="minorHAnsi" w:cstheme="minorHAnsi"/>
          <w:szCs w:val="22"/>
          <w:lang w:eastAsia="en-US"/>
        </w:rPr>
        <w:t>и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ж</w:t>
      </w:r>
      <w:r w:rsidR="00DB6D28" w:rsidRPr="00A13CEF">
        <w:rPr>
          <w:rFonts w:asciiTheme="minorHAnsi" w:eastAsia="Calibri" w:hAnsiTheme="minorHAnsi" w:cstheme="minorHAnsi"/>
          <w:szCs w:val="22"/>
          <w:lang w:eastAsia="en-US"/>
        </w:rPr>
        <w:t>ението</w:t>
      </w:r>
      <w:r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A648BD" w:rsidRPr="00A13CEF">
        <w:rPr>
          <w:rFonts w:asciiTheme="minorHAnsi" w:eastAsia="Calibri" w:hAnsiTheme="minorHAnsi" w:cstheme="minorHAnsi"/>
          <w:szCs w:val="22"/>
          <w:lang w:eastAsia="en-US"/>
        </w:rPr>
        <w:t xml:space="preserve">от 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6</w:t>
      </w:r>
      <w:r w:rsidR="007C048D" w:rsidRPr="00A13CEF">
        <w:rPr>
          <w:rFonts w:asciiTheme="minorHAnsi" w:eastAsia="Calibri" w:hAnsiTheme="minorHAnsi" w:cstheme="minorHAnsi"/>
          <w:szCs w:val="22"/>
          <w:lang w:eastAsia="en-US"/>
        </w:rPr>
        <w:t>,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54</w:t>
      </w:r>
      <w:r w:rsidR="00A648BD" w:rsidRPr="00A13CEF">
        <w:rPr>
          <w:rFonts w:asciiTheme="minorHAnsi" w:eastAsia="Calibri" w:hAnsiTheme="minorHAnsi" w:cstheme="minorHAnsi"/>
          <w:szCs w:val="22"/>
          <w:lang w:eastAsia="en-US"/>
        </w:rPr>
        <w:t xml:space="preserve">% </w:t>
      </w:r>
      <w:r w:rsidRPr="00A13CEF">
        <w:rPr>
          <w:rFonts w:asciiTheme="minorHAnsi" w:eastAsia="Calibri" w:hAnsiTheme="minorHAnsi" w:cstheme="minorHAnsi"/>
          <w:szCs w:val="22"/>
          <w:lang w:eastAsia="en-US"/>
        </w:rPr>
        <w:t xml:space="preserve">в стойността на </w:t>
      </w:r>
      <w:r w:rsidR="00BE0D96" w:rsidRPr="00A13CEF">
        <w:rPr>
          <w:rFonts w:asciiTheme="minorHAnsi" w:eastAsia="Calibri" w:hAnsiTheme="minorHAnsi" w:cstheme="minorHAnsi"/>
          <w:szCs w:val="22"/>
          <w:lang w:val="en-US" w:eastAsia="en-US"/>
        </w:rPr>
        <w:t>SOFIX</w:t>
      </w:r>
      <w:r w:rsidR="007C048D"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304480" w:rsidRPr="00A13CEF">
        <w:rPr>
          <w:rFonts w:asciiTheme="minorHAnsi" w:eastAsia="Calibri" w:hAnsiTheme="minorHAnsi" w:cstheme="minorHAnsi"/>
          <w:szCs w:val="22"/>
          <w:lang w:eastAsia="en-US"/>
        </w:rPr>
        <w:t>(</w:t>
      </w:r>
      <w:r w:rsidR="00BE0D96" w:rsidRPr="00A13CEF">
        <w:rPr>
          <w:rFonts w:asciiTheme="minorHAnsi" w:eastAsia="Calibri" w:hAnsiTheme="minorHAnsi" w:cstheme="minorHAnsi"/>
          <w:szCs w:val="22"/>
          <w:lang w:val="en-US" w:eastAsia="en-US"/>
        </w:rPr>
        <w:t>-44.32</w:t>
      </w:r>
      <w:r w:rsidR="00DB6D28"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304480" w:rsidRPr="00A13CEF">
        <w:rPr>
          <w:rFonts w:asciiTheme="minorHAnsi" w:eastAsia="Calibri" w:hAnsiTheme="minorHAnsi" w:cstheme="minorHAnsi"/>
          <w:szCs w:val="22"/>
          <w:lang w:eastAsia="en-US"/>
        </w:rPr>
        <w:t>пункта)</w:t>
      </w:r>
      <w:r w:rsidR="007C048D" w:rsidRPr="00A13CEF">
        <w:rPr>
          <w:rFonts w:asciiTheme="minorHAnsi" w:eastAsia="Calibri" w:hAnsiTheme="minorHAnsi" w:cstheme="minorHAnsi"/>
          <w:szCs w:val="22"/>
          <w:lang w:eastAsia="en-US"/>
        </w:rPr>
        <w:t xml:space="preserve">, </w:t>
      </w:r>
      <w:r w:rsidR="00BE0D96" w:rsidRPr="00A13CEF">
        <w:rPr>
          <w:rFonts w:asciiTheme="minorHAnsi" w:hAnsiTheme="minorHAnsi" w:cstheme="minorHAnsi"/>
          <w:szCs w:val="22"/>
          <w:lang w:val="en-US"/>
        </w:rPr>
        <w:t>BGTR30</w:t>
      </w:r>
      <w:r w:rsidR="00B11C24" w:rsidRPr="00A13CEF">
        <w:rPr>
          <w:rFonts w:asciiTheme="minorHAnsi" w:hAnsiTheme="minorHAnsi" w:cstheme="minorHAnsi"/>
          <w:szCs w:val="22"/>
        </w:rPr>
        <w:t xml:space="preserve"> 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 xml:space="preserve">спадна </w:t>
      </w:r>
      <w:r w:rsidR="00B11C24" w:rsidRPr="00A13CEF">
        <w:rPr>
          <w:rFonts w:asciiTheme="minorHAnsi" w:eastAsia="Calibri" w:hAnsiTheme="minorHAnsi" w:cstheme="minorHAnsi"/>
          <w:szCs w:val="22"/>
          <w:lang w:eastAsia="en-US"/>
        </w:rPr>
        <w:t xml:space="preserve">с </w:t>
      </w:r>
      <w:r w:rsidR="00BE0D96" w:rsidRPr="00A13CEF">
        <w:rPr>
          <w:rFonts w:asciiTheme="minorHAnsi" w:hAnsiTheme="minorHAnsi" w:cstheme="minorHAnsi"/>
          <w:szCs w:val="22"/>
        </w:rPr>
        <w:t>5</w:t>
      </w:r>
      <w:r w:rsidR="00B11C24" w:rsidRPr="00A13CEF">
        <w:rPr>
          <w:rFonts w:asciiTheme="minorHAnsi" w:hAnsiTheme="minorHAnsi" w:cstheme="minorHAnsi"/>
          <w:szCs w:val="22"/>
        </w:rPr>
        <w:t>,</w:t>
      </w:r>
      <w:r w:rsidR="00BE0D96" w:rsidRPr="00A13CEF">
        <w:rPr>
          <w:rFonts w:asciiTheme="minorHAnsi" w:hAnsiTheme="minorHAnsi" w:cstheme="minorHAnsi"/>
          <w:szCs w:val="22"/>
        </w:rPr>
        <w:t>91</w:t>
      </w:r>
      <w:r w:rsidR="00B11C24" w:rsidRPr="00A13CEF">
        <w:rPr>
          <w:rFonts w:asciiTheme="minorHAnsi" w:hAnsiTheme="minorHAnsi" w:cstheme="minorHAnsi"/>
          <w:szCs w:val="22"/>
        </w:rPr>
        <w:t>% (</w:t>
      </w:r>
      <w:r w:rsidR="00BE0D96" w:rsidRPr="00A13CEF">
        <w:rPr>
          <w:rFonts w:asciiTheme="minorHAnsi" w:hAnsiTheme="minorHAnsi" w:cstheme="minorHAnsi"/>
          <w:szCs w:val="22"/>
        </w:rPr>
        <w:t>-32</w:t>
      </w:r>
      <w:r w:rsidR="00B11C24" w:rsidRPr="00A13CEF">
        <w:rPr>
          <w:rFonts w:asciiTheme="minorHAnsi" w:hAnsiTheme="minorHAnsi" w:cstheme="minorHAnsi"/>
          <w:szCs w:val="22"/>
        </w:rPr>
        <w:t>,</w:t>
      </w:r>
      <w:r w:rsidR="00BE0D96" w:rsidRPr="00A13CEF">
        <w:rPr>
          <w:rFonts w:asciiTheme="minorHAnsi" w:hAnsiTheme="minorHAnsi" w:cstheme="minorHAnsi"/>
          <w:szCs w:val="22"/>
        </w:rPr>
        <w:t>84</w:t>
      </w:r>
      <w:r w:rsidR="00B11C24" w:rsidRPr="00A13CEF">
        <w:rPr>
          <w:rFonts w:asciiTheme="minorHAnsi" w:hAnsiTheme="minorHAnsi" w:cstheme="minorHAnsi"/>
          <w:szCs w:val="22"/>
        </w:rPr>
        <w:t xml:space="preserve"> пункта)</w:t>
      </w:r>
      <w:r w:rsidR="00981DAF" w:rsidRPr="00A13CEF">
        <w:rPr>
          <w:rFonts w:asciiTheme="minorHAnsi" w:hAnsiTheme="minorHAnsi" w:cstheme="minorHAnsi"/>
          <w:szCs w:val="22"/>
        </w:rPr>
        <w:t xml:space="preserve">, а </w:t>
      </w:r>
      <w:r w:rsidR="00BE0D96" w:rsidRPr="00A13CEF">
        <w:rPr>
          <w:rFonts w:asciiTheme="minorHAnsi" w:eastAsia="Calibri" w:hAnsiTheme="minorHAnsi" w:cstheme="minorHAnsi"/>
          <w:szCs w:val="22"/>
          <w:lang w:val="en-US" w:eastAsia="en-US"/>
        </w:rPr>
        <w:t>BGBX40</w:t>
      </w:r>
      <w:r w:rsidR="00981DAF" w:rsidRPr="00A13CEF">
        <w:rPr>
          <w:rFonts w:asciiTheme="minorHAnsi" w:eastAsia="Calibri" w:hAnsiTheme="minorHAnsi" w:cstheme="minorHAnsi"/>
          <w:szCs w:val="22"/>
          <w:lang w:eastAsia="en-US"/>
        </w:rPr>
        <w:t xml:space="preserve"> </w:t>
      </w:r>
      <w:r w:rsidR="00BE0D96" w:rsidRPr="00A13CEF">
        <w:rPr>
          <w:rFonts w:asciiTheme="minorHAnsi" w:hAnsiTheme="minorHAnsi" w:cstheme="minorHAnsi"/>
          <w:szCs w:val="22"/>
        </w:rPr>
        <w:t>се понижи</w:t>
      </w:r>
      <w:r w:rsidR="00981DAF" w:rsidRPr="00A13CEF">
        <w:rPr>
          <w:rFonts w:asciiTheme="minorHAnsi" w:hAnsiTheme="minorHAnsi" w:cstheme="minorHAnsi"/>
          <w:szCs w:val="22"/>
        </w:rPr>
        <w:t xml:space="preserve"> с 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5</w:t>
      </w:r>
      <w:r w:rsidR="00981DAF" w:rsidRPr="00A13CEF">
        <w:rPr>
          <w:rFonts w:asciiTheme="minorHAnsi" w:eastAsia="Calibri" w:hAnsiTheme="minorHAnsi" w:cstheme="minorHAnsi"/>
          <w:szCs w:val="22"/>
          <w:lang w:eastAsia="en-US"/>
        </w:rPr>
        <w:t>,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51</w:t>
      </w:r>
      <w:r w:rsidR="00981DAF" w:rsidRPr="00A13CEF">
        <w:rPr>
          <w:rFonts w:asciiTheme="minorHAnsi" w:eastAsia="Calibri" w:hAnsiTheme="minorHAnsi" w:cstheme="minorHAnsi"/>
          <w:szCs w:val="22"/>
          <w:lang w:eastAsia="en-US"/>
        </w:rPr>
        <w:t>% (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-</w:t>
      </w:r>
      <w:r w:rsidR="00981DAF" w:rsidRPr="00A13CEF">
        <w:rPr>
          <w:rFonts w:asciiTheme="minorHAnsi" w:eastAsia="Calibri" w:hAnsiTheme="minorHAnsi" w:cstheme="minorHAnsi"/>
          <w:szCs w:val="22"/>
          <w:lang w:eastAsia="en-US"/>
        </w:rPr>
        <w:t>7,2</w:t>
      </w:r>
      <w:r w:rsidR="00BE0D96" w:rsidRPr="00A13CEF">
        <w:rPr>
          <w:rFonts w:asciiTheme="minorHAnsi" w:eastAsia="Calibri" w:hAnsiTheme="minorHAnsi" w:cstheme="minorHAnsi"/>
          <w:szCs w:val="22"/>
          <w:lang w:eastAsia="en-US"/>
        </w:rPr>
        <w:t>7</w:t>
      </w:r>
      <w:r w:rsidR="00981DAF" w:rsidRPr="00A13CEF">
        <w:rPr>
          <w:rFonts w:asciiTheme="minorHAnsi" w:eastAsia="Calibri" w:hAnsiTheme="minorHAnsi" w:cstheme="minorHAnsi"/>
          <w:szCs w:val="22"/>
          <w:lang w:eastAsia="en-US"/>
        </w:rPr>
        <w:t xml:space="preserve"> пункта)</w:t>
      </w:r>
      <w:r w:rsidR="007C048D" w:rsidRPr="00A13CEF">
        <w:rPr>
          <w:rFonts w:asciiTheme="minorHAnsi" w:hAnsiTheme="minorHAnsi" w:cstheme="minorHAnsi"/>
          <w:szCs w:val="22"/>
        </w:rPr>
        <w:t xml:space="preserve">. </w:t>
      </w:r>
      <w:r w:rsidR="00BE0D96" w:rsidRPr="00A13CEF">
        <w:rPr>
          <w:rFonts w:asciiTheme="minorHAnsi" w:hAnsiTheme="minorHAnsi" w:cstheme="minorHAnsi"/>
          <w:szCs w:val="22"/>
        </w:rPr>
        <w:t xml:space="preserve">През шестмесечието </w:t>
      </w:r>
      <w:r w:rsidR="009C4AD0" w:rsidRPr="00A13CEF">
        <w:rPr>
          <w:rFonts w:asciiTheme="minorHAnsi" w:hAnsiTheme="minorHAnsi" w:cstheme="minorHAnsi"/>
          <w:szCs w:val="22"/>
        </w:rPr>
        <w:t>BGREIT</w:t>
      </w:r>
      <w:r w:rsidR="007C048D" w:rsidRPr="00A13CEF">
        <w:rPr>
          <w:rFonts w:asciiTheme="minorHAnsi" w:hAnsiTheme="minorHAnsi" w:cstheme="minorHAnsi"/>
          <w:szCs w:val="22"/>
        </w:rPr>
        <w:t xml:space="preserve"> </w:t>
      </w:r>
      <w:r w:rsidR="00BE0D96" w:rsidRPr="00A13CEF">
        <w:rPr>
          <w:rFonts w:asciiTheme="minorHAnsi" w:hAnsiTheme="minorHAnsi" w:cstheme="minorHAnsi"/>
          <w:szCs w:val="22"/>
        </w:rPr>
        <w:t>се понижи с</w:t>
      </w:r>
      <w:r w:rsidR="00DB6D28" w:rsidRPr="00A13CEF">
        <w:rPr>
          <w:rFonts w:asciiTheme="minorHAnsi" w:hAnsiTheme="minorHAnsi" w:cstheme="minorHAnsi"/>
          <w:szCs w:val="22"/>
        </w:rPr>
        <w:t xml:space="preserve"> </w:t>
      </w:r>
      <w:r w:rsidR="00BE0D96" w:rsidRPr="00A13CEF">
        <w:rPr>
          <w:rFonts w:asciiTheme="minorHAnsi" w:hAnsiTheme="minorHAnsi" w:cstheme="minorHAnsi"/>
          <w:szCs w:val="22"/>
        </w:rPr>
        <w:t>0,53</w:t>
      </w:r>
      <w:r w:rsidR="00DB6D28" w:rsidRPr="00A13CEF">
        <w:rPr>
          <w:rFonts w:asciiTheme="minorHAnsi" w:hAnsiTheme="minorHAnsi" w:cstheme="minorHAnsi"/>
          <w:szCs w:val="22"/>
        </w:rPr>
        <w:t>%</w:t>
      </w:r>
      <w:r w:rsidR="00BE0D96" w:rsidRPr="00A13CEF">
        <w:rPr>
          <w:rFonts w:asciiTheme="minorHAnsi" w:hAnsiTheme="minorHAnsi" w:cstheme="minorHAnsi"/>
          <w:szCs w:val="22"/>
        </w:rPr>
        <w:t xml:space="preserve"> или</w:t>
      </w:r>
      <w:r w:rsidR="009C4AD0" w:rsidRPr="00A13CEF">
        <w:rPr>
          <w:rFonts w:asciiTheme="minorHAnsi" w:hAnsiTheme="minorHAnsi" w:cstheme="minorHAnsi"/>
          <w:szCs w:val="22"/>
        </w:rPr>
        <w:t xml:space="preserve"> </w:t>
      </w:r>
      <w:r w:rsidR="00BE0D96" w:rsidRPr="00A13CEF">
        <w:rPr>
          <w:rFonts w:asciiTheme="minorHAnsi" w:hAnsiTheme="minorHAnsi" w:cstheme="minorHAnsi"/>
          <w:szCs w:val="22"/>
        </w:rPr>
        <w:t>-0</w:t>
      </w:r>
      <w:r w:rsidR="009C4AD0" w:rsidRPr="00A13CEF">
        <w:rPr>
          <w:rFonts w:asciiTheme="minorHAnsi" w:hAnsiTheme="minorHAnsi" w:cstheme="minorHAnsi"/>
          <w:szCs w:val="22"/>
        </w:rPr>
        <w:t>,</w:t>
      </w:r>
      <w:r w:rsidR="00DB6D28" w:rsidRPr="00A13CEF">
        <w:rPr>
          <w:rFonts w:asciiTheme="minorHAnsi" w:hAnsiTheme="minorHAnsi" w:cstheme="minorHAnsi"/>
          <w:szCs w:val="22"/>
        </w:rPr>
        <w:t>6</w:t>
      </w:r>
      <w:r w:rsidR="00BE0D96" w:rsidRPr="00A13CEF">
        <w:rPr>
          <w:rFonts w:asciiTheme="minorHAnsi" w:hAnsiTheme="minorHAnsi" w:cstheme="minorHAnsi"/>
          <w:szCs w:val="22"/>
        </w:rPr>
        <w:t>2</w:t>
      </w:r>
      <w:r w:rsidR="009C4AD0" w:rsidRPr="00A13CEF">
        <w:rPr>
          <w:rFonts w:asciiTheme="minorHAnsi" w:hAnsiTheme="minorHAnsi" w:cstheme="minorHAnsi"/>
          <w:szCs w:val="22"/>
        </w:rPr>
        <w:t xml:space="preserve"> пункта.</w:t>
      </w:r>
    </w:p>
    <w:p w:rsidR="004D1FE8" w:rsidRPr="00A13CEF" w:rsidRDefault="004D1FE8">
      <w:pPr>
        <w:widowControl/>
        <w:spacing w:line="240" w:lineRule="auto"/>
        <w:jc w:val="left"/>
        <w:rPr>
          <w:rFonts w:cstheme="minorHAnsi"/>
          <w:szCs w:val="22"/>
        </w:rPr>
      </w:pPr>
      <w:r w:rsidRPr="00A13CEF">
        <w:rPr>
          <w:rFonts w:cstheme="minorHAnsi"/>
          <w:szCs w:val="22"/>
        </w:rPr>
        <w:br w:type="page"/>
      </w:r>
    </w:p>
    <w:tbl>
      <w:tblPr>
        <w:tblStyle w:val="TableGrid"/>
        <w:tblW w:w="1031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38"/>
        <w:gridCol w:w="5081"/>
      </w:tblGrid>
      <w:tr w:rsidR="00864645" w:rsidRPr="00A13CEF" w:rsidTr="00806EF6">
        <w:trPr>
          <w:trHeight w:val="170"/>
          <w:jc w:val="center"/>
        </w:trPr>
        <w:tc>
          <w:tcPr>
            <w:tcW w:w="5238" w:type="dxa"/>
          </w:tcPr>
          <w:p w:rsidR="004047F5" w:rsidRPr="00A13CEF" w:rsidRDefault="00B11C24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lastRenderedPageBreak/>
              <w:t>SOFIX H</w:t>
            </w:r>
            <w:r w:rsidR="00A92373" w:rsidRPr="00A13CEF">
              <w:rPr>
                <w:rFonts w:cstheme="minorHAnsi"/>
              </w:rPr>
              <w:t>1</w:t>
            </w:r>
            <w:r w:rsidR="007756A8" w:rsidRPr="00A13CEF">
              <w:rPr>
                <w:rFonts w:cstheme="minorHAnsi"/>
              </w:rPr>
              <w:t xml:space="preserve"> ‘1</w:t>
            </w:r>
            <w:r w:rsidR="00BE0D96" w:rsidRPr="00A13CEF">
              <w:rPr>
                <w:rFonts w:cstheme="minorHAnsi"/>
              </w:rPr>
              <w:t>8</w:t>
            </w:r>
          </w:p>
        </w:tc>
        <w:tc>
          <w:tcPr>
            <w:tcW w:w="5081" w:type="dxa"/>
          </w:tcPr>
          <w:p w:rsidR="004047F5" w:rsidRPr="00A13CEF" w:rsidRDefault="007756A8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 xml:space="preserve">BGTR30 </w:t>
            </w:r>
            <w:r w:rsidR="00B11C24" w:rsidRPr="00A13CEF">
              <w:rPr>
                <w:rFonts w:cstheme="minorHAnsi"/>
              </w:rPr>
              <w:t>H</w:t>
            </w:r>
            <w:r w:rsidR="00A92373" w:rsidRPr="00A13CEF">
              <w:rPr>
                <w:rFonts w:cstheme="minorHAnsi"/>
              </w:rPr>
              <w:t>1</w:t>
            </w:r>
            <w:r w:rsidRPr="00A13CEF">
              <w:rPr>
                <w:rFonts w:cstheme="minorHAnsi"/>
              </w:rPr>
              <w:t xml:space="preserve"> ‘1</w:t>
            </w:r>
            <w:r w:rsidR="00BE0D96" w:rsidRPr="00A13CEF">
              <w:rPr>
                <w:rFonts w:cstheme="minorHAnsi"/>
              </w:rPr>
              <w:t>8</w:t>
            </w:r>
          </w:p>
        </w:tc>
      </w:tr>
      <w:tr w:rsidR="00864645" w:rsidRPr="00A13CEF" w:rsidTr="00BE0D96">
        <w:trPr>
          <w:trHeight w:val="170"/>
          <w:jc w:val="center"/>
        </w:trPr>
        <w:tc>
          <w:tcPr>
            <w:tcW w:w="5238" w:type="dxa"/>
          </w:tcPr>
          <w:p w:rsidR="004047F5" w:rsidRPr="00A13CEF" w:rsidRDefault="00BE0D96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71BDF19C" wp14:editId="1EEAD00E">
                  <wp:extent cx="3190875" cy="2399782"/>
                  <wp:effectExtent l="0" t="0" r="0" b="0"/>
                  <wp:docPr id="1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</wp:inline>
              </w:drawing>
            </w:r>
          </w:p>
        </w:tc>
        <w:tc>
          <w:tcPr>
            <w:tcW w:w="5081" w:type="dxa"/>
          </w:tcPr>
          <w:p w:rsidR="004047F5" w:rsidRPr="00A13CEF" w:rsidRDefault="00BE0D96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14E987C5" wp14:editId="4DE948C0">
                  <wp:extent cx="3079750" cy="2391507"/>
                  <wp:effectExtent l="0" t="0" r="0" b="0"/>
                  <wp:docPr id="2" name="Chart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4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</w:tr>
    </w:tbl>
    <w:p w:rsidR="001F6A69" w:rsidRPr="00A13CEF" w:rsidRDefault="001F6A69" w:rsidP="001A50AB">
      <w:pPr>
        <w:rPr>
          <w:rFonts w:cstheme="minorHAnsi"/>
          <w:sz w:val="12"/>
          <w:szCs w:val="12"/>
        </w:rPr>
      </w:pPr>
    </w:p>
    <w:tbl>
      <w:tblPr>
        <w:tblStyle w:val="TableGrid"/>
        <w:tblW w:w="1026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91"/>
        <w:gridCol w:w="5171"/>
      </w:tblGrid>
      <w:tr w:rsidR="004047F5" w:rsidRPr="00A13CEF" w:rsidTr="00764742">
        <w:trPr>
          <w:trHeight w:val="74"/>
          <w:jc w:val="center"/>
        </w:trPr>
        <w:tc>
          <w:tcPr>
            <w:tcW w:w="5091" w:type="dxa"/>
          </w:tcPr>
          <w:p w:rsidR="004047F5" w:rsidRPr="00A13CEF" w:rsidRDefault="007756A8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BGBX</w:t>
            </w:r>
            <w:r w:rsidR="00731DD7" w:rsidRPr="00A13CEF">
              <w:rPr>
                <w:rFonts w:cstheme="minorHAnsi"/>
              </w:rPr>
              <w:t>40</w:t>
            </w:r>
            <w:r w:rsidR="00B11C24" w:rsidRPr="00A13CEF">
              <w:rPr>
                <w:rFonts w:cstheme="minorHAnsi"/>
              </w:rPr>
              <w:t xml:space="preserve"> H</w:t>
            </w:r>
            <w:r w:rsidR="00FE1E9C" w:rsidRPr="00A13CEF">
              <w:rPr>
                <w:rFonts w:cstheme="minorHAnsi"/>
              </w:rPr>
              <w:t>1 ‘1</w:t>
            </w:r>
            <w:r w:rsidR="00BE0D96" w:rsidRPr="00A13CEF">
              <w:rPr>
                <w:rFonts w:cstheme="minorHAnsi"/>
              </w:rPr>
              <w:t>8</w:t>
            </w:r>
          </w:p>
        </w:tc>
        <w:tc>
          <w:tcPr>
            <w:tcW w:w="5171" w:type="dxa"/>
          </w:tcPr>
          <w:p w:rsidR="004047F5" w:rsidRPr="00A13CEF" w:rsidRDefault="007756A8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 xml:space="preserve">BGREIT </w:t>
            </w:r>
            <w:r w:rsidR="00B11C24" w:rsidRPr="00A13CEF">
              <w:rPr>
                <w:rFonts w:cstheme="minorHAnsi"/>
              </w:rPr>
              <w:t>H</w:t>
            </w:r>
            <w:r w:rsidR="00A92373" w:rsidRPr="00A13CEF">
              <w:rPr>
                <w:rFonts w:cstheme="minorHAnsi"/>
              </w:rPr>
              <w:t>1</w:t>
            </w:r>
            <w:r w:rsidR="00806EF6" w:rsidRPr="00A13CEF">
              <w:rPr>
                <w:rFonts w:cstheme="minorHAnsi"/>
              </w:rPr>
              <w:t xml:space="preserve"> ‘1</w:t>
            </w:r>
            <w:r w:rsidR="00BE0D96" w:rsidRPr="00A13CEF">
              <w:rPr>
                <w:rFonts w:cstheme="minorHAnsi"/>
              </w:rPr>
              <w:t>8</w:t>
            </w:r>
          </w:p>
        </w:tc>
      </w:tr>
      <w:tr w:rsidR="004047F5" w:rsidRPr="00A13CEF" w:rsidTr="00BE0D96">
        <w:trPr>
          <w:jc w:val="center"/>
        </w:trPr>
        <w:tc>
          <w:tcPr>
            <w:tcW w:w="5091" w:type="dxa"/>
          </w:tcPr>
          <w:p w:rsidR="004047F5" w:rsidRPr="00A13CEF" w:rsidRDefault="00BE0D96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59180DAD" wp14:editId="0AD19498">
                  <wp:extent cx="3076575" cy="2383232"/>
                  <wp:effectExtent l="0" t="0" r="0" b="0"/>
                  <wp:docPr id="13" name="Chart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  <w:tc>
          <w:tcPr>
            <w:tcW w:w="5171" w:type="dxa"/>
          </w:tcPr>
          <w:p w:rsidR="004047F5" w:rsidRPr="00A13CEF" w:rsidRDefault="00BE0D96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023ABABE" wp14:editId="221AB74F">
                  <wp:extent cx="3069590" cy="2383155"/>
                  <wp:effectExtent l="0" t="0" r="0" b="0"/>
                  <wp:docPr id="14" name="Chart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</w:tbl>
    <w:p w:rsidR="001A0C3E" w:rsidRPr="00A13CEF" w:rsidRDefault="001A0C3E" w:rsidP="001A50AB">
      <w:pPr>
        <w:pStyle w:val="Mainnumbers"/>
        <w:rPr>
          <w:rFonts w:cstheme="minorHAnsi"/>
        </w:rPr>
      </w:pPr>
      <w:bookmarkStart w:id="25" w:name="_Toc283112107"/>
      <w:bookmarkStart w:id="26" w:name="_Toc520473870"/>
      <w:r w:rsidRPr="00A13CEF">
        <w:rPr>
          <w:rFonts w:cstheme="minorHAnsi"/>
        </w:rPr>
        <w:t xml:space="preserve">Приватизация през </w:t>
      </w:r>
      <w:r w:rsidR="00415B34" w:rsidRPr="00A13CEF">
        <w:rPr>
          <w:rFonts w:cstheme="minorHAnsi"/>
        </w:rPr>
        <w:t>Борсата</w:t>
      </w:r>
      <w:bookmarkEnd w:id="25"/>
      <w:bookmarkEnd w:id="26"/>
    </w:p>
    <w:p w:rsidR="00894006" w:rsidRPr="00A13CEF" w:rsidRDefault="00A4026C" w:rsidP="001A50AB">
      <w:pPr>
        <w:rPr>
          <w:rFonts w:cstheme="minorHAnsi"/>
        </w:rPr>
      </w:pPr>
      <w:bookmarkStart w:id="27" w:name="_Toc283112110"/>
      <w:r w:rsidRPr="00A13CEF">
        <w:rPr>
          <w:rFonts w:cstheme="minorHAnsi"/>
        </w:rPr>
        <w:t xml:space="preserve">През </w:t>
      </w:r>
      <w:r w:rsidR="001F6A7B" w:rsidRPr="00A13CEF">
        <w:rPr>
          <w:rFonts w:cstheme="minorHAnsi"/>
        </w:rPr>
        <w:t>първото</w:t>
      </w:r>
      <w:r w:rsidRPr="00A13CEF">
        <w:rPr>
          <w:rFonts w:cstheme="minorHAnsi"/>
        </w:rPr>
        <w:t xml:space="preserve"> </w:t>
      </w:r>
      <w:r w:rsidR="001F6A7B" w:rsidRPr="00A13CEF">
        <w:rPr>
          <w:rFonts w:cstheme="minorHAnsi"/>
        </w:rPr>
        <w:t>шест</w:t>
      </w:r>
      <w:r w:rsidRPr="00A13CEF">
        <w:rPr>
          <w:rFonts w:cstheme="minorHAnsi"/>
        </w:rPr>
        <w:t>месечие няма регистрирани емисии на сегмент за приватизация.</w:t>
      </w:r>
    </w:p>
    <w:p w:rsidR="00E25C24" w:rsidRPr="00A13CEF" w:rsidRDefault="00326727" w:rsidP="001A50AB">
      <w:pPr>
        <w:pStyle w:val="Mainnumbers"/>
        <w:rPr>
          <w:rFonts w:cstheme="minorHAnsi"/>
        </w:rPr>
      </w:pPr>
      <w:bookmarkStart w:id="28" w:name="_Toc520473871"/>
      <w:r w:rsidRPr="00A13CEF">
        <w:rPr>
          <w:rFonts w:cstheme="minorHAnsi"/>
        </w:rPr>
        <w:t xml:space="preserve">Основни дейности и събития през </w:t>
      </w:r>
      <w:r w:rsidR="00BA3CC7" w:rsidRPr="00A13CEF">
        <w:rPr>
          <w:rFonts w:cstheme="minorHAnsi"/>
        </w:rPr>
        <w:t>отчетното</w:t>
      </w:r>
      <w:r w:rsidR="00260465" w:rsidRPr="00A13CEF">
        <w:rPr>
          <w:rFonts w:cstheme="minorHAnsi"/>
        </w:rPr>
        <w:t xml:space="preserve"> </w:t>
      </w:r>
      <w:r w:rsidR="00764742" w:rsidRPr="00A13CEF">
        <w:rPr>
          <w:rFonts w:cstheme="minorHAnsi"/>
        </w:rPr>
        <w:t>шест</w:t>
      </w:r>
      <w:r w:rsidR="00122383" w:rsidRPr="00A13CEF">
        <w:rPr>
          <w:rFonts w:cstheme="minorHAnsi"/>
        </w:rPr>
        <w:t xml:space="preserve">месечие на </w:t>
      </w:r>
      <w:r w:rsidRPr="00A13CEF">
        <w:rPr>
          <w:rFonts w:cstheme="minorHAnsi"/>
        </w:rPr>
        <w:t>201</w:t>
      </w:r>
      <w:r w:rsidR="00BE0D96" w:rsidRPr="00A13CEF">
        <w:rPr>
          <w:rFonts w:cstheme="minorHAnsi"/>
        </w:rPr>
        <w:t>8</w:t>
      </w:r>
      <w:r w:rsidR="004E42F0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г.</w:t>
      </w:r>
      <w:bookmarkStart w:id="29" w:name="_Toc283112115"/>
      <w:bookmarkEnd w:id="27"/>
      <w:bookmarkEnd w:id="28"/>
    </w:p>
    <w:p w:rsidR="00BE0D96" w:rsidRPr="00A13CEF" w:rsidRDefault="00BE0D96" w:rsidP="00BE0D96">
      <w:pPr>
        <w:pStyle w:val="SubNumbers"/>
        <w:tabs>
          <w:tab w:val="left" w:pos="1134"/>
        </w:tabs>
        <w:spacing w:line="240" w:lineRule="auto"/>
        <w:ind w:left="1134" w:hanging="774"/>
        <w:rPr>
          <w:rFonts w:cstheme="minorHAnsi"/>
        </w:rPr>
      </w:pPr>
      <w:bookmarkStart w:id="30" w:name="_Toc512868513"/>
      <w:bookmarkStart w:id="31" w:name="_Toc515284913"/>
      <w:bookmarkStart w:id="32" w:name="_Toc481069699"/>
      <w:bookmarkStart w:id="33" w:name="_Toc402281934"/>
      <w:bookmarkStart w:id="34" w:name="_Toc520473872"/>
      <w:bookmarkEnd w:id="29"/>
      <w:r w:rsidRPr="00A13CEF">
        <w:rPr>
          <w:rFonts w:cstheme="minorHAnsi"/>
        </w:rPr>
        <w:t>Награждаване на инвестиционните посредници с най-добри резултати през 2017 година</w:t>
      </w:r>
      <w:bookmarkEnd w:id="30"/>
      <w:bookmarkEnd w:id="31"/>
      <w:bookmarkEnd w:id="34"/>
    </w:p>
    <w:p w:rsidR="00BE0D96" w:rsidRPr="00A13CEF" w:rsidRDefault="00636F5A" w:rsidP="00BE0D96">
      <w:pPr>
        <w:rPr>
          <w:rFonts w:cstheme="minorHAnsi"/>
        </w:rPr>
      </w:pPr>
      <w:r>
        <w:rPr>
          <w:rFonts w:cstheme="minorHAnsi"/>
        </w:rPr>
        <w:t>Българска фондова борса - София</w:t>
      </w:r>
      <w:r w:rsidR="00BE0D96" w:rsidRPr="00A13CEF">
        <w:rPr>
          <w:rFonts w:cstheme="minorHAnsi"/>
        </w:rPr>
        <w:t xml:space="preserve"> връчи годишните награди на инвестиционните посредници, постигнали най-високи резултати през 2017 г. Броят на сделките на регулиран пазар за изминалата година нарасна с 36% до 79 629 спрямо предишната 2016 г. Оборотът на БФБ отбеляза ръст от близо 70% в сравнение с 2016 г, достигайки 706 милиона лева.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На церемонията, която се проведе за 17-ти път в историята на Борсата, бяха присъдени следните награди: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За инвестиционен посредник, сключил най-много сделки на БФБ през 2017 г.:</w:t>
      </w:r>
    </w:p>
    <w:p w:rsidR="00BE0D96" w:rsidRPr="00A13CEF" w:rsidRDefault="00BE0D96" w:rsidP="00BE0D96">
      <w:pPr>
        <w:ind w:left="706"/>
        <w:rPr>
          <w:rFonts w:cstheme="minorHAnsi"/>
        </w:rPr>
      </w:pPr>
      <w:r w:rsidRPr="00A13CEF">
        <w:rPr>
          <w:rFonts w:cstheme="minorHAnsi"/>
        </w:rPr>
        <w:lastRenderedPageBreak/>
        <w:t>1-во място: Карол АД</w:t>
      </w:r>
    </w:p>
    <w:p w:rsidR="00BE0D96" w:rsidRPr="00A13CEF" w:rsidRDefault="00BE0D96" w:rsidP="00BE0D96">
      <w:pPr>
        <w:ind w:left="706"/>
        <w:rPr>
          <w:rFonts w:cstheme="minorHAnsi"/>
        </w:rPr>
      </w:pPr>
      <w:r w:rsidRPr="00A13CEF">
        <w:rPr>
          <w:rFonts w:cstheme="minorHAnsi"/>
        </w:rPr>
        <w:t>2-ро място: Елана Трейдинг АД</w:t>
      </w:r>
    </w:p>
    <w:p w:rsidR="00BE0D96" w:rsidRPr="00A13CEF" w:rsidRDefault="00BE0D96" w:rsidP="00BE0D96">
      <w:pPr>
        <w:ind w:left="706"/>
        <w:rPr>
          <w:rFonts w:cstheme="minorHAnsi"/>
        </w:rPr>
      </w:pPr>
      <w:r w:rsidRPr="00A13CEF">
        <w:rPr>
          <w:rFonts w:cstheme="minorHAnsi"/>
        </w:rPr>
        <w:t xml:space="preserve">3-то място: </w:t>
      </w:r>
      <w:proofErr w:type="spellStart"/>
      <w:r w:rsidRPr="00A13CEF">
        <w:rPr>
          <w:rFonts w:cstheme="minorHAnsi"/>
        </w:rPr>
        <w:t>БенчМарк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Финанс</w:t>
      </w:r>
      <w:proofErr w:type="spellEnd"/>
      <w:r w:rsidRPr="00A13CEF">
        <w:rPr>
          <w:rFonts w:cstheme="minorHAnsi"/>
        </w:rPr>
        <w:t xml:space="preserve"> АД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За инвестиционен посредник, реализирал най-висок оборот на БФБ през 2017 г.:</w:t>
      </w:r>
    </w:p>
    <w:p w:rsidR="00BE0D96" w:rsidRPr="00A13CEF" w:rsidRDefault="00BE0D96" w:rsidP="00BE0D96">
      <w:pPr>
        <w:ind w:left="706"/>
        <w:rPr>
          <w:rFonts w:cstheme="minorHAnsi"/>
        </w:rPr>
      </w:pPr>
      <w:r w:rsidRPr="00A13CEF">
        <w:rPr>
          <w:rFonts w:cstheme="minorHAnsi"/>
        </w:rPr>
        <w:t xml:space="preserve">1-во място: Реал </w:t>
      </w:r>
      <w:proofErr w:type="spellStart"/>
      <w:r w:rsidRPr="00A13CEF">
        <w:rPr>
          <w:rFonts w:cstheme="minorHAnsi"/>
        </w:rPr>
        <w:t>Финанс</w:t>
      </w:r>
      <w:proofErr w:type="spellEnd"/>
      <w:r w:rsidRPr="00A13CEF">
        <w:rPr>
          <w:rFonts w:cstheme="minorHAnsi"/>
        </w:rPr>
        <w:t xml:space="preserve"> АД</w:t>
      </w:r>
    </w:p>
    <w:p w:rsidR="00BE0D96" w:rsidRPr="00A13CEF" w:rsidRDefault="00BE0D96" w:rsidP="00BE0D96">
      <w:pPr>
        <w:ind w:left="706"/>
        <w:rPr>
          <w:rFonts w:cstheme="minorHAnsi"/>
        </w:rPr>
      </w:pPr>
      <w:r w:rsidRPr="00A13CEF">
        <w:rPr>
          <w:rFonts w:cstheme="minorHAnsi"/>
        </w:rPr>
        <w:t>2-ро място: Първа Финансова Брокерска Къща ООД</w:t>
      </w:r>
    </w:p>
    <w:p w:rsidR="00BE0D96" w:rsidRPr="00A13CEF" w:rsidRDefault="00BE0D96" w:rsidP="00BE0D96">
      <w:pPr>
        <w:ind w:left="706"/>
        <w:rPr>
          <w:rFonts w:cstheme="minorHAnsi"/>
        </w:rPr>
      </w:pPr>
      <w:r w:rsidRPr="00A13CEF">
        <w:rPr>
          <w:rFonts w:cstheme="minorHAnsi"/>
        </w:rPr>
        <w:t xml:space="preserve">3-то място: Евро - </w:t>
      </w:r>
      <w:proofErr w:type="spellStart"/>
      <w:r w:rsidRPr="00A13CEF">
        <w:rPr>
          <w:rFonts w:cstheme="minorHAnsi"/>
        </w:rPr>
        <w:t>Финанс</w:t>
      </w:r>
      <w:proofErr w:type="spellEnd"/>
      <w:r w:rsidRPr="00A13CEF">
        <w:rPr>
          <w:rFonts w:cstheme="minorHAnsi"/>
        </w:rPr>
        <w:t xml:space="preserve"> АД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 xml:space="preserve">УД </w:t>
      </w:r>
      <w:proofErr w:type="spellStart"/>
      <w:r w:rsidRPr="00A13CEF">
        <w:rPr>
          <w:rFonts w:cstheme="minorHAnsi"/>
        </w:rPr>
        <w:t>Експат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Асет</w:t>
      </w:r>
      <w:proofErr w:type="spellEnd"/>
      <w:r w:rsidRPr="00A13CEF">
        <w:rPr>
          <w:rFonts w:cstheme="minorHAnsi"/>
        </w:rPr>
        <w:t xml:space="preserve"> Мениджмънт ЕАД получи наградата за емитент с най-голям принос за развитието на капиталовия пазар през изминалата година.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 xml:space="preserve">Отличието за медия с най-голям принос при популяризирането на капиталовия пазар през 2017 г. беше присъдено на </w:t>
      </w:r>
      <w:proofErr w:type="spellStart"/>
      <w:r w:rsidRPr="00A13CEF">
        <w:rPr>
          <w:rFonts w:cstheme="minorHAnsi"/>
        </w:rPr>
        <w:t>Bloomberg</w:t>
      </w:r>
      <w:proofErr w:type="spellEnd"/>
      <w:r w:rsidRPr="00A13CEF">
        <w:rPr>
          <w:rFonts w:cstheme="minorHAnsi"/>
        </w:rPr>
        <w:t xml:space="preserve"> TV </w:t>
      </w:r>
      <w:proofErr w:type="spellStart"/>
      <w:r w:rsidRPr="00A13CEF">
        <w:rPr>
          <w:rFonts w:cstheme="minorHAnsi"/>
        </w:rPr>
        <w:t>Bulgaria</w:t>
      </w:r>
      <w:proofErr w:type="spellEnd"/>
      <w:r w:rsidRPr="00A13CEF">
        <w:rPr>
          <w:rFonts w:cstheme="minorHAnsi"/>
        </w:rPr>
        <w:t>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Народният представител г-н Делян Добрев беше отличен за личност с най-голям принос за развитието на капиталовия пазар през изминалата година.</w:t>
      </w:r>
    </w:p>
    <w:p w:rsidR="00BE0D96" w:rsidRPr="00A13CEF" w:rsidRDefault="00BE0D96" w:rsidP="00BE0D96">
      <w:pPr>
        <w:pStyle w:val="SubNumbers"/>
        <w:tabs>
          <w:tab w:val="left" w:pos="1134"/>
        </w:tabs>
        <w:spacing w:line="240" w:lineRule="auto"/>
        <w:ind w:left="1134" w:hanging="774"/>
        <w:rPr>
          <w:rFonts w:cstheme="minorHAnsi"/>
        </w:rPr>
      </w:pPr>
      <w:bookmarkStart w:id="35" w:name="_Toc512868514"/>
      <w:bookmarkStart w:id="36" w:name="_Toc515284914"/>
      <w:bookmarkStart w:id="37" w:name="_Toc520473873"/>
      <w:r w:rsidRPr="00A13CEF">
        <w:rPr>
          <w:rFonts w:cstheme="minorHAnsi"/>
        </w:rPr>
        <w:t>Стартира търговията с осем борсово търгувани фонда върху европейски индекси</w:t>
      </w:r>
      <w:bookmarkEnd w:id="35"/>
      <w:bookmarkEnd w:id="36"/>
      <w:bookmarkEnd w:id="37"/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 xml:space="preserve">На 17.01.2018 стартира борсовата търговия с дяловете на четири борсово търгувани фонда, базирани на индекси. Те са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Greece</w:t>
      </w:r>
      <w:proofErr w:type="spellEnd"/>
      <w:r w:rsidRPr="00A13CEF">
        <w:rPr>
          <w:rFonts w:cstheme="minorHAnsi"/>
        </w:rPr>
        <w:t xml:space="preserve"> ASE UCITS ETF (борсов код GRX), </w:t>
      </w:r>
      <w:proofErr w:type="spellStart"/>
      <w:r w:rsidRPr="00A13CEF">
        <w:rPr>
          <w:rFonts w:cstheme="minorHAnsi"/>
        </w:rPr>
        <w:t>Еxpat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Romania</w:t>
      </w:r>
      <w:proofErr w:type="spellEnd"/>
      <w:r w:rsidRPr="00A13CEF">
        <w:rPr>
          <w:rFonts w:cstheme="minorHAnsi"/>
        </w:rPr>
        <w:t xml:space="preserve"> BET-BK UCITS ETF (ROX),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Poland</w:t>
      </w:r>
      <w:proofErr w:type="spellEnd"/>
      <w:r w:rsidRPr="00A13CEF">
        <w:rPr>
          <w:rFonts w:cstheme="minorHAnsi"/>
        </w:rPr>
        <w:t xml:space="preserve"> WIG20 UCITS ETF (PLX) и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Czech</w:t>
      </w:r>
      <w:proofErr w:type="spellEnd"/>
      <w:r w:rsidRPr="00A13CEF">
        <w:rPr>
          <w:rFonts w:cstheme="minorHAnsi"/>
        </w:rPr>
        <w:t xml:space="preserve"> PX UCITS ETF (CZX). Фондовете са създадени от управляващото дружество </w:t>
      </w:r>
      <w:proofErr w:type="spellStart"/>
      <w:r w:rsidRPr="00A13CEF">
        <w:rPr>
          <w:rFonts w:cstheme="minorHAnsi"/>
        </w:rPr>
        <w:t>Експат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Асет</w:t>
      </w:r>
      <w:proofErr w:type="spellEnd"/>
      <w:r w:rsidRPr="00A13CEF">
        <w:rPr>
          <w:rFonts w:cstheme="minorHAnsi"/>
        </w:rPr>
        <w:t xml:space="preserve"> Мениджмънт ЕАД, като следват движението на основните индекси на борсите в Гърция, Румъния, Полша и Чехия. На 13 февруари стартира търговията с още четири борсово търгувани фонда, базирани на индекси: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Slovakia</w:t>
      </w:r>
      <w:proofErr w:type="spellEnd"/>
      <w:r w:rsidRPr="00A13CEF">
        <w:rPr>
          <w:rFonts w:cstheme="minorHAnsi"/>
        </w:rPr>
        <w:t xml:space="preserve"> SAX UCITS ETF (SK9A),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Croatia</w:t>
      </w:r>
      <w:proofErr w:type="spellEnd"/>
      <w:r w:rsidRPr="00A13CEF">
        <w:rPr>
          <w:rFonts w:cstheme="minorHAnsi"/>
        </w:rPr>
        <w:t xml:space="preserve"> CROBEX UCITS ETF (ECDC),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Slovenia</w:t>
      </w:r>
      <w:proofErr w:type="spellEnd"/>
      <w:r w:rsidRPr="00A13CEF">
        <w:rPr>
          <w:rFonts w:cstheme="minorHAnsi"/>
        </w:rPr>
        <w:t xml:space="preserve"> SBI TOP UCITS ETF (SLQX) и </w:t>
      </w:r>
      <w:proofErr w:type="spellStart"/>
      <w:r w:rsidRPr="00A13CEF">
        <w:rPr>
          <w:rFonts w:cstheme="minorHAnsi"/>
        </w:rPr>
        <w:t>Expat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Hungary</w:t>
      </w:r>
      <w:proofErr w:type="spellEnd"/>
      <w:r w:rsidRPr="00A13CEF">
        <w:rPr>
          <w:rFonts w:cstheme="minorHAnsi"/>
        </w:rPr>
        <w:t xml:space="preserve"> BUX UCITS ETF (HUBE).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Номиналната стойност на един дял за всеки от фондовете е 1 евро. Дяловете са безналични, поименни и свободно прехвърляеми. Маркет-</w:t>
      </w:r>
      <w:proofErr w:type="spellStart"/>
      <w:r w:rsidRPr="00A13CEF">
        <w:rPr>
          <w:rFonts w:cstheme="minorHAnsi"/>
        </w:rPr>
        <w:t>мейкър</w:t>
      </w:r>
      <w:proofErr w:type="spellEnd"/>
      <w:r w:rsidRPr="00A13CEF">
        <w:rPr>
          <w:rFonts w:cstheme="minorHAnsi"/>
        </w:rPr>
        <w:t xml:space="preserve"> на емисиите е инвестиционен посредник </w:t>
      </w:r>
      <w:proofErr w:type="spellStart"/>
      <w:r w:rsidRPr="00A13CEF">
        <w:rPr>
          <w:rFonts w:cstheme="minorHAnsi"/>
        </w:rPr>
        <w:t>БенчМарк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Финанс</w:t>
      </w:r>
      <w:proofErr w:type="spellEnd"/>
      <w:r w:rsidRPr="00A13CEF">
        <w:rPr>
          <w:rFonts w:cstheme="minorHAnsi"/>
        </w:rPr>
        <w:t xml:space="preserve"> АД. Максималният размер на отклонението между котировките “купува“ и „продава“ (</w:t>
      </w:r>
      <w:proofErr w:type="spellStart"/>
      <w:r w:rsidRPr="00A13CEF">
        <w:rPr>
          <w:rFonts w:cstheme="minorHAnsi"/>
        </w:rPr>
        <w:t>спред</w:t>
      </w:r>
      <w:proofErr w:type="spellEnd"/>
      <w:r w:rsidRPr="00A13CEF">
        <w:rPr>
          <w:rFonts w:cstheme="minorHAnsi"/>
        </w:rPr>
        <w:t>) е 5%. Минимална стойност на котировката в парично изражение към момента на въвеждането й е равностойността на 2 500 лв. в евро.</w:t>
      </w:r>
    </w:p>
    <w:p w:rsidR="00BE0D96" w:rsidRPr="00A13CEF" w:rsidRDefault="00BE0D96" w:rsidP="00BE0D96">
      <w:pPr>
        <w:pStyle w:val="SubNumbers"/>
        <w:tabs>
          <w:tab w:val="left" w:pos="1134"/>
        </w:tabs>
        <w:spacing w:line="240" w:lineRule="auto"/>
        <w:ind w:left="1134" w:hanging="774"/>
        <w:rPr>
          <w:rFonts w:cstheme="minorHAnsi"/>
        </w:rPr>
      </w:pPr>
      <w:bookmarkStart w:id="38" w:name="_Toc512868516"/>
      <w:bookmarkStart w:id="39" w:name="_Toc515284915"/>
      <w:bookmarkStart w:id="40" w:name="_Toc520473874"/>
      <w:r w:rsidRPr="00A13CEF">
        <w:rPr>
          <w:rFonts w:cstheme="minorHAnsi"/>
        </w:rPr>
        <w:t>Договорът за придобиване на капитала на Българската независима енергийна борса влезе в сила</w:t>
      </w:r>
      <w:bookmarkEnd w:id="38"/>
      <w:bookmarkEnd w:id="39"/>
      <w:bookmarkEnd w:id="40"/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На 31 януари Борсата получи писмо от „Български енергиен холдинг“ ЕАД (БЕХ), с което бе уведомена за официална нотификация от Европейската комисия (ЕК, Комисията). С Решение С(2018)527 Окончателно от 26 януари 2018 година, Комисията изрази мнение, че „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>“ АД е подходящ купувач за „Българска независима енергийна борса“ ЕАД (БНЕБ), защото:</w:t>
      </w:r>
    </w:p>
    <w:p w:rsidR="00BE0D96" w:rsidRPr="00A13CEF" w:rsidRDefault="00BE0D96" w:rsidP="00BE0D96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разполага с финансовите средства, експертните способности и мотивация да развива БНЕБ като независим и конкурентен енергиен пазар;</w:t>
      </w:r>
    </w:p>
    <w:p w:rsidR="00BE0D96" w:rsidRPr="00A13CEF" w:rsidRDefault="00BE0D96" w:rsidP="00BE0D96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като пазарен оператор с повече от двадесетгодишна история в поддържането и експлоатацията на пазарна инфраструктура, БФБ разполага с опит по отношение на търговска платформа и IT услуги и има визия за разширяването на предлаганите продукти;</w:t>
      </w:r>
    </w:p>
    <w:p w:rsidR="00BE0D96" w:rsidRPr="00A13CEF" w:rsidRDefault="00BE0D96" w:rsidP="00BE0D96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Борсата е лицензирана от Комисията за финансов надзор и се подчинява на Европейското и националното законодателство в областта на финансовите пазари.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lastRenderedPageBreak/>
        <w:t>Решението на Комисията бе последното задължително изискване за влизане в сила на Договора за прехвърляне на акциите на БНЕБ между БЕХ и БФБ.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 xml:space="preserve">След получаване на горното одобрение, договорът за прехвърляне на акциите на Българска независима енергийна борса (БНЕБ) между Български енергиен холдинг и </w:t>
      </w:r>
      <w:r w:rsidR="00636F5A">
        <w:rPr>
          <w:rFonts w:cstheme="minorHAnsi"/>
        </w:rPr>
        <w:t>Българска фондова борса - София</w:t>
      </w:r>
      <w:r w:rsidR="00150F52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влезе в сила. По този начин Борсата придоби 100% от капитала на БНЕБ. Договорената цена бе 5.2 милиона лева. Четири милиона лева от цената бяха платени при придобиването на акциите, което финализира процеса по продажбата, а останалите 1.2 млн. лв. ще бъдат преведени на три равни вноски в рамките на шестия, дванадесетия и осемнадесетия месец от прехвърлянето на капитала. За разсрочената част от плащането БФБ осигури безусловна револвираща банкова гаранция.</w:t>
      </w:r>
    </w:p>
    <w:p w:rsidR="00BE0D96" w:rsidRPr="00A13CEF" w:rsidRDefault="00BE0D96" w:rsidP="00BE0D96">
      <w:pPr>
        <w:pStyle w:val="SubNumbers"/>
        <w:tabs>
          <w:tab w:val="left" w:pos="1134"/>
        </w:tabs>
        <w:spacing w:line="240" w:lineRule="auto"/>
        <w:ind w:left="1134" w:hanging="774"/>
        <w:rPr>
          <w:rFonts w:cstheme="minorHAnsi"/>
        </w:rPr>
      </w:pPr>
      <w:bookmarkStart w:id="41" w:name="_Toc512868518"/>
      <w:bookmarkStart w:id="42" w:name="_Toc515284916"/>
      <w:bookmarkStart w:id="43" w:name="_Toc520473875"/>
      <w:bookmarkEnd w:id="32"/>
      <w:r w:rsidRPr="00A13CEF">
        <w:rPr>
          <w:rFonts w:cstheme="minorHAnsi"/>
        </w:rPr>
        <w:t>Новият Правилник за дейността на „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>“ АД влезе в сила</w:t>
      </w:r>
      <w:bookmarkEnd w:id="41"/>
      <w:bookmarkEnd w:id="42"/>
      <w:bookmarkEnd w:id="43"/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Считано от 23.02.2018 г. влезе в сила Правилникът за дейността на БФБ, одобрен от Комисията за финансов надзор с Решение № 82- ФБ от 22 януари 2018 г.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По-рано, с Решение № 82–ФБ от 22 януари 2018 г. Комисията за финансов надзор одобри изменения и допълнения в Част I „Общи правила”, Част II „Правила за членство”, Част III „Правила за допускане до търговия”, Част IV „Правила за търговия”, Част V „Правила за надзор на търговията”, Част VI „Правила за управление на риска”, Част VIII „Правила за конфликтите на интереси” и Част IX „Правила за регистрация и търговия на държавни ценни книжа” от Правилника на „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>” АД.</w:t>
      </w:r>
    </w:p>
    <w:p w:rsidR="00BE0D96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 xml:space="preserve">Промените бяха свързани с прилагането на </w:t>
      </w:r>
      <w:proofErr w:type="spellStart"/>
      <w:r w:rsidRPr="00A13CEF">
        <w:rPr>
          <w:rFonts w:cstheme="minorHAnsi"/>
        </w:rPr>
        <w:t>MiFID</w:t>
      </w:r>
      <w:proofErr w:type="spellEnd"/>
      <w:r w:rsidRPr="00A13CEF">
        <w:rPr>
          <w:rFonts w:cstheme="minorHAnsi"/>
        </w:rPr>
        <w:t xml:space="preserve"> II, </w:t>
      </w:r>
      <w:proofErr w:type="spellStart"/>
      <w:r w:rsidRPr="00A13CEF">
        <w:rPr>
          <w:rFonts w:cstheme="minorHAnsi"/>
        </w:rPr>
        <w:t>MiFIR</w:t>
      </w:r>
      <w:proofErr w:type="spellEnd"/>
      <w:r w:rsidRPr="00A13CEF">
        <w:rPr>
          <w:rFonts w:cstheme="minorHAnsi"/>
        </w:rPr>
        <w:t xml:space="preserve"> и делегираните регламенти към тях.</w:t>
      </w:r>
    </w:p>
    <w:p w:rsidR="00D716DE" w:rsidRPr="00A13CEF" w:rsidRDefault="00D716DE" w:rsidP="00D716DE">
      <w:pPr>
        <w:pStyle w:val="SubNumbers"/>
        <w:rPr>
          <w:rFonts w:cstheme="minorHAnsi"/>
        </w:rPr>
      </w:pPr>
      <w:bookmarkStart w:id="44" w:name="_Ref520300023"/>
      <w:bookmarkStart w:id="45" w:name="_Toc520473876"/>
      <w:r w:rsidRPr="00A13CEF">
        <w:rPr>
          <w:rFonts w:cstheme="minorHAnsi"/>
        </w:rPr>
        <w:t>Проведе се 22-та Европейска конференция за корпоративно управление</w:t>
      </w:r>
      <w:bookmarkEnd w:id="44"/>
      <w:bookmarkEnd w:id="45"/>
    </w:p>
    <w:p w:rsidR="00D716DE" w:rsidRPr="00A13CEF" w:rsidRDefault="00D716DE" w:rsidP="00D716DE">
      <w:pPr>
        <w:rPr>
          <w:rFonts w:cstheme="minorHAnsi"/>
        </w:rPr>
      </w:pPr>
      <w:r w:rsidRPr="00A13CEF">
        <w:rPr>
          <w:rFonts w:cstheme="minorHAnsi"/>
        </w:rPr>
        <w:t>Националната комисия за корпоративно управление, председателстващата я институция -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и международната консултантска компания Ernst &amp; Young бяха домакини на 22-та Европейска конференция за корпоративно управление</w:t>
      </w:r>
      <w:r w:rsidR="003A4206" w:rsidRPr="00A13CEF">
        <w:rPr>
          <w:rFonts w:cstheme="minorHAnsi"/>
        </w:rPr>
        <w:t xml:space="preserve"> на 19 април в София</w:t>
      </w:r>
      <w:r w:rsidRPr="00A13CEF">
        <w:rPr>
          <w:rFonts w:cstheme="minorHAnsi"/>
        </w:rPr>
        <w:t>. Конференцията беше част от официалните прояви, свързани с Българското председателство на Съвета на ЕС 2018, и бе организирана в партньорство с Министерство на финансите и Министерство на правосъдието. Основната тема беше "Корпоративното управление за изграждане на нова култура за разкриване на информация, прозрачност и борба с корупцията". Във форума участваха над 200 представители на най-високо ниво от Европейската комисия, водещи международни институции и организации в областта на корпоративното управление и публични компании.</w:t>
      </w:r>
    </w:p>
    <w:p w:rsidR="00AA4AFD" w:rsidRPr="00A13CEF" w:rsidRDefault="00AA4AFD" w:rsidP="00D716DE">
      <w:pPr>
        <w:pStyle w:val="SubNumbers"/>
        <w:rPr>
          <w:rFonts w:cstheme="minorHAnsi"/>
        </w:rPr>
      </w:pPr>
      <w:bookmarkStart w:id="46" w:name="_Toc520473877"/>
      <w:r w:rsidRPr="00A13CEF">
        <w:rPr>
          <w:rFonts w:cstheme="minorHAnsi"/>
        </w:rPr>
        <w:t>Проведе се четвъртото издание на инициативата „ден за акции“</w:t>
      </w:r>
      <w:bookmarkEnd w:id="46"/>
    </w:p>
    <w:p w:rsidR="004D1FE8" w:rsidRPr="00A13CEF" w:rsidRDefault="00BE0D96" w:rsidP="00BE0D96">
      <w:pPr>
        <w:rPr>
          <w:rFonts w:cstheme="minorHAnsi"/>
        </w:rPr>
      </w:pPr>
      <w:r w:rsidRPr="00A13CEF">
        <w:rPr>
          <w:rFonts w:cstheme="minorHAnsi"/>
        </w:rPr>
        <w:t>Шестнадесет инвестиционни посредници участва</w:t>
      </w:r>
      <w:r w:rsidR="00AA4AFD" w:rsidRPr="00A13CEF">
        <w:rPr>
          <w:rFonts w:cstheme="minorHAnsi"/>
        </w:rPr>
        <w:t>ха</w:t>
      </w:r>
      <w:r w:rsidRPr="00A13CEF">
        <w:rPr>
          <w:rFonts w:cstheme="minorHAnsi"/>
        </w:rPr>
        <w:t xml:space="preserve"> в четвъртото издание на инициативата на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и Централен депозитар "Ден за акции". Инициативата има за цел да подобри инвестиционната култура и увеличи знанието за капиталовите инструменти като форма на инвестиция в страната ни. "Денят за акции" б</w:t>
      </w:r>
      <w:r w:rsidR="00AA4AFD" w:rsidRPr="00A13CEF">
        <w:rPr>
          <w:rFonts w:cstheme="minorHAnsi"/>
        </w:rPr>
        <w:t>еше</w:t>
      </w:r>
      <w:r w:rsidRPr="00A13CEF">
        <w:rPr>
          <w:rFonts w:cstheme="minorHAnsi"/>
        </w:rPr>
        <w:t xml:space="preserve"> на 13 юни 2018 г., сряда</w:t>
      </w:r>
      <w:r w:rsidR="00AA4AFD" w:rsidRPr="00A13CEF">
        <w:rPr>
          <w:rFonts w:cstheme="minorHAnsi"/>
        </w:rPr>
        <w:t xml:space="preserve">. </w:t>
      </w:r>
      <w:r w:rsidRPr="00A13CEF">
        <w:rPr>
          <w:rFonts w:cstheme="minorHAnsi"/>
        </w:rPr>
        <w:t>Всички инвестиционни посредници, които партнира</w:t>
      </w:r>
      <w:r w:rsidR="00AA4AFD" w:rsidRPr="00A13CEF">
        <w:rPr>
          <w:rFonts w:cstheme="minorHAnsi"/>
        </w:rPr>
        <w:t>ха</w:t>
      </w:r>
      <w:r w:rsidRPr="00A13CEF">
        <w:rPr>
          <w:rFonts w:cstheme="minorHAnsi"/>
        </w:rPr>
        <w:t xml:space="preserve"> на БФБ и Централен депозитар в "Деня за акции"</w:t>
      </w:r>
      <w:r w:rsidR="00AA4AFD" w:rsidRPr="00A13CEF">
        <w:rPr>
          <w:rFonts w:cstheme="minorHAnsi"/>
        </w:rPr>
        <w:t>, не таксуваха</w:t>
      </w:r>
      <w:r w:rsidRPr="00A13CEF">
        <w:rPr>
          <w:rFonts w:cstheme="minorHAnsi"/>
        </w:rPr>
        <w:t xml:space="preserve"> своите клиенти – физически лица, чиито сделки отговаря</w:t>
      </w:r>
      <w:r w:rsidR="00AA4AFD" w:rsidRPr="00A13CEF">
        <w:rPr>
          <w:rFonts w:cstheme="minorHAnsi"/>
        </w:rPr>
        <w:t>ха</w:t>
      </w:r>
      <w:r w:rsidRPr="00A13CEF">
        <w:rPr>
          <w:rFonts w:cstheme="minorHAnsi"/>
        </w:rPr>
        <w:t xml:space="preserve"> на условията за участие в инициативата.</w:t>
      </w:r>
    </w:p>
    <w:p w:rsidR="004D1FE8" w:rsidRPr="00A13CEF" w:rsidRDefault="004D1FE8">
      <w:pPr>
        <w:widowControl/>
        <w:spacing w:line="240" w:lineRule="auto"/>
        <w:jc w:val="left"/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BE0D96" w:rsidRPr="00A13CEF" w:rsidRDefault="00D716DE" w:rsidP="00D716DE">
      <w:pPr>
        <w:pStyle w:val="SubNumbers"/>
        <w:rPr>
          <w:rFonts w:cstheme="minorHAnsi"/>
        </w:rPr>
      </w:pPr>
      <w:bookmarkStart w:id="47" w:name="_Toc520473878"/>
      <w:r w:rsidRPr="00A13CEF">
        <w:rPr>
          <w:rFonts w:cstheme="minorHAnsi"/>
        </w:rPr>
        <w:lastRenderedPageBreak/>
        <w:t>П</w:t>
      </w:r>
      <w:r w:rsidR="00DB5F15" w:rsidRPr="00A13CEF">
        <w:rPr>
          <w:rFonts w:cstheme="minorHAnsi"/>
        </w:rPr>
        <w:t xml:space="preserve">роведено </w:t>
      </w:r>
      <w:r w:rsidRPr="00A13CEF">
        <w:rPr>
          <w:rFonts w:cstheme="minorHAnsi"/>
        </w:rPr>
        <w:t xml:space="preserve">бе </w:t>
      </w:r>
      <w:r w:rsidR="00DB5F15" w:rsidRPr="00A13CEF">
        <w:rPr>
          <w:rFonts w:cstheme="minorHAnsi"/>
        </w:rPr>
        <w:t>редовното общо събрание на „</w:t>
      </w:r>
      <w:r w:rsidR="00636F5A">
        <w:rPr>
          <w:rFonts w:cstheme="minorHAnsi"/>
        </w:rPr>
        <w:t>Българска фондова борса - София</w:t>
      </w:r>
      <w:r w:rsidR="00DB5F15" w:rsidRPr="00A13CEF">
        <w:rPr>
          <w:rFonts w:cstheme="minorHAnsi"/>
        </w:rPr>
        <w:t>“ АД</w:t>
      </w:r>
      <w:bookmarkEnd w:id="47"/>
    </w:p>
    <w:p w:rsidR="0004416C" w:rsidRPr="00A13CEF" w:rsidRDefault="0004416C" w:rsidP="00DB5F15">
      <w:pPr>
        <w:rPr>
          <w:rFonts w:cstheme="minorHAnsi"/>
        </w:rPr>
      </w:pPr>
      <w:r w:rsidRPr="00A13CEF">
        <w:rPr>
          <w:rFonts w:cstheme="minorHAnsi"/>
        </w:rPr>
        <w:t xml:space="preserve">На </w:t>
      </w:r>
      <w:r w:rsidR="00DB5F15" w:rsidRPr="00A13CEF">
        <w:rPr>
          <w:rFonts w:cstheme="minorHAnsi"/>
        </w:rPr>
        <w:t xml:space="preserve">18.06.2018 г. се </w:t>
      </w:r>
      <w:r w:rsidRPr="00A13CEF">
        <w:rPr>
          <w:rFonts w:cstheme="minorHAnsi"/>
        </w:rPr>
        <w:t xml:space="preserve">проведе редовно </w:t>
      </w:r>
      <w:r w:rsidR="00DB5F15" w:rsidRPr="00A13CEF">
        <w:rPr>
          <w:rFonts w:cstheme="minorHAnsi"/>
        </w:rPr>
        <w:t>Общо събрание на акционерите</w:t>
      </w:r>
      <w:r w:rsidRPr="00A13CEF">
        <w:rPr>
          <w:rFonts w:cstheme="minorHAnsi"/>
        </w:rPr>
        <w:t xml:space="preserve"> на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АД</w:t>
      </w:r>
      <w:r w:rsidR="00DB5F15" w:rsidRPr="00A13CEF">
        <w:rPr>
          <w:rFonts w:cstheme="minorHAnsi"/>
        </w:rPr>
        <w:t>. Освен п</w:t>
      </w:r>
      <w:r w:rsidRPr="00A13CEF">
        <w:rPr>
          <w:rFonts w:cstheme="minorHAnsi"/>
        </w:rPr>
        <w:t>риема</w:t>
      </w:r>
      <w:r w:rsidR="00DB5F15" w:rsidRPr="00A13CEF">
        <w:rPr>
          <w:rFonts w:cstheme="minorHAnsi"/>
        </w:rPr>
        <w:t>не на</w:t>
      </w:r>
      <w:r w:rsidRPr="00A13CEF">
        <w:rPr>
          <w:rFonts w:cstheme="minorHAnsi"/>
        </w:rPr>
        <w:t xml:space="preserve"> докладите на управителните органи за дейността на дружеството през 2017 г.</w:t>
      </w:r>
      <w:r w:rsidR="00DB5F15" w:rsidRPr="00A13CEF">
        <w:rPr>
          <w:rFonts w:cstheme="minorHAnsi"/>
        </w:rPr>
        <w:t xml:space="preserve">, на </w:t>
      </w:r>
      <w:r w:rsidRPr="00A13CEF">
        <w:rPr>
          <w:rFonts w:cstheme="minorHAnsi"/>
        </w:rPr>
        <w:t>годишните финансови отчети на дружеството за 2017 г.</w:t>
      </w:r>
      <w:r w:rsidR="00DB5F15" w:rsidRPr="00A13CEF">
        <w:rPr>
          <w:rFonts w:cstheme="minorHAnsi"/>
        </w:rPr>
        <w:t xml:space="preserve">, на </w:t>
      </w:r>
      <w:r w:rsidRPr="00A13CEF">
        <w:rPr>
          <w:rFonts w:cstheme="minorHAnsi"/>
        </w:rPr>
        <w:t>докладите на специализираното одиторско предприятие за извършената проверка на годишните финансови отчети на дружеството за 2017 г.</w:t>
      </w:r>
      <w:r w:rsidR="00DB5F15" w:rsidRPr="00A13CEF">
        <w:rPr>
          <w:rFonts w:cstheme="minorHAnsi"/>
        </w:rPr>
        <w:t xml:space="preserve">, на </w:t>
      </w:r>
      <w:r w:rsidRPr="00A13CEF">
        <w:rPr>
          <w:rFonts w:cstheme="minorHAnsi"/>
        </w:rPr>
        <w:t>доклада на Одитния комитет</w:t>
      </w:r>
      <w:r w:rsidR="00DB5F15" w:rsidRPr="00A13CEF">
        <w:rPr>
          <w:rFonts w:cstheme="minorHAnsi"/>
        </w:rPr>
        <w:t xml:space="preserve"> и </w:t>
      </w:r>
      <w:r w:rsidRPr="00A13CEF">
        <w:rPr>
          <w:rFonts w:cstheme="minorHAnsi"/>
        </w:rPr>
        <w:t>доклада на Директора за връзки с инвеститорите</w:t>
      </w:r>
      <w:r w:rsidR="00DB5F15" w:rsidRPr="00A13CEF">
        <w:rPr>
          <w:rFonts w:cstheme="minorHAnsi"/>
        </w:rPr>
        <w:t xml:space="preserve"> и осво</w:t>
      </w:r>
      <w:r w:rsidRPr="00A13CEF">
        <w:rPr>
          <w:rFonts w:cstheme="minorHAnsi"/>
        </w:rPr>
        <w:t>бождава</w:t>
      </w:r>
      <w:r w:rsidR="00DB5F15" w:rsidRPr="00A13CEF">
        <w:rPr>
          <w:rFonts w:cstheme="minorHAnsi"/>
        </w:rPr>
        <w:t>нето</w:t>
      </w:r>
      <w:r w:rsidRPr="00A13CEF">
        <w:rPr>
          <w:rFonts w:cstheme="minorHAnsi"/>
        </w:rPr>
        <w:t xml:space="preserve"> от отговорност членовете на управителните органи за дейността им през 2017 г.</w:t>
      </w:r>
      <w:r w:rsidR="00DB5F15" w:rsidRPr="00A13CEF">
        <w:rPr>
          <w:rFonts w:cstheme="minorHAnsi"/>
        </w:rPr>
        <w:t xml:space="preserve">, бе избран </w:t>
      </w:r>
      <w:r w:rsidRPr="00A13CEF">
        <w:rPr>
          <w:rFonts w:cstheme="minorHAnsi"/>
        </w:rPr>
        <w:t>регистриран одитор за 2018 г.</w:t>
      </w:r>
      <w:r w:rsidR="00DB5F15" w:rsidRPr="00A13CEF">
        <w:rPr>
          <w:rFonts w:cstheme="minorHAnsi"/>
        </w:rPr>
        <w:t>, одобрени бяха промени в наименованието на дружеството и устава му, о</w:t>
      </w:r>
      <w:r w:rsidRPr="00A13CEF">
        <w:rPr>
          <w:rFonts w:cstheme="minorHAnsi"/>
        </w:rPr>
        <w:t>свобо</w:t>
      </w:r>
      <w:r w:rsidR="00DB5F15" w:rsidRPr="00A13CEF">
        <w:rPr>
          <w:rFonts w:cstheme="minorHAnsi"/>
        </w:rPr>
        <w:t>дена беше</w:t>
      </w:r>
      <w:r w:rsidRPr="00A13CEF">
        <w:rPr>
          <w:rFonts w:cstheme="minorHAnsi"/>
        </w:rPr>
        <w:t xml:space="preserve"> Маринела </w:t>
      </w:r>
      <w:proofErr w:type="spellStart"/>
      <w:r w:rsidRPr="00A13CEF">
        <w:rPr>
          <w:rFonts w:cstheme="minorHAnsi"/>
        </w:rPr>
        <w:t>Пиринова</w:t>
      </w:r>
      <w:proofErr w:type="spellEnd"/>
      <w:r w:rsidRPr="00A13CEF">
        <w:rPr>
          <w:rFonts w:cstheme="minorHAnsi"/>
        </w:rPr>
        <w:t xml:space="preserve"> Петрова като член на Съвета на директорите</w:t>
      </w:r>
      <w:r w:rsidR="00DB5F15" w:rsidRPr="00A13CEF">
        <w:rPr>
          <w:rFonts w:cstheme="minorHAnsi"/>
        </w:rPr>
        <w:t xml:space="preserve"> и бе избрана </w:t>
      </w:r>
      <w:r w:rsidRPr="00A13CEF">
        <w:rPr>
          <w:rFonts w:cstheme="minorHAnsi"/>
        </w:rPr>
        <w:t xml:space="preserve">Христина Стефанова </w:t>
      </w:r>
      <w:proofErr w:type="spellStart"/>
      <w:r w:rsidRPr="00A13CEF">
        <w:rPr>
          <w:rFonts w:cstheme="minorHAnsi"/>
        </w:rPr>
        <w:t>Пендичева</w:t>
      </w:r>
      <w:proofErr w:type="spellEnd"/>
      <w:r w:rsidRPr="00A13CEF">
        <w:rPr>
          <w:rFonts w:cstheme="minorHAnsi"/>
        </w:rPr>
        <w:t xml:space="preserve"> за член на Съвета на директорите до края на текущия мандат</w:t>
      </w:r>
      <w:r w:rsidR="00DB5F15" w:rsidRPr="00A13CEF">
        <w:rPr>
          <w:rFonts w:cstheme="minorHAnsi"/>
        </w:rPr>
        <w:t>.</w:t>
      </w:r>
    </w:p>
    <w:p w:rsidR="0004416C" w:rsidRPr="00A13CEF" w:rsidRDefault="0004416C" w:rsidP="0004416C">
      <w:pPr>
        <w:rPr>
          <w:rFonts w:cstheme="minorHAnsi"/>
        </w:rPr>
      </w:pPr>
      <w:r w:rsidRPr="00A13CEF">
        <w:rPr>
          <w:rFonts w:cstheme="minorHAnsi"/>
        </w:rPr>
        <w:t>Прие</w:t>
      </w:r>
      <w:r w:rsidR="00DB5F15" w:rsidRPr="00A13CEF">
        <w:rPr>
          <w:rFonts w:cstheme="minorHAnsi"/>
        </w:rPr>
        <w:t>то бе</w:t>
      </w:r>
      <w:r w:rsidRPr="00A13CEF">
        <w:rPr>
          <w:rFonts w:cstheme="minorHAnsi"/>
        </w:rPr>
        <w:t xml:space="preserve"> решение 50% от печалбата за 2017 г., в размер на 103 116.57 лева, да бъде разпредена като дивидент на акционерите, или по 0.01566 лева на всяка акция. Останалите 50 % от печалбата, в размер на 103 116.57 лева, </w:t>
      </w:r>
      <w:r w:rsidR="00DB5F15" w:rsidRPr="00A13CEF">
        <w:rPr>
          <w:rFonts w:cstheme="minorHAnsi"/>
        </w:rPr>
        <w:t>бяха</w:t>
      </w:r>
      <w:r w:rsidRPr="00A13CEF">
        <w:rPr>
          <w:rFonts w:cstheme="minorHAnsi"/>
        </w:rPr>
        <w:t xml:space="preserve"> отн</w:t>
      </w:r>
      <w:r w:rsidR="00DB5F15" w:rsidRPr="00A13CEF">
        <w:rPr>
          <w:rFonts w:cstheme="minorHAnsi"/>
        </w:rPr>
        <w:t xml:space="preserve">есени </w:t>
      </w:r>
      <w:r w:rsidRPr="00A13CEF">
        <w:rPr>
          <w:rFonts w:cstheme="minorHAnsi"/>
        </w:rPr>
        <w:t>към Допълнителните резерви.</w:t>
      </w:r>
    </w:p>
    <w:p w:rsidR="0004416C" w:rsidRPr="00A13CEF" w:rsidRDefault="0004416C" w:rsidP="0004416C">
      <w:pPr>
        <w:rPr>
          <w:rFonts w:cstheme="minorHAnsi"/>
        </w:rPr>
      </w:pPr>
      <w:r w:rsidRPr="00A13CEF">
        <w:rPr>
          <w:rFonts w:cstheme="minorHAnsi"/>
        </w:rPr>
        <w:t>Право да получат дивидент имат лицата, вписани в регистрите на Централен депозитар като акционери на 14-ия ден след деня на ОСА, или към 02.07.2018 г.</w:t>
      </w:r>
    </w:p>
    <w:p w:rsidR="00BE0D96" w:rsidRPr="00A13CEF" w:rsidRDefault="00DB5F15" w:rsidP="0004416C">
      <w:pPr>
        <w:rPr>
          <w:rFonts w:cstheme="minorHAnsi"/>
        </w:rPr>
      </w:pPr>
      <w:r w:rsidRPr="00A13CEF">
        <w:rPr>
          <w:rFonts w:cstheme="minorHAnsi"/>
        </w:rPr>
        <w:t>Изплащането на дивидента ще започне в законоустановения срок, но не по-късно от два месеца от датата на провеждане на общото събрание.</w:t>
      </w:r>
    </w:p>
    <w:p w:rsidR="00AA4AFD" w:rsidRPr="00A13CEF" w:rsidRDefault="00DB5F15" w:rsidP="00AA4AFD">
      <w:pPr>
        <w:rPr>
          <w:rFonts w:cstheme="minorHAnsi"/>
        </w:rPr>
      </w:pPr>
      <w:r w:rsidRPr="00A13CEF">
        <w:rPr>
          <w:rFonts w:cstheme="minorHAnsi"/>
        </w:rPr>
        <w:t>Акционерите имаха възможност да участват в общото събрание чрез електронни средства.</w:t>
      </w:r>
      <w:r w:rsidR="00AA4AFD" w:rsidRPr="00A13CEF">
        <w:rPr>
          <w:rFonts w:cstheme="minorHAnsi"/>
        </w:rPr>
        <w:t xml:space="preserve"> Акционери на дружеството мо</w:t>
      </w:r>
      <w:r w:rsidR="00AC012C" w:rsidRPr="00A13CEF">
        <w:rPr>
          <w:rFonts w:cstheme="minorHAnsi"/>
        </w:rPr>
        <w:t>жеха</w:t>
      </w:r>
      <w:r w:rsidR="00AA4AFD" w:rsidRPr="00A13CEF">
        <w:rPr>
          <w:rFonts w:cstheme="minorHAnsi"/>
        </w:rPr>
        <w:t xml:space="preserve"> да се регистрират за участие в общото събрание </w:t>
      </w:r>
      <w:r w:rsidR="00D716DE" w:rsidRPr="00A13CEF">
        <w:rPr>
          <w:rFonts w:cstheme="minorHAnsi"/>
        </w:rPr>
        <w:t xml:space="preserve">чрез системата за електронно провеждане на общи събрания на "Централен депозитар" АД ЕПОС, </w:t>
      </w:r>
      <w:r w:rsidR="00AA4AFD" w:rsidRPr="00A13CEF">
        <w:rPr>
          <w:rFonts w:cstheme="minorHAnsi"/>
        </w:rPr>
        <w:t xml:space="preserve">посредством квалифициран електронен подпис по смисъла на Закона за електронния документ и електронните удостоверителни услуги. </w:t>
      </w:r>
      <w:r w:rsidR="00D716DE" w:rsidRPr="00A13CEF">
        <w:rPr>
          <w:rFonts w:cstheme="minorHAnsi"/>
        </w:rPr>
        <w:t xml:space="preserve">Системата </w:t>
      </w:r>
      <w:r w:rsidR="00AA4AFD" w:rsidRPr="00A13CEF">
        <w:rPr>
          <w:rFonts w:cstheme="minorHAnsi"/>
        </w:rPr>
        <w:t>ЕПОС осигурява следните възможности на акционерите:</w:t>
      </w:r>
    </w:p>
    <w:p w:rsidR="00AA4AFD" w:rsidRPr="00A13CEF" w:rsidRDefault="00AA4AFD" w:rsidP="003B2497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да следят общото събрание в реално време;</w:t>
      </w:r>
    </w:p>
    <w:p w:rsidR="00AA4AFD" w:rsidRPr="00A13CEF" w:rsidRDefault="00AA4AFD" w:rsidP="003B2497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да гласуват чрез дистанционно попълване на съответните електронни форми, когато се провежда гласуване по съответната точка;</w:t>
      </w:r>
    </w:p>
    <w:p w:rsidR="00AA4AFD" w:rsidRPr="00A13CEF" w:rsidRDefault="00AA4AFD" w:rsidP="003B2497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да гласуват предварително по определения дневен ред чрез запис на вота най-късно до края на деня, предхождащ деня на провеждане на Общото събрание, а именно до 17.06.2018 г., включително;</w:t>
      </w:r>
    </w:p>
    <w:p w:rsidR="00AA4AFD" w:rsidRPr="00A13CEF" w:rsidRDefault="00AA4AFD" w:rsidP="003B2497">
      <w:pPr>
        <w:pStyle w:val="ListParagraph"/>
        <w:numPr>
          <w:ilvl w:val="0"/>
          <w:numId w:val="9"/>
        </w:numPr>
        <w:rPr>
          <w:rFonts w:cstheme="minorHAnsi"/>
        </w:rPr>
      </w:pPr>
      <w:r w:rsidRPr="00A13CEF">
        <w:rPr>
          <w:rFonts w:cstheme="minorHAnsi"/>
        </w:rPr>
        <w:t>да упълномощят трето лице, което разполага с КЕП, да гласува от тяхно име.</w:t>
      </w:r>
    </w:p>
    <w:p w:rsidR="00D716DE" w:rsidRPr="00A13CEF" w:rsidRDefault="00D716DE" w:rsidP="00D716DE">
      <w:pPr>
        <w:pStyle w:val="SubNumbers"/>
        <w:rPr>
          <w:rFonts w:cstheme="minorHAnsi"/>
        </w:rPr>
      </w:pPr>
      <w:bookmarkStart w:id="48" w:name="_Toc520473879"/>
      <w:bookmarkEnd w:id="33"/>
      <w:r w:rsidRPr="00A13CEF">
        <w:rPr>
          <w:rFonts w:cstheme="minorHAnsi"/>
        </w:rPr>
        <w:t xml:space="preserve">Договор за трансграничен клиринг и </w:t>
      </w:r>
      <w:proofErr w:type="spellStart"/>
      <w:r w:rsidRPr="00A13CEF">
        <w:rPr>
          <w:rFonts w:cstheme="minorHAnsi"/>
        </w:rPr>
        <w:t>сетълмент</w:t>
      </w:r>
      <w:proofErr w:type="spellEnd"/>
      <w:r w:rsidRPr="00A13CEF">
        <w:rPr>
          <w:rFonts w:cstheme="minorHAnsi"/>
        </w:rPr>
        <w:t xml:space="preserve"> бе подписан между </w:t>
      </w:r>
      <w:proofErr w:type="spellStart"/>
      <w:r w:rsidRPr="00A13CEF">
        <w:rPr>
          <w:rFonts w:cstheme="minorHAnsi"/>
          <w:lang w:val="en-US"/>
        </w:rPr>
        <w:t>SEELink</w:t>
      </w:r>
      <w:proofErr w:type="spellEnd"/>
      <w:r w:rsidRPr="00A13CEF">
        <w:rPr>
          <w:rFonts w:cstheme="minorHAnsi"/>
          <w:lang w:val="en-US"/>
        </w:rPr>
        <w:t xml:space="preserve"> </w:t>
      </w:r>
      <w:r w:rsidRPr="00A13CEF">
        <w:rPr>
          <w:rFonts w:cstheme="minorHAnsi"/>
        </w:rPr>
        <w:t xml:space="preserve">и </w:t>
      </w:r>
      <w:proofErr w:type="spellStart"/>
      <w:r w:rsidRPr="00A13CEF">
        <w:rPr>
          <w:rFonts w:cstheme="minorHAnsi"/>
        </w:rPr>
        <w:t>Raiffeisen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Bank</w:t>
      </w:r>
      <w:proofErr w:type="spellEnd"/>
      <w:r w:rsidRPr="00A13CEF">
        <w:rPr>
          <w:rFonts w:cstheme="minorHAnsi"/>
        </w:rPr>
        <w:t xml:space="preserve"> International</w:t>
      </w:r>
      <w:bookmarkEnd w:id="48"/>
    </w:p>
    <w:p w:rsidR="00D716DE" w:rsidRPr="00A13CEF" w:rsidRDefault="00D716DE" w:rsidP="00D716DE">
      <w:pPr>
        <w:rPr>
          <w:rFonts w:cstheme="minorHAnsi"/>
        </w:rPr>
      </w:pPr>
      <w:r w:rsidRPr="00A13CEF">
        <w:rPr>
          <w:rFonts w:cstheme="minorHAnsi"/>
        </w:rPr>
        <w:t xml:space="preserve">Ръководствата на трите фондови борси-учредителки на SEE </w:t>
      </w:r>
      <w:proofErr w:type="spellStart"/>
      <w:r w:rsidRPr="00A13CEF">
        <w:rPr>
          <w:rFonts w:cstheme="minorHAnsi"/>
        </w:rPr>
        <w:t>Link</w:t>
      </w:r>
      <w:proofErr w:type="spellEnd"/>
      <w:r w:rsidRPr="00A13CEF">
        <w:rPr>
          <w:rFonts w:cstheme="minorHAnsi"/>
        </w:rPr>
        <w:t xml:space="preserve"> и </w:t>
      </w:r>
      <w:proofErr w:type="spellStart"/>
      <w:r w:rsidRPr="00A13CEF">
        <w:rPr>
          <w:rFonts w:cstheme="minorHAnsi"/>
        </w:rPr>
        <w:t>Raiffeisen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Bank</w:t>
      </w:r>
      <w:proofErr w:type="spellEnd"/>
      <w:r w:rsidRPr="00A13CEF">
        <w:rPr>
          <w:rFonts w:cstheme="minorHAnsi"/>
        </w:rPr>
        <w:t xml:space="preserve"> International (RBI) подписаха меморандум за разбирателство днес във Виена, Австрия. В резултат на договореностите RBI поетапно ще улесни процесите по трансграничен клиринг и сетълмент на регионалната платформа за търговия на ценни книжа в страните, в които оперира.</w:t>
      </w:r>
    </w:p>
    <w:p w:rsidR="00D716DE" w:rsidRPr="00A13CEF" w:rsidRDefault="00D716DE" w:rsidP="00D716DE">
      <w:pPr>
        <w:rPr>
          <w:rFonts w:cstheme="minorHAnsi"/>
        </w:rPr>
      </w:pPr>
      <w:r w:rsidRPr="00A13CEF">
        <w:rPr>
          <w:rFonts w:cstheme="minorHAnsi"/>
        </w:rPr>
        <w:t>Според меморандума RBI ще опосредства процесите за клиринг и сетълмент за сделки</w:t>
      </w:r>
      <w:r w:rsidR="000A153F" w:rsidRPr="00A13CEF">
        <w:rPr>
          <w:rFonts w:cstheme="minorHAnsi"/>
        </w:rPr>
        <w:t>,</w:t>
      </w:r>
      <w:r w:rsidRPr="00A13CEF">
        <w:rPr>
          <w:rFonts w:cstheme="minorHAnsi"/>
        </w:rPr>
        <w:t xml:space="preserve"> сключени на SEE </w:t>
      </w:r>
      <w:proofErr w:type="spellStart"/>
      <w:r w:rsidRPr="00A13CEF">
        <w:rPr>
          <w:rFonts w:cstheme="minorHAnsi"/>
        </w:rPr>
        <w:t>Link</w:t>
      </w:r>
      <w:proofErr w:type="spellEnd"/>
      <w:r w:rsidRPr="00A13CEF">
        <w:rPr>
          <w:rFonts w:cstheme="minorHAnsi"/>
        </w:rPr>
        <w:t xml:space="preserve">, като осъществява връзката с местните централни депозитари. Това ще става чрез Центъра </w:t>
      </w:r>
      <w:r w:rsidR="000A153F" w:rsidRPr="00A13CEF">
        <w:rPr>
          <w:rFonts w:cstheme="minorHAnsi"/>
        </w:rPr>
        <w:t xml:space="preserve">за </w:t>
      </w:r>
      <w:r w:rsidRPr="00A13CEF">
        <w:rPr>
          <w:rFonts w:cstheme="minorHAnsi"/>
        </w:rPr>
        <w:t>услуги свързани с ценни книжа на банката, базиран във Виена. Решението ще свърже централните депозитари на ценни книжа от 9 страни и по този начин ще преодолее ог</w:t>
      </w:r>
      <w:r w:rsidR="000A153F" w:rsidRPr="00A13CEF">
        <w:rPr>
          <w:rFonts w:cstheme="minorHAnsi"/>
        </w:rPr>
        <w:t>р</w:t>
      </w:r>
      <w:r w:rsidRPr="00A13CEF">
        <w:rPr>
          <w:rFonts w:cstheme="minorHAnsi"/>
        </w:rPr>
        <w:t xml:space="preserve">аничения като различни валути или законодателни различия. Така ще се реализира изначалната идея на платформата да </w:t>
      </w:r>
      <w:r w:rsidRPr="00A13CEF">
        <w:rPr>
          <w:rFonts w:cstheme="minorHAnsi"/>
        </w:rPr>
        <w:lastRenderedPageBreak/>
        <w:t>интегрира регионалните пазари на акции без сливане или корпоративна интеграция, като използва само технологии, които ще позволят на участващите фондови борси да останат независими, но да се допълват и да позволят на инвеститорите по-лесен и по-ефективен достъп до тях чрез местен брокер.</w:t>
      </w:r>
    </w:p>
    <w:p w:rsidR="00D716DE" w:rsidRPr="00A13CEF" w:rsidRDefault="00636F5A" w:rsidP="00D716DE">
      <w:pPr>
        <w:pStyle w:val="SubNumbers"/>
        <w:rPr>
          <w:rFonts w:cstheme="minorHAnsi"/>
        </w:rPr>
      </w:pPr>
      <w:bookmarkStart w:id="49" w:name="_Toc520473880"/>
      <w:r>
        <w:rPr>
          <w:rFonts w:cstheme="minorHAnsi"/>
        </w:rPr>
        <w:t>Българска фондова борса - София</w:t>
      </w:r>
      <w:r w:rsidR="00D716DE" w:rsidRPr="00A13CEF">
        <w:rPr>
          <w:rFonts w:cstheme="minorHAnsi"/>
        </w:rPr>
        <w:t xml:space="preserve"> и </w:t>
      </w:r>
      <w:proofErr w:type="spellStart"/>
      <w:r w:rsidR="00D716DE" w:rsidRPr="00A13CEF">
        <w:rPr>
          <w:rFonts w:cstheme="minorHAnsi"/>
        </w:rPr>
        <w:t>UniCredit</w:t>
      </w:r>
      <w:proofErr w:type="spellEnd"/>
      <w:r w:rsidR="00D716DE" w:rsidRPr="00A13CEF">
        <w:rPr>
          <w:rFonts w:cstheme="minorHAnsi"/>
        </w:rPr>
        <w:t xml:space="preserve"> </w:t>
      </w:r>
      <w:proofErr w:type="spellStart"/>
      <w:r w:rsidR="00D716DE" w:rsidRPr="00A13CEF">
        <w:rPr>
          <w:rFonts w:cstheme="minorHAnsi"/>
        </w:rPr>
        <w:t>Bulbank</w:t>
      </w:r>
      <w:proofErr w:type="spellEnd"/>
      <w:r w:rsidR="00D716DE" w:rsidRPr="00A13CEF">
        <w:rPr>
          <w:rFonts w:cstheme="minorHAnsi"/>
        </w:rPr>
        <w:t xml:space="preserve"> организираха обучителен семинар по програмата </w:t>
      </w:r>
      <w:r w:rsidR="00D716DE" w:rsidRPr="00A13CEF">
        <w:rPr>
          <w:rFonts w:cstheme="minorHAnsi"/>
          <w:lang w:val="en-US"/>
        </w:rPr>
        <w:t xml:space="preserve">ELITE </w:t>
      </w:r>
      <w:r w:rsidR="00D716DE" w:rsidRPr="00A13CEF">
        <w:rPr>
          <w:rFonts w:cstheme="minorHAnsi"/>
        </w:rPr>
        <w:t xml:space="preserve">на </w:t>
      </w:r>
      <w:r w:rsidR="00D716DE" w:rsidRPr="00A13CEF">
        <w:rPr>
          <w:rFonts w:cstheme="minorHAnsi"/>
          <w:lang w:val="en-US"/>
        </w:rPr>
        <w:t>London Stock Exchange</w:t>
      </w:r>
      <w:bookmarkEnd w:id="49"/>
    </w:p>
    <w:p w:rsidR="00D716DE" w:rsidRPr="00A13CEF" w:rsidRDefault="00D716DE" w:rsidP="00D716DE">
      <w:pPr>
        <w:rPr>
          <w:rFonts w:cstheme="minorHAnsi"/>
        </w:rPr>
      </w:pPr>
      <w:r w:rsidRPr="00A13CEF">
        <w:rPr>
          <w:rFonts w:cstheme="minorHAnsi"/>
        </w:rPr>
        <w:t xml:space="preserve">Представители на над 20 от най-динамичните български компании участваха в първия по рода си семинар </w:t>
      </w:r>
      <w:r w:rsidR="001A5E57" w:rsidRPr="00A13CEF">
        <w:rPr>
          <w:rFonts w:cstheme="minorHAnsi"/>
        </w:rPr>
        <w:t>организиран</w:t>
      </w:r>
      <w:r w:rsidRPr="00A13CEF">
        <w:rPr>
          <w:rFonts w:cstheme="minorHAnsi"/>
        </w:rPr>
        <w:t xml:space="preserve"> по програма ELITE на </w:t>
      </w:r>
      <w:proofErr w:type="spellStart"/>
      <w:r w:rsidRPr="00A13CEF">
        <w:rPr>
          <w:rFonts w:cstheme="minorHAnsi"/>
        </w:rPr>
        <w:t>London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Stock</w:t>
      </w:r>
      <w:proofErr w:type="spellEnd"/>
      <w:r w:rsidRPr="00A13CEF">
        <w:rPr>
          <w:rFonts w:cstheme="minorHAnsi"/>
        </w:rPr>
        <w:t xml:space="preserve"> Exchange Group (LSEG). По време на събитието фирмите получиха ценна информация за това как могат да се възползват от възможностите на капиталовите пазари, както и по какъв начин дигиталните инструменти могат да стимулират бъдещия им растеж.</w:t>
      </w:r>
    </w:p>
    <w:p w:rsidR="00D716DE" w:rsidRPr="00A13CEF" w:rsidRDefault="00D716DE" w:rsidP="001A50AB">
      <w:pPr>
        <w:rPr>
          <w:rFonts w:cstheme="minorHAnsi"/>
        </w:rPr>
      </w:pPr>
      <w:r w:rsidRPr="00A13CEF">
        <w:rPr>
          <w:rFonts w:cstheme="minorHAnsi"/>
        </w:rPr>
        <w:t xml:space="preserve">Семинарът се проведе в партньорството на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и </w:t>
      </w:r>
      <w:proofErr w:type="spellStart"/>
      <w:r w:rsidRPr="00A13CEF">
        <w:rPr>
          <w:rFonts w:cstheme="minorHAnsi"/>
        </w:rPr>
        <w:t>UniCredit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Bulbank</w:t>
      </w:r>
      <w:proofErr w:type="spellEnd"/>
      <w:r w:rsidRPr="00A13CEF">
        <w:rPr>
          <w:rFonts w:cstheme="minorHAnsi"/>
        </w:rPr>
        <w:t>. Негов фокус бяха изграждането на експертни познания и административни умения за набиране на капитал.</w:t>
      </w:r>
      <w:r w:rsidRPr="00A13CEF">
        <w:rPr>
          <w:rFonts w:cstheme="minorHAnsi"/>
          <w:lang w:val="en-US"/>
        </w:rPr>
        <w:t xml:space="preserve"> </w:t>
      </w:r>
      <w:r w:rsidRPr="00A13CEF">
        <w:rPr>
          <w:rFonts w:cstheme="minorHAnsi"/>
        </w:rPr>
        <w:t>Сред основните теми на семинара бяха: подготовка за набиране на капитал; предварителни договорености; основни принципи и фирмена структура</w:t>
      </w:r>
      <w:r w:rsidR="001A5E57" w:rsidRPr="00A13CEF">
        <w:rPr>
          <w:rFonts w:cstheme="minorHAnsi"/>
        </w:rPr>
        <w:t xml:space="preserve"> и</w:t>
      </w:r>
      <w:r w:rsidRPr="00A13CEF">
        <w:rPr>
          <w:rFonts w:cstheme="minorHAnsi"/>
        </w:rPr>
        <w:t xml:space="preserve"> водещи практики за добро корпоративно управление и интерактивна дигитална </w:t>
      </w:r>
      <w:r w:rsidR="00447B71" w:rsidRPr="00A13CEF">
        <w:rPr>
          <w:rFonts w:cstheme="minorHAnsi"/>
        </w:rPr>
        <w:t>самооценка</w:t>
      </w:r>
      <w:r w:rsidRPr="00A13CEF">
        <w:rPr>
          <w:rFonts w:cstheme="minorHAnsi"/>
        </w:rPr>
        <w:t>.</w:t>
      </w:r>
    </w:p>
    <w:p w:rsidR="0047355D" w:rsidRPr="00A13CEF" w:rsidRDefault="0047355D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4F60F1" w:rsidRPr="00A13CEF" w:rsidRDefault="004F60F1" w:rsidP="001A50AB">
      <w:pPr>
        <w:pStyle w:val="SubNumbers"/>
        <w:rPr>
          <w:rFonts w:cstheme="minorHAnsi"/>
        </w:rPr>
      </w:pPr>
      <w:bookmarkStart w:id="50" w:name="_Toc394323724"/>
      <w:bookmarkStart w:id="51" w:name="_Toc520473881"/>
      <w:r w:rsidRPr="00A13CEF">
        <w:rPr>
          <w:rFonts w:cstheme="minorHAnsi"/>
        </w:rPr>
        <w:lastRenderedPageBreak/>
        <w:t>Търговия със собствени акции на Борсата</w:t>
      </w:r>
      <w:bookmarkEnd w:id="50"/>
      <w:bookmarkEnd w:id="51"/>
    </w:p>
    <w:tbl>
      <w:tblPr>
        <w:tblStyle w:val="TableGrid"/>
        <w:tblpPr w:leftFromText="142" w:rightFromText="142" w:vertAnchor="text" w:horzAnchor="margin" w:tblpXSpec="right" w:tblpY="58"/>
        <w:tblOverlap w:val="never"/>
        <w:tblW w:w="6256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63"/>
      </w:tblGrid>
      <w:tr w:rsidR="004F60F1" w:rsidRPr="00A13CEF" w:rsidTr="001042CE">
        <w:trPr>
          <w:cantSplit/>
          <w:jc w:val="right"/>
        </w:trPr>
        <w:tc>
          <w:tcPr>
            <w:tcW w:w="6256" w:type="dxa"/>
          </w:tcPr>
          <w:p w:rsidR="00ED6D17" w:rsidRPr="00A13CEF" w:rsidRDefault="00E42E29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Графика 6</w:t>
            </w:r>
            <w:r w:rsidR="00507F4B" w:rsidRPr="00A13CEF">
              <w:rPr>
                <w:rFonts w:cstheme="minorHAnsi"/>
              </w:rPr>
              <w:t>а</w:t>
            </w:r>
            <w:r w:rsidR="004F60F1" w:rsidRPr="00A13CEF">
              <w:rPr>
                <w:rFonts w:cstheme="minorHAnsi"/>
              </w:rPr>
              <w:t xml:space="preserve">: Движение на цената и оборот с акциите на „БФБ“ АД през периода </w:t>
            </w:r>
            <w:r w:rsidR="00507F4B" w:rsidRPr="00A13CEF">
              <w:rPr>
                <w:rFonts w:cstheme="minorHAnsi"/>
              </w:rPr>
              <w:t xml:space="preserve">(по сесии) </w:t>
            </w:r>
            <w:r w:rsidR="004F60F1" w:rsidRPr="00A13CEF">
              <w:rPr>
                <w:rFonts w:cstheme="minorHAnsi"/>
              </w:rPr>
              <w:t>и сравнение</w:t>
            </w:r>
          </w:p>
        </w:tc>
      </w:tr>
      <w:tr w:rsidR="004F60F1" w:rsidRPr="00A13CEF" w:rsidTr="006A6622">
        <w:tblPrEx>
          <w:tblCellMar>
            <w:left w:w="70" w:type="dxa"/>
            <w:right w:w="70" w:type="dxa"/>
          </w:tblCellMar>
        </w:tblPrEx>
        <w:trPr>
          <w:cantSplit/>
          <w:jc w:val="right"/>
        </w:trPr>
        <w:tc>
          <w:tcPr>
            <w:tcW w:w="6256" w:type="dxa"/>
          </w:tcPr>
          <w:p w:rsidR="004F60F1" w:rsidRPr="00A13CEF" w:rsidRDefault="006A6622" w:rsidP="001A50AB">
            <w:pPr>
              <w:rPr>
                <w:rFonts w:cstheme="minorHAnsi"/>
                <w:sz w:val="20"/>
                <w:szCs w:val="20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73DCAB0D" wp14:editId="1BB37B3F">
                  <wp:extent cx="4015105" cy="3220085"/>
                  <wp:effectExtent l="0" t="0" r="0" b="0"/>
                  <wp:docPr id="17" name="Chart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424E073-C2EE-4619-ADE7-52515E4068E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</w:tc>
      </w:tr>
    </w:tbl>
    <w:p w:rsidR="00E21643" w:rsidRPr="00A13CEF" w:rsidRDefault="00BD0E6E" w:rsidP="001A50AB">
      <w:pPr>
        <w:rPr>
          <w:rFonts w:cstheme="minorHAnsi"/>
        </w:rPr>
      </w:pPr>
      <w:r w:rsidRPr="00A13CEF">
        <w:rPr>
          <w:rFonts w:cstheme="minorHAnsi"/>
        </w:rPr>
        <w:t>Търговията със собствени</w:t>
      </w:r>
      <w:r w:rsidR="007756A8" w:rsidRPr="00A13CEF">
        <w:rPr>
          <w:rFonts w:cstheme="minorHAnsi"/>
        </w:rPr>
        <w:t xml:space="preserve"> акции на „</w:t>
      </w:r>
      <w:r w:rsidR="00636F5A">
        <w:rPr>
          <w:rFonts w:cstheme="minorHAnsi"/>
        </w:rPr>
        <w:t>Българска фондова борса - София</w:t>
      </w:r>
      <w:r w:rsidR="00C86E20" w:rsidRPr="00A13CEF">
        <w:rPr>
          <w:rFonts w:cstheme="minorHAnsi"/>
        </w:rPr>
        <w:t>“ АД (борсов код BSO)</w:t>
      </w:r>
      <w:r w:rsidR="001A600B" w:rsidRPr="00A13CEF">
        <w:rPr>
          <w:rFonts w:cstheme="minorHAnsi"/>
        </w:rPr>
        <w:t xml:space="preserve"> бе </w:t>
      </w:r>
      <w:r w:rsidR="00D907C7" w:rsidRPr="00A13CEF">
        <w:rPr>
          <w:rFonts w:cstheme="minorHAnsi"/>
        </w:rPr>
        <w:t xml:space="preserve">с </w:t>
      </w:r>
      <w:r w:rsidR="00BC28E1" w:rsidRPr="00A13CEF">
        <w:rPr>
          <w:rFonts w:cstheme="minorHAnsi"/>
        </w:rPr>
        <w:t>висока</w:t>
      </w:r>
      <w:r w:rsidR="00A25DAE" w:rsidRPr="00A13CEF">
        <w:rPr>
          <w:rFonts w:cstheme="minorHAnsi"/>
        </w:rPr>
        <w:t xml:space="preserve"> </w:t>
      </w:r>
      <w:r w:rsidR="000B135B" w:rsidRPr="00A13CEF">
        <w:rPr>
          <w:rFonts w:cstheme="minorHAnsi"/>
        </w:rPr>
        <w:t>активн</w:t>
      </w:r>
      <w:r w:rsidR="00D907C7" w:rsidRPr="00A13CEF">
        <w:rPr>
          <w:rFonts w:cstheme="minorHAnsi"/>
        </w:rPr>
        <w:t>ост</w:t>
      </w:r>
      <w:r w:rsidR="001A600B" w:rsidRPr="00A13CEF">
        <w:rPr>
          <w:rFonts w:cstheme="minorHAnsi"/>
        </w:rPr>
        <w:t xml:space="preserve">, като средната цена </w:t>
      </w:r>
      <w:r w:rsidR="000B2CDF" w:rsidRPr="00A13CEF">
        <w:rPr>
          <w:rFonts w:cstheme="minorHAnsi"/>
        </w:rPr>
        <w:t xml:space="preserve">през шестмесечието </w:t>
      </w:r>
      <w:r w:rsidR="001A600B" w:rsidRPr="00A13CEF">
        <w:rPr>
          <w:rFonts w:cstheme="minorHAnsi"/>
        </w:rPr>
        <w:t xml:space="preserve">беше </w:t>
      </w:r>
      <w:r w:rsidR="00FE0A16" w:rsidRPr="00A13CEF">
        <w:rPr>
          <w:rFonts w:cstheme="minorHAnsi"/>
        </w:rPr>
        <w:t>5</w:t>
      </w:r>
      <w:r w:rsidR="00507F4B" w:rsidRPr="00A13CEF">
        <w:rPr>
          <w:rFonts w:cstheme="minorHAnsi"/>
        </w:rPr>
        <w:t>,</w:t>
      </w:r>
      <w:r w:rsidR="00FE0A16" w:rsidRPr="00A13CEF">
        <w:rPr>
          <w:rFonts w:cstheme="minorHAnsi"/>
        </w:rPr>
        <w:t>776</w:t>
      </w:r>
      <w:r w:rsidR="00507F4B" w:rsidRPr="00A13CEF">
        <w:rPr>
          <w:rFonts w:cstheme="minorHAnsi"/>
        </w:rPr>
        <w:t xml:space="preserve"> </w:t>
      </w:r>
      <w:r w:rsidR="001A600B" w:rsidRPr="00A13CEF">
        <w:rPr>
          <w:rFonts w:cstheme="minorHAnsi"/>
        </w:rPr>
        <w:t>лв</w:t>
      </w:r>
      <w:r w:rsidR="00E542DB" w:rsidRPr="00A13CEF">
        <w:rPr>
          <w:rFonts w:cstheme="minorHAnsi"/>
        </w:rPr>
        <w:t>.</w:t>
      </w:r>
      <w:r w:rsidR="001D0429" w:rsidRPr="00A13CEF">
        <w:rPr>
          <w:rFonts w:cstheme="minorHAnsi"/>
        </w:rPr>
        <w:t xml:space="preserve"> за акция</w:t>
      </w:r>
      <w:r w:rsidR="00C86E20" w:rsidRPr="00A13CEF">
        <w:rPr>
          <w:rFonts w:cstheme="minorHAnsi"/>
        </w:rPr>
        <w:t xml:space="preserve">. </w:t>
      </w:r>
      <w:r w:rsidR="007756A8" w:rsidRPr="00A13CEF">
        <w:rPr>
          <w:rFonts w:cstheme="minorHAnsi"/>
        </w:rPr>
        <w:t xml:space="preserve">Цената в края на </w:t>
      </w:r>
      <w:r w:rsidR="000B2CDF" w:rsidRPr="00A13CEF">
        <w:rPr>
          <w:rFonts w:cstheme="minorHAnsi"/>
        </w:rPr>
        <w:t>шестмесечието</w:t>
      </w:r>
      <w:r w:rsidR="007756A8" w:rsidRPr="00A13CEF">
        <w:rPr>
          <w:rFonts w:cstheme="minorHAnsi"/>
        </w:rPr>
        <w:t xml:space="preserve"> се </w:t>
      </w:r>
      <w:r w:rsidR="009658A2" w:rsidRPr="00A13CEF">
        <w:rPr>
          <w:rFonts w:cstheme="minorHAnsi"/>
        </w:rPr>
        <w:t>повиши</w:t>
      </w:r>
      <w:r w:rsidR="007756A8" w:rsidRPr="00A13CEF">
        <w:rPr>
          <w:rFonts w:cstheme="minorHAnsi"/>
        </w:rPr>
        <w:t xml:space="preserve"> спрямо тази в началото с 0</w:t>
      </w:r>
      <w:r w:rsidR="00E67BB0" w:rsidRPr="00A13CEF">
        <w:rPr>
          <w:rFonts w:cstheme="minorHAnsi"/>
        </w:rPr>
        <w:t>,</w:t>
      </w:r>
      <w:r w:rsidR="00FE0A16" w:rsidRPr="00A13CEF">
        <w:rPr>
          <w:rFonts w:cstheme="minorHAnsi"/>
        </w:rPr>
        <w:t>839</w:t>
      </w:r>
      <w:r w:rsidR="007756A8" w:rsidRPr="00A13CEF">
        <w:rPr>
          <w:rFonts w:cstheme="minorHAnsi"/>
        </w:rPr>
        <w:t xml:space="preserve"> лв</w:t>
      </w:r>
      <w:r w:rsidR="00E542DB" w:rsidRPr="00A13CEF">
        <w:rPr>
          <w:rFonts w:cstheme="minorHAnsi"/>
        </w:rPr>
        <w:t>.</w:t>
      </w:r>
      <w:r w:rsidR="007756A8" w:rsidRPr="00A13CEF">
        <w:rPr>
          <w:rFonts w:cstheme="minorHAnsi"/>
        </w:rPr>
        <w:t xml:space="preserve"> за акция или </w:t>
      </w:r>
      <w:r w:rsidR="00FE0A16" w:rsidRPr="00A13CEF">
        <w:rPr>
          <w:rFonts w:cstheme="minorHAnsi"/>
        </w:rPr>
        <w:t>16</w:t>
      </w:r>
      <w:r w:rsidR="00F15FE4" w:rsidRPr="00A13CEF">
        <w:rPr>
          <w:rFonts w:cstheme="minorHAnsi"/>
        </w:rPr>
        <w:t>,</w:t>
      </w:r>
      <w:r w:rsidR="00FE0A16" w:rsidRPr="00A13CEF">
        <w:rPr>
          <w:rFonts w:cstheme="minorHAnsi"/>
        </w:rPr>
        <w:t>58</w:t>
      </w:r>
      <w:r w:rsidR="007756A8" w:rsidRPr="00A13CEF">
        <w:rPr>
          <w:rFonts w:cstheme="minorHAnsi"/>
        </w:rPr>
        <w:t>%</w:t>
      </w:r>
      <w:r w:rsidR="009065D1" w:rsidRPr="00A13CEF">
        <w:rPr>
          <w:rFonts w:cstheme="minorHAnsi"/>
        </w:rPr>
        <w:t xml:space="preserve"> (от </w:t>
      </w:r>
      <w:r w:rsidR="00FE0A16" w:rsidRPr="00A13CEF">
        <w:rPr>
          <w:rFonts w:cstheme="minorHAnsi"/>
        </w:rPr>
        <w:t>5</w:t>
      </w:r>
      <w:r w:rsidR="009065D1" w:rsidRPr="00A13CEF">
        <w:rPr>
          <w:rFonts w:cstheme="minorHAnsi"/>
        </w:rPr>
        <w:t>,</w:t>
      </w:r>
      <w:r w:rsidR="00FE0A16" w:rsidRPr="00A13CEF">
        <w:rPr>
          <w:rFonts w:cstheme="minorHAnsi"/>
        </w:rPr>
        <w:t>061</w:t>
      </w:r>
      <w:r w:rsidR="009065D1" w:rsidRPr="00A13CEF">
        <w:rPr>
          <w:rFonts w:cstheme="minorHAnsi"/>
        </w:rPr>
        <w:t xml:space="preserve"> лева за акция цена на затваряне на </w:t>
      </w:r>
      <w:r w:rsidR="00FE0A16" w:rsidRPr="00A13CEF">
        <w:rPr>
          <w:rFonts w:cstheme="minorHAnsi"/>
        </w:rPr>
        <w:t>29</w:t>
      </w:r>
      <w:r w:rsidR="009065D1" w:rsidRPr="00A13CEF">
        <w:rPr>
          <w:rFonts w:cstheme="minorHAnsi"/>
        </w:rPr>
        <w:t xml:space="preserve"> </w:t>
      </w:r>
      <w:r w:rsidR="00F15FE4" w:rsidRPr="00A13CEF">
        <w:rPr>
          <w:rFonts w:cstheme="minorHAnsi"/>
        </w:rPr>
        <w:t>декември</w:t>
      </w:r>
      <w:r w:rsidR="009065D1" w:rsidRPr="00A13CEF">
        <w:rPr>
          <w:rFonts w:cstheme="minorHAnsi"/>
        </w:rPr>
        <w:t xml:space="preserve"> до </w:t>
      </w:r>
      <w:r w:rsidR="00FE0A16" w:rsidRPr="00A13CEF">
        <w:rPr>
          <w:rFonts w:cstheme="minorHAnsi"/>
        </w:rPr>
        <w:t>5</w:t>
      </w:r>
      <w:r w:rsidR="009065D1" w:rsidRPr="00A13CEF">
        <w:rPr>
          <w:rFonts w:cstheme="minorHAnsi"/>
        </w:rPr>
        <w:t>,</w:t>
      </w:r>
      <w:r w:rsidR="00FE0A16" w:rsidRPr="00A13CEF">
        <w:rPr>
          <w:rFonts w:cstheme="minorHAnsi"/>
        </w:rPr>
        <w:t>900</w:t>
      </w:r>
      <w:r w:rsidR="009065D1" w:rsidRPr="00A13CEF">
        <w:rPr>
          <w:rFonts w:cstheme="minorHAnsi"/>
        </w:rPr>
        <w:t xml:space="preserve"> лева з</w:t>
      </w:r>
      <w:r w:rsidR="00E21643" w:rsidRPr="00A13CEF">
        <w:rPr>
          <w:rFonts w:cstheme="minorHAnsi"/>
        </w:rPr>
        <w:t xml:space="preserve">а акция цена при затваряне на </w:t>
      </w:r>
      <w:r w:rsidR="00FE0A16" w:rsidRPr="00A13CEF">
        <w:rPr>
          <w:rFonts w:cstheme="minorHAnsi"/>
        </w:rPr>
        <w:t>29</w:t>
      </w:r>
      <w:r w:rsidR="009065D1" w:rsidRPr="00A13CEF">
        <w:rPr>
          <w:rFonts w:cstheme="minorHAnsi"/>
        </w:rPr>
        <w:t xml:space="preserve"> </w:t>
      </w:r>
      <w:r w:rsidR="000B2CDF" w:rsidRPr="00A13CEF">
        <w:rPr>
          <w:rFonts w:cstheme="minorHAnsi"/>
        </w:rPr>
        <w:t>юни</w:t>
      </w:r>
      <w:r w:rsidR="009065D1" w:rsidRPr="00A13CEF">
        <w:rPr>
          <w:rFonts w:cstheme="minorHAnsi"/>
        </w:rPr>
        <w:t>)</w:t>
      </w:r>
      <w:r w:rsidR="007756A8" w:rsidRPr="00A13CEF">
        <w:rPr>
          <w:rFonts w:cstheme="minorHAnsi"/>
        </w:rPr>
        <w:t xml:space="preserve">. Минималната цена за периода беше </w:t>
      </w:r>
      <w:r w:rsidR="00FE0A16" w:rsidRPr="00A13CEF">
        <w:rPr>
          <w:rFonts w:cstheme="minorHAnsi"/>
        </w:rPr>
        <w:t>5</w:t>
      </w:r>
      <w:r w:rsidR="00476B64" w:rsidRPr="00A13CEF">
        <w:rPr>
          <w:rFonts w:cstheme="minorHAnsi"/>
        </w:rPr>
        <w:t>,</w:t>
      </w:r>
      <w:r w:rsidR="00FE0A16" w:rsidRPr="00A13CEF">
        <w:rPr>
          <w:rFonts w:cstheme="minorHAnsi"/>
        </w:rPr>
        <w:t>45</w:t>
      </w:r>
      <w:r w:rsidR="007756A8" w:rsidRPr="00A13CEF">
        <w:rPr>
          <w:rFonts w:cstheme="minorHAnsi"/>
        </w:rPr>
        <w:t xml:space="preserve"> лева за акция, а максималната </w:t>
      </w:r>
      <w:r w:rsidR="00FE0A16" w:rsidRPr="00A13CEF">
        <w:rPr>
          <w:rFonts w:cstheme="minorHAnsi"/>
        </w:rPr>
        <w:t>6</w:t>
      </w:r>
      <w:r w:rsidR="00E67BB0" w:rsidRPr="00A13CEF">
        <w:rPr>
          <w:rFonts w:cstheme="minorHAnsi"/>
        </w:rPr>
        <w:t>,</w:t>
      </w:r>
      <w:r w:rsidR="00FE0A16" w:rsidRPr="00A13CEF">
        <w:rPr>
          <w:rFonts w:cstheme="minorHAnsi"/>
        </w:rPr>
        <w:t>45</w:t>
      </w:r>
      <w:r w:rsidR="00F15FE4" w:rsidRPr="00A13CEF">
        <w:rPr>
          <w:rFonts w:cstheme="minorHAnsi"/>
        </w:rPr>
        <w:t xml:space="preserve"> </w:t>
      </w:r>
      <w:r w:rsidR="007756A8" w:rsidRPr="00A13CEF">
        <w:rPr>
          <w:rFonts w:cstheme="minorHAnsi"/>
        </w:rPr>
        <w:t>лв</w:t>
      </w:r>
      <w:r w:rsidR="00E542DB" w:rsidRPr="00A13CEF">
        <w:rPr>
          <w:rFonts w:cstheme="minorHAnsi"/>
        </w:rPr>
        <w:t>.</w:t>
      </w:r>
      <w:r w:rsidR="007756A8" w:rsidRPr="00A13CEF">
        <w:rPr>
          <w:rFonts w:cstheme="minorHAnsi"/>
        </w:rPr>
        <w:t xml:space="preserve"> за акция. Общо бяха прехвърлени </w:t>
      </w:r>
      <w:r w:rsidR="00FE0A16" w:rsidRPr="00A13CEF">
        <w:rPr>
          <w:rFonts w:cstheme="minorHAnsi"/>
        </w:rPr>
        <w:t>183 430</w:t>
      </w:r>
      <w:r w:rsidR="000B2CDF" w:rsidRPr="00A13CEF">
        <w:rPr>
          <w:rFonts w:cstheme="minorHAnsi"/>
        </w:rPr>
        <w:t xml:space="preserve"> </w:t>
      </w:r>
      <w:r w:rsidR="007756A8" w:rsidRPr="00A13CEF">
        <w:rPr>
          <w:rFonts w:cstheme="minorHAnsi"/>
        </w:rPr>
        <w:t xml:space="preserve">лота в </w:t>
      </w:r>
      <w:r w:rsidR="00FE0A16" w:rsidRPr="00A13CEF">
        <w:rPr>
          <w:rFonts w:cstheme="minorHAnsi"/>
        </w:rPr>
        <w:t>285</w:t>
      </w:r>
      <w:r w:rsidR="008000DE" w:rsidRPr="00A13CEF">
        <w:rPr>
          <w:rFonts w:cstheme="minorHAnsi"/>
        </w:rPr>
        <w:t xml:space="preserve"> </w:t>
      </w:r>
      <w:r w:rsidR="00304075" w:rsidRPr="00A13CEF">
        <w:rPr>
          <w:rFonts w:cstheme="minorHAnsi"/>
          <w:szCs w:val="22"/>
        </w:rPr>
        <w:t xml:space="preserve">сделки, оборотът бе </w:t>
      </w:r>
      <w:r w:rsidR="00FE0A16" w:rsidRPr="00A13CEF">
        <w:rPr>
          <w:rFonts w:cstheme="minorHAnsi"/>
          <w:szCs w:val="22"/>
        </w:rPr>
        <w:t xml:space="preserve">1 059 412,74 </w:t>
      </w:r>
      <w:r w:rsidR="007756A8" w:rsidRPr="00A13CEF">
        <w:rPr>
          <w:rFonts w:cstheme="minorHAnsi"/>
          <w:szCs w:val="22"/>
        </w:rPr>
        <w:t xml:space="preserve">лв., което в сравнение с прехвърлените през </w:t>
      </w:r>
      <w:r w:rsidR="000B2CDF" w:rsidRPr="00A13CEF">
        <w:rPr>
          <w:rFonts w:cstheme="minorHAnsi"/>
          <w:szCs w:val="22"/>
        </w:rPr>
        <w:t>втората половина на 201</w:t>
      </w:r>
      <w:r w:rsidR="00FE0A16" w:rsidRPr="00A13CEF">
        <w:rPr>
          <w:rFonts w:cstheme="minorHAnsi"/>
          <w:szCs w:val="22"/>
        </w:rPr>
        <w:t>7</w:t>
      </w:r>
      <w:r w:rsidR="000B2CDF" w:rsidRPr="00A13CEF">
        <w:rPr>
          <w:rFonts w:cstheme="minorHAnsi"/>
          <w:szCs w:val="22"/>
        </w:rPr>
        <w:t xml:space="preserve"> година </w:t>
      </w:r>
      <w:r w:rsidR="00FE0A16" w:rsidRPr="00A13CEF">
        <w:rPr>
          <w:rFonts w:cstheme="minorHAnsi"/>
          <w:szCs w:val="22"/>
        </w:rPr>
        <w:t xml:space="preserve">488 488 </w:t>
      </w:r>
      <w:r w:rsidR="00F15FE4" w:rsidRPr="00A13CEF">
        <w:rPr>
          <w:rFonts w:cstheme="minorHAnsi"/>
        </w:rPr>
        <w:t xml:space="preserve">лота в </w:t>
      </w:r>
      <w:r w:rsidR="00FE0A16" w:rsidRPr="00A13CEF">
        <w:rPr>
          <w:rFonts w:cstheme="minorHAnsi"/>
        </w:rPr>
        <w:t>901</w:t>
      </w:r>
      <w:r w:rsidR="00F15FE4" w:rsidRPr="00A13CEF">
        <w:rPr>
          <w:rFonts w:cstheme="minorHAnsi"/>
        </w:rPr>
        <w:t xml:space="preserve"> </w:t>
      </w:r>
      <w:r w:rsidR="00F15FE4" w:rsidRPr="00A13CEF">
        <w:rPr>
          <w:rFonts w:cstheme="minorHAnsi"/>
          <w:szCs w:val="22"/>
        </w:rPr>
        <w:t xml:space="preserve">сделки и оборот от </w:t>
      </w:r>
      <w:r w:rsidR="00FE0A16" w:rsidRPr="00A13CEF">
        <w:rPr>
          <w:rFonts w:cstheme="minorHAnsi"/>
        </w:rPr>
        <w:t xml:space="preserve">2 092 785,31 </w:t>
      </w:r>
      <w:r w:rsidR="00F15FE4" w:rsidRPr="00A13CEF">
        <w:rPr>
          <w:rFonts w:cstheme="minorHAnsi"/>
          <w:szCs w:val="22"/>
        </w:rPr>
        <w:t>лв</w:t>
      </w:r>
      <w:r w:rsidR="00E542DB" w:rsidRPr="00A13CEF">
        <w:rPr>
          <w:rFonts w:cstheme="minorHAnsi"/>
        </w:rPr>
        <w:t>.</w:t>
      </w:r>
      <w:r w:rsidR="007756A8" w:rsidRPr="00A13CEF">
        <w:rPr>
          <w:rFonts w:cstheme="minorHAnsi"/>
        </w:rPr>
        <w:t xml:space="preserve"> представлява </w:t>
      </w:r>
      <w:r w:rsidR="00F15FE4" w:rsidRPr="00A13CEF">
        <w:rPr>
          <w:rFonts w:cstheme="minorHAnsi"/>
        </w:rPr>
        <w:t>спад</w:t>
      </w:r>
      <w:r w:rsidR="00714C0B" w:rsidRPr="00A13CEF">
        <w:rPr>
          <w:rFonts w:cstheme="minorHAnsi"/>
        </w:rPr>
        <w:t xml:space="preserve"> </w:t>
      </w:r>
      <w:r w:rsidR="007756A8" w:rsidRPr="00A13CEF">
        <w:rPr>
          <w:rFonts w:cstheme="minorHAnsi"/>
        </w:rPr>
        <w:t xml:space="preserve">в прехвърления обем </w:t>
      </w:r>
      <w:r w:rsidR="00F8155C" w:rsidRPr="00A13CEF">
        <w:rPr>
          <w:rFonts w:cstheme="minorHAnsi"/>
        </w:rPr>
        <w:t>с</w:t>
      </w:r>
      <w:r w:rsidR="007756A8" w:rsidRPr="00A13CEF">
        <w:rPr>
          <w:rFonts w:cstheme="minorHAnsi"/>
        </w:rPr>
        <w:t xml:space="preserve"> </w:t>
      </w:r>
      <w:r w:rsidR="00FE0A16" w:rsidRPr="00A13CEF">
        <w:rPr>
          <w:rFonts w:cstheme="minorHAnsi"/>
        </w:rPr>
        <w:t>62</w:t>
      </w:r>
      <w:r w:rsidR="009065D1" w:rsidRPr="00A13CEF">
        <w:rPr>
          <w:rFonts w:cstheme="minorHAnsi"/>
        </w:rPr>
        <w:t xml:space="preserve">%, </w:t>
      </w:r>
      <w:r w:rsidR="00F15FE4" w:rsidRPr="00A13CEF">
        <w:rPr>
          <w:rFonts w:cstheme="minorHAnsi"/>
        </w:rPr>
        <w:t xml:space="preserve">намаление </w:t>
      </w:r>
      <w:r w:rsidR="00E67BB0" w:rsidRPr="00A13CEF">
        <w:rPr>
          <w:rFonts w:cstheme="minorHAnsi"/>
        </w:rPr>
        <w:t xml:space="preserve">в оборота с </w:t>
      </w:r>
      <w:r w:rsidR="00FE0A16" w:rsidRPr="00A13CEF">
        <w:rPr>
          <w:rFonts w:cstheme="minorHAnsi"/>
        </w:rPr>
        <w:t>49</w:t>
      </w:r>
      <w:r w:rsidR="00E67BB0" w:rsidRPr="00A13CEF">
        <w:rPr>
          <w:rFonts w:cstheme="minorHAnsi"/>
        </w:rPr>
        <w:t xml:space="preserve">% и </w:t>
      </w:r>
      <w:r w:rsidR="00FE0A16" w:rsidRPr="00A13CEF">
        <w:rPr>
          <w:rFonts w:cstheme="minorHAnsi"/>
        </w:rPr>
        <w:t>спад</w:t>
      </w:r>
      <w:r w:rsidR="007756A8" w:rsidRPr="00A13CEF">
        <w:rPr>
          <w:rFonts w:cstheme="minorHAnsi"/>
        </w:rPr>
        <w:t xml:space="preserve"> </w:t>
      </w:r>
      <w:r w:rsidR="00F15FE4" w:rsidRPr="00A13CEF">
        <w:rPr>
          <w:rFonts w:cstheme="minorHAnsi"/>
        </w:rPr>
        <w:t xml:space="preserve">на </w:t>
      </w:r>
      <w:r w:rsidR="007756A8" w:rsidRPr="00A13CEF">
        <w:rPr>
          <w:rFonts w:cstheme="minorHAnsi"/>
        </w:rPr>
        <w:t xml:space="preserve">броя сделки от </w:t>
      </w:r>
      <w:r w:rsidR="00FE0A16" w:rsidRPr="00A13CEF">
        <w:rPr>
          <w:rFonts w:cstheme="minorHAnsi"/>
        </w:rPr>
        <w:t>68</w:t>
      </w:r>
      <w:r w:rsidR="007756A8" w:rsidRPr="00A13CEF">
        <w:rPr>
          <w:rFonts w:cstheme="minorHAnsi"/>
        </w:rPr>
        <w:t xml:space="preserve">%. Търговия имаше в </w:t>
      </w:r>
      <w:r w:rsidR="00FE0A16" w:rsidRPr="00A13CEF">
        <w:rPr>
          <w:rFonts w:cstheme="minorHAnsi"/>
        </w:rPr>
        <w:t>80</w:t>
      </w:r>
      <w:r w:rsidR="007756A8" w:rsidRPr="00A13CEF">
        <w:rPr>
          <w:rFonts w:cstheme="minorHAnsi"/>
        </w:rPr>
        <w:t xml:space="preserve"> от общо </w:t>
      </w:r>
      <w:r w:rsidR="00FE0A16" w:rsidRPr="00A13CEF">
        <w:rPr>
          <w:rFonts w:cstheme="minorHAnsi"/>
        </w:rPr>
        <w:t>121</w:t>
      </w:r>
      <w:r w:rsidR="00E21643" w:rsidRPr="00A13CEF">
        <w:rPr>
          <w:rFonts w:cstheme="minorHAnsi"/>
        </w:rPr>
        <w:t xml:space="preserve"> сесии за периода.</w:t>
      </w:r>
    </w:p>
    <w:tbl>
      <w:tblPr>
        <w:tblStyle w:val="TableGrid"/>
        <w:tblpPr w:leftFromText="142" w:rightFromText="142" w:vertAnchor="text" w:horzAnchor="margin" w:tblpXSpec="right" w:tblpY="58"/>
        <w:tblOverlap w:val="never"/>
        <w:tblW w:w="5882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82"/>
      </w:tblGrid>
      <w:tr w:rsidR="001042CE" w:rsidRPr="00A13CEF" w:rsidTr="0095652D">
        <w:trPr>
          <w:cantSplit/>
          <w:jc w:val="right"/>
        </w:trPr>
        <w:tc>
          <w:tcPr>
            <w:tcW w:w="5882" w:type="dxa"/>
          </w:tcPr>
          <w:p w:rsidR="001042CE" w:rsidRPr="00A13CEF" w:rsidRDefault="001042CE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Графика 6б: Движение на цената и оборота с акциите на „БФБ“ АД през периода (сделка по сделка)</w:t>
            </w:r>
          </w:p>
        </w:tc>
      </w:tr>
      <w:tr w:rsidR="001042CE" w:rsidRPr="00A13CEF" w:rsidTr="00C80C0B">
        <w:trPr>
          <w:cantSplit/>
          <w:jc w:val="right"/>
        </w:trPr>
        <w:tc>
          <w:tcPr>
            <w:tcW w:w="5882" w:type="dxa"/>
          </w:tcPr>
          <w:p w:rsidR="001042CE" w:rsidRPr="00A13CEF" w:rsidRDefault="00C80C0B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0327FD40" wp14:editId="75B2349F">
                  <wp:extent cx="3597910" cy="2986335"/>
                  <wp:effectExtent l="0" t="0" r="0" b="0"/>
                  <wp:docPr id="18" name="Chart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8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</w:tc>
      </w:tr>
    </w:tbl>
    <w:p w:rsidR="00C80C0B" w:rsidRPr="00A13CEF" w:rsidRDefault="007756A8" w:rsidP="001A50AB">
      <w:pPr>
        <w:rPr>
          <w:rFonts w:cstheme="minorHAnsi"/>
        </w:rPr>
      </w:pPr>
      <w:r w:rsidRPr="00A13CEF">
        <w:rPr>
          <w:rFonts w:cstheme="minorHAnsi"/>
        </w:rPr>
        <w:t xml:space="preserve">Таблица 11А показва сравнение с показателите за </w:t>
      </w:r>
      <w:r w:rsidR="00714C0B" w:rsidRPr="00A13CEF">
        <w:rPr>
          <w:rFonts w:cstheme="minorHAnsi"/>
        </w:rPr>
        <w:t>предходното</w:t>
      </w:r>
      <w:r w:rsidR="009065D1" w:rsidRPr="00A13CEF">
        <w:rPr>
          <w:rFonts w:cstheme="minorHAnsi"/>
        </w:rPr>
        <w:t xml:space="preserve"> </w:t>
      </w:r>
      <w:r w:rsidR="000B2CDF" w:rsidRPr="00A13CEF">
        <w:rPr>
          <w:rFonts w:cstheme="minorHAnsi"/>
        </w:rPr>
        <w:t>второ полугодие</w:t>
      </w:r>
      <w:r w:rsidR="009065D1" w:rsidRPr="00A13CEF">
        <w:rPr>
          <w:rFonts w:cstheme="minorHAnsi"/>
        </w:rPr>
        <w:t xml:space="preserve"> н</w:t>
      </w:r>
      <w:r w:rsidR="00FB264D" w:rsidRPr="00A13CEF">
        <w:rPr>
          <w:rFonts w:cstheme="minorHAnsi"/>
        </w:rPr>
        <w:t>а 201</w:t>
      </w:r>
      <w:r w:rsidR="00C80C0B" w:rsidRPr="00A13CEF">
        <w:rPr>
          <w:rFonts w:cstheme="minorHAnsi"/>
        </w:rPr>
        <w:t>7</w:t>
      </w:r>
      <w:r w:rsidRPr="00A13CEF">
        <w:rPr>
          <w:rFonts w:cstheme="minorHAnsi"/>
        </w:rPr>
        <w:t xml:space="preserve"> г. </w:t>
      </w:r>
      <w:r w:rsidR="0095652D" w:rsidRPr="00A13CEF">
        <w:rPr>
          <w:rFonts w:cstheme="minorHAnsi"/>
        </w:rPr>
        <w:t>При сравнение</w:t>
      </w:r>
      <w:r w:rsidR="00714C0B" w:rsidRPr="00A13CEF">
        <w:rPr>
          <w:rFonts w:cstheme="minorHAnsi"/>
        </w:rPr>
        <w:t xml:space="preserve"> </w:t>
      </w:r>
      <w:r w:rsidR="00F54976" w:rsidRPr="00A13CEF">
        <w:rPr>
          <w:rFonts w:cstheme="minorHAnsi"/>
        </w:rPr>
        <w:t xml:space="preserve">на </w:t>
      </w:r>
      <w:r w:rsidR="00714C0B" w:rsidRPr="00A13CEF">
        <w:rPr>
          <w:rFonts w:cstheme="minorHAnsi"/>
        </w:rPr>
        <w:t xml:space="preserve">двете </w:t>
      </w:r>
      <w:r w:rsidR="000B2CDF" w:rsidRPr="00A13CEF">
        <w:rPr>
          <w:rFonts w:cstheme="minorHAnsi"/>
        </w:rPr>
        <w:t>шестмесечия</w:t>
      </w:r>
      <w:r w:rsidR="00714C0B" w:rsidRPr="00A13CEF">
        <w:rPr>
          <w:rFonts w:cstheme="minorHAnsi"/>
        </w:rPr>
        <w:t xml:space="preserve"> се забелязва </w:t>
      </w:r>
      <w:r w:rsidR="00A5183C" w:rsidRPr="00A13CEF">
        <w:rPr>
          <w:rFonts w:cstheme="minorHAnsi"/>
        </w:rPr>
        <w:t>намаление</w:t>
      </w:r>
      <w:r w:rsidR="000B2CDF" w:rsidRPr="00A13CEF">
        <w:rPr>
          <w:rFonts w:cstheme="minorHAnsi"/>
        </w:rPr>
        <w:t xml:space="preserve"> </w:t>
      </w:r>
      <w:r w:rsidR="00F54976" w:rsidRPr="00A13CEF">
        <w:rPr>
          <w:rFonts w:cstheme="minorHAnsi"/>
        </w:rPr>
        <w:t xml:space="preserve">във всички показатели на търговията </w:t>
      </w:r>
      <w:r w:rsidR="000B2CDF" w:rsidRPr="00A13CEF">
        <w:rPr>
          <w:rFonts w:cstheme="minorHAnsi"/>
        </w:rPr>
        <w:t xml:space="preserve">през всеки от месеците </w:t>
      </w:r>
      <w:r w:rsidR="0095652D" w:rsidRPr="00A13CEF">
        <w:rPr>
          <w:rFonts w:cstheme="minorHAnsi"/>
        </w:rPr>
        <w:t>спрямо</w:t>
      </w:r>
      <w:r w:rsidR="00F15FE4" w:rsidRPr="00A13CEF">
        <w:rPr>
          <w:rFonts w:cstheme="minorHAnsi"/>
        </w:rPr>
        <w:t xml:space="preserve"> съответния на предходното</w:t>
      </w:r>
      <w:r w:rsidR="000B2CDF" w:rsidRPr="00A13CEF">
        <w:rPr>
          <w:rFonts w:cstheme="minorHAnsi"/>
        </w:rPr>
        <w:t xml:space="preserve">, с изключение на </w:t>
      </w:r>
      <w:r w:rsidR="00A5183C" w:rsidRPr="00A13CEF">
        <w:rPr>
          <w:rFonts w:cstheme="minorHAnsi"/>
        </w:rPr>
        <w:t>ръста</w:t>
      </w:r>
      <w:r w:rsidR="00C80C0B" w:rsidRPr="00A13CEF">
        <w:rPr>
          <w:rFonts w:cstheme="minorHAnsi"/>
        </w:rPr>
        <w:t xml:space="preserve"> в оборота </w:t>
      </w:r>
      <w:r w:rsidR="00A5183C" w:rsidRPr="00A13CEF">
        <w:rPr>
          <w:rFonts w:cstheme="minorHAnsi"/>
        </w:rPr>
        <w:t xml:space="preserve">през </w:t>
      </w:r>
      <w:r w:rsidR="00C80C0B" w:rsidRPr="00A13CEF">
        <w:rPr>
          <w:rFonts w:cstheme="minorHAnsi"/>
        </w:rPr>
        <w:t>април в сравнение с октомври 2017</w:t>
      </w:r>
      <w:r w:rsidR="00F54976" w:rsidRPr="00A13CEF">
        <w:rPr>
          <w:rFonts w:cstheme="minorHAnsi"/>
        </w:rPr>
        <w:t>.</w:t>
      </w:r>
    </w:p>
    <w:p w:rsidR="00493783" w:rsidRPr="00A13CEF" w:rsidRDefault="007756A8" w:rsidP="001A50AB">
      <w:pPr>
        <w:rPr>
          <w:rFonts w:cstheme="minorHAnsi"/>
          <w:szCs w:val="22"/>
        </w:rPr>
      </w:pPr>
      <w:r w:rsidRPr="00A13CEF">
        <w:rPr>
          <w:rFonts w:cstheme="minorHAnsi"/>
        </w:rPr>
        <w:t xml:space="preserve">Таблица 11Б показва сравнение по месеци спрямо предходния месец. </w:t>
      </w:r>
      <w:r w:rsidR="00383121" w:rsidRPr="00A13CEF">
        <w:rPr>
          <w:rFonts w:cstheme="minorHAnsi"/>
        </w:rPr>
        <w:t xml:space="preserve">Прави впечатление </w:t>
      </w:r>
      <w:r w:rsidR="00C80C0B" w:rsidRPr="00A13CEF">
        <w:rPr>
          <w:rFonts w:cstheme="minorHAnsi"/>
        </w:rPr>
        <w:t>големият оборот през февруари 2018, когато пазарът отчете ефекта от придобиването на „Българска независима енергийна борса“ ЕАД</w:t>
      </w:r>
      <w:r w:rsidR="00E45189" w:rsidRPr="00A13CEF">
        <w:rPr>
          <w:rFonts w:cstheme="minorHAnsi"/>
        </w:rPr>
        <w:t xml:space="preserve"> </w:t>
      </w:r>
      <w:r w:rsidR="00C80C0B" w:rsidRPr="00A13CEF">
        <w:rPr>
          <w:rFonts w:cstheme="minorHAnsi"/>
        </w:rPr>
        <w:t>от БФБ.</w:t>
      </w:r>
    </w:p>
    <w:p w:rsidR="00F15FE4" w:rsidRPr="00A13CEF" w:rsidRDefault="00F15FE4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CC27AA" w:rsidRPr="00A13CEF" w:rsidRDefault="004F60F1" w:rsidP="001A50AB">
      <w:pPr>
        <w:rPr>
          <w:rFonts w:cstheme="minorHAnsi"/>
        </w:rPr>
      </w:pPr>
      <w:r w:rsidRPr="00A13CEF">
        <w:rPr>
          <w:rFonts w:cstheme="minorHAnsi"/>
        </w:rPr>
        <w:lastRenderedPageBreak/>
        <w:t>Таблица 11А: Обем, оборо</w:t>
      </w:r>
      <w:r w:rsidR="0080029D" w:rsidRPr="00A13CEF">
        <w:rPr>
          <w:rFonts w:cstheme="minorHAnsi"/>
        </w:rPr>
        <w:t>т и брой сделки с акции на БФБ</w:t>
      </w:r>
      <w:r w:rsidRPr="00A13CEF">
        <w:rPr>
          <w:rFonts w:cstheme="minorHAnsi"/>
        </w:rPr>
        <w:t xml:space="preserve"> – сравнение</w:t>
      </w:r>
    </w:p>
    <w:tbl>
      <w:tblPr>
        <w:tblW w:w="10761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1"/>
        <w:gridCol w:w="1160"/>
        <w:gridCol w:w="2159"/>
        <w:gridCol w:w="993"/>
        <w:gridCol w:w="2057"/>
        <w:gridCol w:w="886"/>
        <w:gridCol w:w="1775"/>
      </w:tblGrid>
      <w:tr w:rsidR="00CC27AA" w:rsidRPr="00A13CEF" w:rsidTr="00C01AC8">
        <w:trPr>
          <w:trHeight w:val="170"/>
          <w:jc w:val="center"/>
        </w:trPr>
        <w:tc>
          <w:tcPr>
            <w:tcW w:w="1731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Месец</w:t>
            </w:r>
          </w:p>
        </w:tc>
        <w:tc>
          <w:tcPr>
            <w:tcW w:w="1160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Обем лотове</w:t>
            </w:r>
          </w:p>
        </w:tc>
        <w:tc>
          <w:tcPr>
            <w:tcW w:w="2159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% промяна спрямо съответния месец на H2 '17</w:t>
            </w:r>
          </w:p>
        </w:tc>
        <w:tc>
          <w:tcPr>
            <w:tcW w:w="993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Оборот</w:t>
            </w:r>
          </w:p>
        </w:tc>
        <w:tc>
          <w:tcPr>
            <w:tcW w:w="2057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% промяна спрямо съответния месец на H2 '17</w:t>
            </w:r>
          </w:p>
        </w:tc>
        <w:tc>
          <w:tcPr>
            <w:tcW w:w="886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Брой сделки</w:t>
            </w:r>
          </w:p>
        </w:tc>
        <w:tc>
          <w:tcPr>
            <w:tcW w:w="1775" w:type="dxa"/>
            <w:shd w:val="clear" w:color="auto" w:fill="4F81BD" w:themeFill="accent1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13CEF">
              <w:rPr>
                <w:rFonts w:cstheme="minorHAnsi"/>
                <w:color w:val="FFFFFF" w:themeColor="background1"/>
                <w:sz w:val="20"/>
                <w:szCs w:val="20"/>
              </w:rPr>
              <w:t>% промяна спрямо съответния месец на H2 '17</w:t>
            </w: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юли '17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169 580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584 644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174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август '17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90 969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419 437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284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септември '17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121 966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574 799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116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октомври '17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35 025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164 165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121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ноември '17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30 812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146 961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60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декември '17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40 136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202 742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146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януари '18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32 151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-81.04%</w:t>
            </w: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187 159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-67.99%</w:t>
            </w: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86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-50.57%</w:t>
            </w: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февруари '18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63 140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-30.59%</w:t>
            </w: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363 027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-13.45%</w:t>
            </w: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73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-74.30%</w:t>
            </w: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март '18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7 663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-93.72%</w:t>
            </w: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43 963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-92.35%</w:t>
            </w: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22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-81.03%</w:t>
            </w: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април '18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47 134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34.57%</w:t>
            </w: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272 263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65.85%</w:t>
            </w: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-86.78%</w:t>
            </w: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май '18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15 871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-48.49%</w:t>
            </w: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91 414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-37.80%</w:t>
            </w: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38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-36.67%</w:t>
            </w:r>
          </w:p>
        </w:tc>
      </w:tr>
      <w:tr w:rsidR="00CC27AA" w:rsidRPr="00A13CEF" w:rsidTr="00C01AC8">
        <w:trPr>
          <w:trHeight w:val="170"/>
          <w:jc w:val="center"/>
        </w:trPr>
        <w:tc>
          <w:tcPr>
            <w:tcW w:w="1731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юни '18</w:t>
            </w:r>
          </w:p>
        </w:tc>
        <w:tc>
          <w:tcPr>
            <w:tcW w:w="1160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17 471</w:t>
            </w:r>
          </w:p>
        </w:tc>
        <w:tc>
          <w:tcPr>
            <w:tcW w:w="2159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-56.47%</w:t>
            </w:r>
          </w:p>
        </w:tc>
        <w:tc>
          <w:tcPr>
            <w:tcW w:w="993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101 587</w:t>
            </w:r>
          </w:p>
        </w:tc>
        <w:tc>
          <w:tcPr>
            <w:tcW w:w="2057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-49.89%</w:t>
            </w:r>
          </w:p>
        </w:tc>
        <w:tc>
          <w:tcPr>
            <w:tcW w:w="886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50</w:t>
            </w:r>
          </w:p>
        </w:tc>
        <w:tc>
          <w:tcPr>
            <w:tcW w:w="1775" w:type="dxa"/>
          </w:tcPr>
          <w:p w:rsidR="00CC27AA" w:rsidRPr="00A13CEF" w:rsidRDefault="00CC27A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-65.75%</w:t>
            </w:r>
          </w:p>
        </w:tc>
      </w:tr>
    </w:tbl>
    <w:p w:rsidR="00C01AC8" w:rsidRPr="00A13CEF" w:rsidRDefault="004F60F1" w:rsidP="00C01AC8">
      <w:pPr>
        <w:spacing w:before="240"/>
        <w:rPr>
          <w:rFonts w:cstheme="minorHAnsi"/>
        </w:rPr>
      </w:pPr>
      <w:r w:rsidRPr="00A13CEF">
        <w:rPr>
          <w:rFonts w:cstheme="minorHAnsi"/>
        </w:rPr>
        <w:t>Таблица 11Б: Обем, о</w:t>
      </w:r>
      <w:r w:rsidR="0080029D" w:rsidRPr="00A13CEF">
        <w:rPr>
          <w:rFonts w:cstheme="minorHAnsi"/>
        </w:rPr>
        <w:t>борот и брой сделки с акции на БФБ</w:t>
      </w:r>
      <w:r w:rsidRPr="00A13CEF">
        <w:rPr>
          <w:rFonts w:cstheme="minorHAnsi"/>
        </w:rPr>
        <w:t xml:space="preserve"> – сравнение</w:t>
      </w:r>
    </w:p>
    <w:tbl>
      <w:tblPr>
        <w:tblW w:w="1062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94"/>
        <w:gridCol w:w="1163"/>
        <w:gridCol w:w="1945"/>
        <w:gridCol w:w="956"/>
        <w:gridCol w:w="2057"/>
        <w:gridCol w:w="939"/>
        <w:gridCol w:w="1971"/>
      </w:tblGrid>
      <w:tr w:rsidR="00C01AC8" w:rsidRPr="00A13CEF" w:rsidTr="00C01AC8">
        <w:trPr>
          <w:trHeight w:val="170"/>
          <w:jc w:val="center"/>
        </w:trPr>
        <w:tc>
          <w:tcPr>
            <w:tcW w:w="1594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Месец</w:t>
            </w:r>
          </w:p>
        </w:tc>
        <w:tc>
          <w:tcPr>
            <w:tcW w:w="1163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Обем лотове</w:t>
            </w:r>
          </w:p>
        </w:tc>
        <w:tc>
          <w:tcPr>
            <w:tcW w:w="1945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% промяна спрямо предходния месец</w:t>
            </w:r>
          </w:p>
        </w:tc>
        <w:tc>
          <w:tcPr>
            <w:tcW w:w="956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Оборот</w:t>
            </w:r>
          </w:p>
        </w:tc>
        <w:tc>
          <w:tcPr>
            <w:tcW w:w="2057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% промяна спрямо предходния месец</w:t>
            </w:r>
          </w:p>
        </w:tc>
        <w:tc>
          <w:tcPr>
            <w:tcW w:w="939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Брой сделки</w:t>
            </w:r>
          </w:p>
        </w:tc>
        <w:tc>
          <w:tcPr>
            <w:tcW w:w="1971" w:type="dxa"/>
            <w:shd w:val="clear" w:color="auto" w:fill="4F81BD" w:themeFill="accent1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Cs w:val="22"/>
              </w:rPr>
            </w:pPr>
            <w:r w:rsidRPr="00A13CEF">
              <w:rPr>
                <w:rFonts w:cstheme="minorHAnsi"/>
                <w:color w:val="FFFFFF"/>
                <w:szCs w:val="22"/>
              </w:rPr>
              <w:t>% промяна спрямо предходния месец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юли '17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169 580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584 644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174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август '17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90 969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-46.36%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419 437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-28.26%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284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63.22%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септември '17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121 966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34.07%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574 799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37.04%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116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-59.15%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октомври '17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35 025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-71.28%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164 165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-71.44%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121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4.31%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ноември '17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30 812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-12.03%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146 961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-10.48%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60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-50.41%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декември '17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40 136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30.26%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202 742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37.96%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146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143.33%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януари '18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32 151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-19.89%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187 159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-7.69%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86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-41.10%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февруари '18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63 140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96.39%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363 027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93.97%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73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-15.12%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март '18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7 663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-87.86%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43 963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-87.89%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22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-69.86%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април '18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47 134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515.09%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272 263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519.31%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16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-27.27%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май '18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15 871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-66.33%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91 414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-66.42%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38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137.50%</w:t>
            </w:r>
          </w:p>
        </w:tc>
      </w:tr>
      <w:tr w:rsidR="00C01AC8" w:rsidRPr="00A13CEF" w:rsidTr="00C01AC8">
        <w:trPr>
          <w:trHeight w:val="170"/>
          <w:jc w:val="center"/>
        </w:trPr>
        <w:tc>
          <w:tcPr>
            <w:tcW w:w="1594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юни '18</w:t>
            </w:r>
          </w:p>
        </w:tc>
        <w:tc>
          <w:tcPr>
            <w:tcW w:w="1163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17 471</w:t>
            </w:r>
          </w:p>
        </w:tc>
        <w:tc>
          <w:tcPr>
            <w:tcW w:w="1945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10.08%</w:t>
            </w:r>
          </w:p>
        </w:tc>
        <w:tc>
          <w:tcPr>
            <w:tcW w:w="956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101 587</w:t>
            </w:r>
          </w:p>
        </w:tc>
        <w:tc>
          <w:tcPr>
            <w:tcW w:w="2057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11.13%</w:t>
            </w:r>
          </w:p>
        </w:tc>
        <w:tc>
          <w:tcPr>
            <w:tcW w:w="939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50</w:t>
            </w:r>
          </w:p>
        </w:tc>
        <w:tc>
          <w:tcPr>
            <w:tcW w:w="1971" w:type="dxa"/>
          </w:tcPr>
          <w:p w:rsidR="00C01AC8" w:rsidRPr="00A13CEF" w:rsidRDefault="00C01AC8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Cs w:val="22"/>
              </w:rPr>
            </w:pPr>
            <w:r w:rsidRPr="00A13CEF">
              <w:rPr>
                <w:rFonts w:cstheme="minorHAnsi"/>
                <w:color w:val="000000"/>
                <w:szCs w:val="22"/>
              </w:rPr>
              <w:t>31.58%</w:t>
            </w:r>
          </w:p>
        </w:tc>
      </w:tr>
    </w:tbl>
    <w:p w:rsidR="00015501" w:rsidRPr="00A13CEF" w:rsidRDefault="004F60F1" w:rsidP="001A50AB">
      <w:pPr>
        <w:pStyle w:val="SubNumbers"/>
        <w:rPr>
          <w:rFonts w:cstheme="minorHAnsi"/>
        </w:rPr>
      </w:pPr>
      <w:bookmarkStart w:id="52" w:name="_Toc394323725"/>
      <w:bookmarkStart w:id="53" w:name="_Ref425843611"/>
      <w:bookmarkStart w:id="54" w:name="_Toc520473882"/>
      <w:r w:rsidRPr="00A13CEF">
        <w:rPr>
          <w:rFonts w:cstheme="minorHAnsi"/>
        </w:rPr>
        <w:t>Индекс CGIX</w:t>
      </w:r>
      <w:bookmarkEnd w:id="52"/>
      <w:bookmarkEnd w:id="53"/>
      <w:bookmarkEnd w:id="54"/>
    </w:p>
    <w:tbl>
      <w:tblPr>
        <w:tblStyle w:val="TableGrid"/>
        <w:tblW w:w="990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56"/>
        <w:gridCol w:w="4349"/>
      </w:tblGrid>
      <w:tr w:rsidR="001B67EC" w:rsidRPr="00A13CEF" w:rsidTr="002375D4">
        <w:trPr>
          <w:jc w:val="center"/>
        </w:trPr>
        <w:tc>
          <w:tcPr>
            <w:tcW w:w="5556" w:type="dxa"/>
          </w:tcPr>
          <w:p w:rsidR="001B67EC" w:rsidRPr="00A13CEF" w:rsidRDefault="002375D4" w:rsidP="00AF7DB8">
            <w:pPr>
              <w:pStyle w:val="NoSpacing"/>
              <w:jc w:val="center"/>
              <w:rPr>
                <w:rFonts w:asciiTheme="minorHAnsi" w:hAnsiTheme="minorHAnsi" w:cstheme="minorHAnsi"/>
                <w:sz w:val="12"/>
                <w:szCs w:val="12"/>
              </w:rPr>
            </w:pPr>
            <w:r w:rsidRPr="00A13CEF">
              <w:rPr>
                <w:rFonts w:asciiTheme="minorHAnsi" w:hAnsiTheme="minorHAnsi" w:cstheme="minorHAnsi"/>
                <w:noProof/>
                <w:lang w:val="en-US" w:eastAsia="en-US"/>
              </w:rPr>
              <w:drawing>
                <wp:inline distT="0" distB="0" distL="0" distR="0" wp14:anchorId="4533E39E" wp14:editId="64B37C17">
                  <wp:extent cx="3268639" cy="2211070"/>
                  <wp:effectExtent l="0" t="0" r="0" b="0"/>
                  <wp:docPr id="19" name="Chart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6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  <w:tc>
          <w:tcPr>
            <w:tcW w:w="4349" w:type="dxa"/>
          </w:tcPr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>В изпълнение на Правилата за изчисляване на индекса на компаниите с добро корпоративно управление, НККУ взе решение за следващия едногодишен период, считано от 18.06.2018</w:t>
            </w:r>
            <w:r w:rsidR="0080029D" w:rsidRPr="00A13CEF">
              <w:rPr>
                <w:rFonts w:asciiTheme="minorHAnsi" w:hAnsiTheme="minorHAnsi" w:cstheme="minorHAnsi"/>
              </w:rPr>
              <w:t xml:space="preserve"> </w:t>
            </w:r>
            <w:r w:rsidRPr="00A13CEF">
              <w:rPr>
                <w:rFonts w:asciiTheme="minorHAnsi" w:hAnsiTheme="minorHAnsi" w:cstheme="minorHAnsi"/>
              </w:rPr>
              <w:t xml:space="preserve">г., съставът на индекса </w:t>
            </w:r>
            <w:r w:rsidR="0080029D" w:rsidRPr="00A13CEF">
              <w:rPr>
                <w:rFonts w:asciiTheme="minorHAnsi" w:hAnsiTheme="minorHAnsi" w:cstheme="minorHAnsi"/>
                <w:lang w:val="en-US"/>
              </w:rPr>
              <w:t>CGIX</w:t>
            </w:r>
            <w:r w:rsidR="0080029D" w:rsidRPr="00A13CEF">
              <w:rPr>
                <w:rFonts w:asciiTheme="minorHAnsi" w:hAnsiTheme="minorHAnsi" w:cstheme="minorHAnsi"/>
              </w:rPr>
              <w:t xml:space="preserve"> </w:t>
            </w:r>
            <w:r w:rsidRPr="00A13CEF">
              <w:rPr>
                <w:rFonts w:asciiTheme="minorHAnsi" w:hAnsiTheme="minorHAnsi" w:cstheme="minorHAnsi"/>
              </w:rPr>
              <w:t>да бъде както следва:</w:t>
            </w:r>
          </w:p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 xml:space="preserve">1. </w:t>
            </w:r>
            <w:r w:rsidR="00636F5A">
              <w:rPr>
                <w:rFonts w:asciiTheme="minorHAnsi" w:hAnsiTheme="minorHAnsi" w:cstheme="minorHAnsi"/>
              </w:rPr>
              <w:t>Българска фондова борса - София</w:t>
            </w:r>
            <w:r w:rsidRPr="00A13CEF">
              <w:rPr>
                <w:rFonts w:asciiTheme="minorHAnsi" w:hAnsiTheme="minorHAnsi" w:cstheme="minorHAnsi"/>
              </w:rPr>
              <w:t xml:space="preserve"> АД</w:t>
            </w:r>
          </w:p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>2. Индустриален Холдинг България АД</w:t>
            </w:r>
          </w:p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>3. Монбат АД</w:t>
            </w:r>
          </w:p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>4. Сирма Груп Холдинг АД</w:t>
            </w:r>
          </w:p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>5. Софарма АД</w:t>
            </w:r>
          </w:p>
          <w:p w:rsidR="00DB5F15" w:rsidRPr="00A13CEF" w:rsidRDefault="00DB5F15" w:rsidP="00DB5F15">
            <w:pPr>
              <w:pStyle w:val="NoSpacing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 xml:space="preserve">6. Стара планина </w:t>
            </w:r>
            <w:proofErr w:type="spellStart"/>
            <w:r w:rsidRPr="00A13CEF">
              <w:rPr>
                <w:rFonts w:asciiTheme="minorHAnsi" w:hAnsiTheme="minorHAnsi" w:cstheme="minorHAnsi"/>
              </w:rPr>
              <w:t>Холд</w:t>
            </w:r>
            <w:proofErr w:type="spellEnd"/>
            <w:r w:rsidRPr="00A13CEF">
              <w:rPr>
                <w:rFonts w:asciiTheme="minorHAnsi" w:hAnsiTheme="minorHAnsi" w:cstheme="minorHAnsi"/>
              </w:rPr>
              <w:t xml:space="preserve"> АД</w:t>
            </w:r>
          </w:p>
          <w:p w:rsidR="00506EAB" w:rsidRPr="00A13CEF" w:rsidRDefault="00DB5F15" w:rsidP="00B42AAA">
            <w:pPr>
              <w:pStyle w:val="NoSpacing"/>
              <w:spacing w:line="276" w:lineRule="auto"/>
              <w:rPr>
                <w:rFonts w:asciiTheme="minorHAnsi" w:hAnsiTheme="minorHAnsi" w:cstheme="minorHAnsi"/>
              </w:rPr>
            </w:pPr>
            <w:r w:rsidRPr="00A13CEF">
              <w:rPr>
                <w:rFonts w:asciiTheme="minorHAnsi" w:hAnsiTheme="minorHAnsi" w:cstheme="minorHAnsi"/>
              </w:rPr>
              <w:t>7. ТБ Централна кооперативна банка АД</w:t>
            </w:r>
          </w:p>
        </w:tc>
      </w:tr>
    </w:tbl>
    <w:p w:rsidR="00CE6D2C" w:rsidRPr="00A13CEF" w:rsidRDefault="00CE6D2C" w:rsidP="00CE6D2C">
      <w:pPr>
        <w:rPr>
          <w:rFonts w:cstheme="minorHAnsi"/>
        </w:rPr>
      </w:pPr>
      <w:bookmarkStart w:id="55" w:name="_Toc394323726"/>
      <w:r w:rsidRPr="00A13CEF">
        <w:rPr>
          <w:rFonts w:cstheme="minorHAnsi"/>
        </w:rPr>
        <w:t xml:space="preserve">Стойността на индекса CGIX се понижи от 177,07 до 167,84 пункта през шестмесечието, което </w:t>
      </w:r>
      <w:r w:rsidRPr="00A13CEF">
        <w:rPr>
          <w:rFonts w:cstheme="minorHAnsi"/>
        </w:rPr>
        <w:lastRenderedPageBreak/>
        <w:t xml:space="preserve">представлява спад от 9,23 пункта или 5,21%. Както се вижда и от графиката, полугодието започна с възходящото движение, прекъснато в края на януари, когато стойността на индекса започна да намалява. През второто тримесечие движението на индекса бе разнопосочно. Най-ниската стойност на </w:t>
      </w:r>
      <w:r w:rsidRPr="00A13CEF">
        <w:rPr>
          <w:rFonts w:cstheme="minorHAnsi"/>
          <w:lang w:val="en-US"/>
        </w:rPr>
        <w:t>CGIX</w:t>
      </w:r>
      <w:r w:rsidRPr="00A13CEF">
        <w:rPr>
          <w:rFonts w:cstheme="minorHAnsi"/>
        </w:rPr>
        <w:t xml:space="preserve"> през шестмесечието беше в края му, а най-високата бе на 11 януари и достигна 188,22 пункта.</w:t>
      </w:r>
    </w:p>
    <w:p w:rsidR="004F60F1" w:rsidRPr="00A13CEF" w:rsidRDefault="004F60F1" w:rsidP="001A50AB">
      <w:pPr>
        <w:pStyle w:val="SubNumbers"/>
        <w:rPr>
          <w:rFonts w:cstheme="minorHAnsi"/>
        </w:rPr>
      </w:pPr>
      <w:bookmarkStart w:id="56" w:name="_Toc520473883"/>
      <w:r w:rsidRPr="00A13CEF">
        <w:rPr>
          <w:rFonts w:cstheme="minorHAnsi"/>
        </w:rPr>
        <w:t>Корпоративно управление</w:t>
      </w:r>
      <w:bookmarkEnd w:id="55"/>
      <w:bookmarkEnd w:id="56"/>
    </w:p>
    <w:p w:rsidR="00BB7206" w:rsidRPr="00A13CEF" w:rsidRDefault="00BB7206" w:rsidP="001A50AB">
      <w:pPr>
        <w:rPr>
          <w:rFonts w:cstheme="minorHAnsi"/>
        </w:rPr>
      </w:pPr>
      <w:bookmarkStart w:id="57" w:name="_Toc283112121"/>
      <w:r w:rsidRPr="00A13CEF">
        <w:rPr>
          <w:rFonts w:cstheme="minorHAnsi"/>
        </w:rPr>
        <w:t xml:space="preserve">Във връзка със законовите задължения на </w:t>
      </w:r>
      <w:r w:rsidR="00150F52" w:rsidRPr="00A13CEF">
        <w:rPr>
          <w:rFonts w:cstheme="minorHAnsi"/>
        </w:rPr>
        <w:t>Българска фондова борса</w:t>
      </w:r>
      <w:r w:rsidRPr="00A13CEF">
        <w:rPr>
          <w:rFonts w:cstheme="minorHAnsi"/>
        </w:rPr>
        <w:t xml:space="preserve"> в качеството й на публично дружество, през </w:t>
      </w:r>
      <w:r w:rsidR="00AF7DB8" w:rsidRPr="00A13CEF">
        <w:rPr>
          <w:rFonts w:cstheme="minorHAnsi"/>
        </w:rPr>
        <w:t>първото</w:t>
      </w:r>
      <w:r w:rsidR="00FE2402" w:rsidRPr="00A13CEF">
        <w:rPr>
          <w:rFonts w:cstheme="minorHAnsi"/>
        </w:rPr>
        <w:t xml:space="preserve"> </w:t>
      </w:r>
      <w:r w:rsidR="00AF7DB8" w:rsidRPr="00A13CEF">
        <w:rPr>
          <w:rFonts w:cstheme="minorHAnsi"/>
        </w:rPr>
        <w:t>шест</w:t>
      </w:r>
      <w:r w:rsidR="00FE2402" w:rsidRPr="00A13CEF">
        <w:rPr>
          <w:rFonts w:cstheme="minorHAnsi"/>
        </w:rPr>
        <w:t>месечие на 201</w:t>
      </w:r>
      <w:r w:rsidR="00CE6D2C" w:rsidRPr="00A13CEF">
        <w:rPr>
          <w:rFonts w:cstheme="minorHAnsi"/>
          <w:lang w:val="en-US"/>
        </w:rPr>
        <w:t>8</w:t>
      </w:r>
      <w:r w:rsidRPr="00A13CEF">
        <w:rPr>
          <w:rFonts w:cstheme="minorHAnsi"/>
        </w:rPr>
        <w:t xml:space="preserve"> година борсата оповести пред публичността и изпрати в Комисията за финансов надзор следната информация:</w:t>
      </w:r>
    </w:p>
    <w:p w:rsidR="003B2497" w:rsidRPr="00A13CEF" w:rsidRDefault="003B2497" w:rsidP="003B2497">
      <w:pPr>
        <w:pStyle w:val="ListParagraph"/>
        <w:numPr>
          <w:ilvl w:val="0"/>
          <w:numId w:val="5"/>
        </w:numPr>
        <w:rPr>
          <w:rFonts w:cstheme="minorHAnsi"/>
          <w:szCs w:val="22"/>
        </w:rPr>
      </w:pPr>
      <w:r w:rsidRPr="00A13CEF">
        <w:rPr>
          <w:rFonts w:cstheme="minorHAnsi"/>
          <w:szCs w:val="22"/>
        </w:rPr>
        <w:t>29.01.2018 - Тримесечен отчет за четвърто тримесечие на 2017 г.;</w:t>
      </w:r>
    </w:p>
    <w:p w:rsidR="003B2497" w:rsidRPr="00A13CEF" w:rsidRDefault="003B2497" w:rsidP="003B2497">
      <w:pPr>
        <w:pStyle w:val="ListParagraph"/>
        <w:numPr>
          <w:ilvl w:val="0"/>
          <w:numId w:val="5"/>
        </w:numPr>
        <w:rPr>
          <w:rFonts w:cstheme="minorHAnsi"/>
          <w:szCs w:val="22"/>
        </w:rPr>
      </w:pPr>
      <w:r w:rsidRPr="00A13CEF">
        <w:rPr>
          <w:rFonts w:cstheme="minorHAnsi"/>
          <w:szCs w:val="22"/>
        </w:rPr>
        <w:t xml:space="preserve">29.01.2018 - Вътрешна информация по чл. 17, §1, във </w:t>
      </w:r>
      <w:proofErr w:type="spellStart"/>
      <w:r w:rsidRPr="00A13CEF">
        <w:rPr>
          <w:rFonts w:cstheme="minorHAnsi"/>
          <w:szCs w:val="22"/>
        </w:rPr>
        <w:t>вр</w:t>
      </w:r>
      <w:proofErr w:type="spellEnd"/>
      <w:r w:rsidRPr="00A13CEF">
        <w:rPr>
          <w:rFonts w:cstheme="minorHAnsi"/>
          <w:szCs w:val="22"/>
        </w:rPr>
        <w:t>. с чл. 7 от Регламент №596/2014 на ЕП и на Съвета;</w:t>
      </w:r>
    </w:p>
    <w:p w:rsidR="003B2497" w:rsidRPr="00A13CEF" w:rsidRDefault="003B2497" w:rsidP="003B2497">
      <w:pPr>
        <w:pStyle w:val="ListParagraph"/>
        <w:numPr>
          <w:ilvl w:val="0"/>
          <w:numId w:val="5"/>
        </w:numPr>
        <w:rPr>
          <w:rFonts w:cstheme="minorHAnsi"/>
          <w:szCs w:val="22"/>
        </w:rPr>
      </w:pPr>
      <w:r w:rsidRPr="00A13CEF">
        <w:rPr>
          <w:rFonts w:cstheme="minorHAnsi"/>
          <w:szCs w:val="22"/>
        </w:rPr>
        <w:t xml:space="preserve">31.01.2018 - Вътрешна информация по чл. 17, §1, във </w:t>
      </w:r>
      <w:proofErr w:type="spellStart"/>
      <w:r w:rsidRPr="00A13CEF">
        <w:rPr>
          <w:rFonts w:cstheme="minorHAnsi"/>
          <w:szCs w:val="22"/>
        </w:rPr>
        <w:t>вр</w:t>
      </w:r>
      <w:proofErr w:type="spellEnd"/>
      <w:r w:rsidRPr="00A13CEF">
        <w:rPr>
          <w:rFonts w:cstheme="minorHAnsi"/>
          <w:szCs w:val="22"/>
        </w:rPr>
        <w:t>. с чл. 7 от Регламент №596/2014 на ЕП и на Съвета;</w:t>
      </w:r>
    </w:p>
    <w:p w:rsidR="003B2497" w:rsidRPr="00A13CEF" w:rsidRDefault="003B2497" w:rsidP="003B2497">
      <w:pPr>
        <w:pStyle w:val="ListParagraph"/>
        <w:numPr>
          <w:ilvl w:val="0"/>
          <w:numId w:val="5"/>
        </w:numPr>
        <w:rPr>
          <w:rFonts w:cstheme="minorHAnsi"/>
          <w:szCs w:val="22"/>
        </w:rPr>
      </w:pPr>
      <w:r w:rsidRPr="00A13CEF">
        <w:rPr>
          <w:rFonts w:cstheme="minorHAnsi"/>
          <w:szCs w:val="22"/>
        </w:rPr>
        <w:t xml:space="preserve">05.02.2018 - Вътрешна информация по чл. 17, §1, във </w:t>
      </w:r>
      <w:proofErr w:type="spellStart"/>
      <w:r w:rsidRPr="00A13CEF">
        <w:rPr>
          <w:rFonts w:cstheme="minorHAnsi"/>
          <w:szCs w:val="22"/>
        </w:rPr>
        <w:t>вр</w:t>
      </w:r>
      <w:proofErr w:type="spellEnd"/>
      <w:r w:rsidRPr="00A13CEF">
        <w:rPr>
          <w:rFonts w:cstheme="minorHAnsi"/>
          <w:szCs w:val="22"/>
        </w:rPr>
        <w:t>. с чл. 7 от Регламент №596/2014 на ЕП и на Съвета;</w:t>
      </w:r>
    </w:p>
    <w:p w:rsidR="003B2497" w:rsidRPr="00A13CEF" w:rsidRDefault="003B2497" w:rsidP="003B2497">
      <w:pPr>
        <w:pStyle w:val="ListParagraph"/>
        <w:numPr>
          <w:ilvl w:val="0"/>
          <w:numId w:val="5"/>
        </w:numPr>
        <w:rPr>
          <w:rFonts w:cstheme="minorHAnsi"/>
          <w:szCs w:val="22"/>
        </w:rPr>
      </w:pPr>
      <w:r w:rsidRPr="00A13CEF">
        <w:rPr>
          <w:rFonts w:cstheme="minorHAnsi"/>
          <w:szCs w:val="22"/>
        </w:rPr>
        <w:t>27.02.2017 - Тримесечен консолидиран отчет за четвърто тримесечие на 2017 г.;</w:t>
      </w:r>
    </w:p>
    <w:p w:rsidR="003B2497" w:rsidRPr="00A13CEF" w:rsidRDefault="003B2497" w:rsidP="003B2497">
      <w:pPr>
        <w:pStyle w:val="ListParagraph"/>
        <w:numPr>
          <w:ilvl w:val="0"/>
          <w:numId w:val="5"/>
        </w:numPr>
        <w:rPr>
          <w:rFonts w:cstheme="minorHAnsi"/>
          <w:szCs w:val="22"/>
        </w:rPr>
      </w:pPr>
      <w:r w:rsidRPr="00A13CEF">
        <w:rPr>
          <w:rFonts w:cstheme="minorHAnsi"/>
          <w:szCs w:val="22"/>
        </w:rPr>
        <w:t>30.03.2018 - Годишен отчет за 2017 г.</w:t>
      </w:r>
    </w:p>
    <w:p w:rsidR="00CE6D2C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12.04.2018 - </w:t>
      </w:r>
      <w:r w:rsidR="00CE6D2C" w:rsidRPr="00A13CEF">
        <w:rPr>
          <w:rFonts w:cstheme="minorHAnsi"/>
        </w:rPr>
        <w:t xml:space="preserve">Вътрешна информация по чл. 17, §1, във </w:t>
      </w:r>
      <w:proofErr w:type="spellStart"/>
      <w:r w:rsidR="00CE6D2C" w:rsidRPr="00A13CEF">
        <w:rPr>
          <w:rFonts w:cstheme="minorHAnsi"/>
        </w:rPr>
        <w:t>вр</w:t>
      </w:r>
      <w:proofErr w:type="spellEnd"/>
      <w:r w:rsidR="00CE6D2C" w:rsidRPr="00A13CEF">
        <w:rPr>
          <w:rFonts w:cstheme="minorHAnsi"/>
        </w:rPr>
        <w:t>. с чл. 7 от Регламент №596/2014 на ЕП и на Съвета</w:t>
      </w:r>
      <w:r w:rsidRPr="00A13CEF">
        <w:rPr>
          <w:rFonts w:cstheme="minorHAnsi"/>
        </w:rPr>
        <w:t>;</w:t>
      </w:r>
    </w:p>
    <w:p w:rsidR="00CE6D2C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24.04.2018 - </w:t>
      </w:r>
      <w:r w:rsidR="00CE6D2C" w:rsidRPr="00A13CEF">
        <w:rPr>
          <w:rFonts w:cstheme="minorHAnsi"/>
        </w:rPr>
        <w:t>Годишен консолидиран отчет за 2017</w:t>
      </w:r>
      <w:r w:rsidRPr="00A13CEF">
        <w:rPr>
          <w:rFonts w:cstheme="minorHAnsi"/>
        </w:rPr>
        <w:t xml:space="preserve"> </w:t>
      </w:r>
      <w:r w:rsidR="00CE6D2C" w:rsidRPr="00A13CEF">
        <w:rPr>
          <w:rFonts w:cstheme="minorHAnsi"/>
        </w:rPr>
        <w:t>г.</w:t>
      </w:r>
      <w:r w:rsidRPr="00A13CEF">
        <w:rPr>
          <w:rFonts w:cstheme="minorHAnsi"/>
        </w:rPr>
        <w:t>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>30.04.2018 - Тримесечен отчет за първо тримесечие на 2018 г.;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04.05.2018 - Вътрешна информация по чл. 17, §1, във </w:t>
      </w:r>
      <w:proofErr w:type="spellStart"/>
      <w:r w:rsidRPr="00A13CEF">
        <w:rPr>
          <w:rFonts w:cstheme="minorHAnsi"/>
        </w:rPr>
        <w:t>вр</w:t>
      </w:r>
      <w:proofErr w:type="spellEnd"/>
      <w:r w:rsidRPr="00A13CEF">
        <w:rPr>
          <w:rFonts w:cstheme="minorHAnsi"/>
        </w:rPr>
        <w:t>. с чл. 7 от Регламент №596/2014 на ЕП и на Съвета;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>17.05.2018 - Публикация на поканата за свикване на общо събрание на акционерите;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>17.05.2018 - Представяне на покана за свикване на общо събрание на акционерите и материали за общо събрание на акционерите;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28.05.2018 - Вътрешна информация по чл. 17, §1, във </w:t>
      </w:r>
      <w:proofErr w:type="spellStart"/>
      <w:r w:rsidRPr="00A13CEF">
        <w:rPr>
          <w:rFonts w:cstheme="minorHAnsi"/>
        </w:rPr>
        <w:t>вр</w:t>
      </w:r>
      <w:proofErr w:type="spellEnd"/>
      <w:r w:rsidRPr="00A13CEF">
        <w:rPr>
          <w:rFonts w:cstheme="minorHAnsi"/>
        </w:rPr>
        <w:t>. с чл. 7 от Регламент №596/2014 на ЕП и на Съвета;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>28.05.2018 - Тримесечен консолидиран отчет за първо тримесечие на 2018 г.;</w:t>
      </w:r>
    </w:p>
    <w:p w:rsidR="00CE6D2C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05.06.2018 - </w:t>
      </w:r>
      <w:r w:rsidR="00CE6D2C" w:rsidRPr="00A13CEF">
        <w:rPr>
          <w:rFonts w:cstheme="minorHAnsi"/>
        </w:rPr>
        <w:t xml:space="preserve">Представяне на </w:t>
      </w:r>
      <w:r w:rsidR="0080029D" w:rsidRPr="00A13CEF">
        <w:rPr>
          <w:rFonts w:cstheme="minorHAnsi"/>
        </w:rPr>
        <w:t xml:space="preserve">актуализирана </w:t>
      </w:r>
      <w:r w:rsidR="00CE6D2C" w:rsidRPr="00A13CEF">
        <w:rPr>
          <w:rFonts w:cstheme="minorHAnsi"/>
        </w:rPr>
        <w:t>покана за свикване на общо събрание на акционерите и материали за общо събрание на акционерит</w:t>
      </w:r>
      <w:r w:rsidRPr="00A13CEF">
        <w:rPr>
          <w:rFonts w:cstheme="minorHAnsi"/>
        </w:rPr>
        <w:t>е;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05.06.2018 - Публикация на </w:t>
      </w:r>
      <w:r w:rsidR="0080029D" w:rsidRPr="00A13CEF">
        <w:rPr>
          <w:rFonts w:cstheme="minorHAnsi"/>
        </w:rPr>
        <w:t>актуализираната покана</w:t>
      </w:r>
      <w:r w:rsidRPr="00A13CEF">
        <w:rPr>
          <w:rFonts w:cstheme="minorHAnsi"/>
        </w:rPr>
        <w:t xml:space="preserve"> за свикване на общо събрание на акционерите;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 xml:space="preserve">18.06.2018 - Вътрешна информация по чл. 17, §1, във </w:t>
      </w:r>
      <w:proofErr w:type="spellStart"/>
      <w:r w:rsidRPr="00A13CEF">
        <w:rPr>
          <w:rFonts w:cstheme="minorHAnsi"/>
        </w:rPr>
        <w:t>вр</w:t>
      </w:r>
      <w:proofErr w:type="spellEnd"/>
      <w:r w:rsidRPr="00A13CEF">
        <w:rPr>
          <w:rFonts w:cstheme="minorHAnsi"/>
        </w:rPr>
        <w:t>. с чл. 7 от Регламент №596/2014 на ЕП и на Съвета;</w:t>
      </w:r>
    </w:p>
    <w:p w:rsidR="00257B9B" w:rsidRPr="00A13CEF" w:rsidRDefault="00257B9B" w:rsidP="00257B9B">
      <w:pPr>
        <w:pStyle w:val="ListParagraph"/>
        <w:numPr>
          <w:ilvl w:val="0"/>
          <w:numId w:val="10"/>
        </w:numPr>
        <w:rPr>
          <w:rFonts w:cstheme="minorHAnsi"/>
        </w:rPr>
      </w:pPr>
      <w:r w:rsidRPr="00A13CEF">
        <w:rPr>
          <w:rFonts w:cstheme="minorHAnsi"/>
        </w:rPr>
        <w:t>21.06.2018 - Протокол от общо събрание на акционерите.</w:t>
      </w:r>
    </w:p>
    <w:p w:rsidR="003B2497" w:rsidRPr="00A13CEF" w:rsidRDefault="00BB7206" w:rsidP="001A50AB">
      <w:pPr>
        <w:pStyle w:val="ListParagraph"/>
        <w:rPr>
          <w:rFonts w:cstheme="minorHAnsi"/>
        </w:rPr>
      </w:pPr>
      <w:r w:rsidRPr="00A13CEF">
        <w:rPr>
          <w:rFonts w:cstheme="minorHAnsi"/>
        </w:rPr>
        <w:t>Финансовите отчети на дружеството и новините бяха оповестени едновременно на български и английски език.</w:t>
      </w:r>
    </w:p>
    <w:p w:rsidR="003B2497" w:rsidRPr="00A13CEF" w:rsidRDefault="003B2497">
      <w:pPr>
        <w:widowControl/>
        <w:spacing w:line="240" w:lineRule="auto"/>
        <w:jc w:val="left"/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326727" w:rsidRPr="00A13CEF" w:rsidRDefault="00326727" w:rsidP="001A50AB">
      <w:pPr>
        <w:pStyle w:val="Mainnumbers"/>
        <w:rPr>
          <w:rFonts w:cstheme="minorHAnsi"/>
        </w:rPr>
      </w:pPr>
      <w:bookmarkStart w:id="58" w:name="_Toc520473884"/>
      <w:r w:rsidRPr="00A13CEF">
        <w:rPr>
          <w:rFonts w:cstheme="minorHAnsi"/>
        </w:rPr>
        <w:lastRenderedPageBreak/>
        <w:t>Информационни технологии</w:t>
      </w:r>
      <w:bookmarkEnd w:id="57"/>
      <w:bookmarkEnd w:id="58"/>
    </w:p>
    <w:p w:rsidR="00BB7206" w:rsidRPr="00A13CEF" w:rsidRDefault="006A5C20" w:rsidP="001A50AB">
      <w:pPr>
        <w:pStyle w:val="SubNumbers"/>
        <w:rPr>
          <w:rFonts w:cstheme="minorHAnsi"/>
        </w:rPr>
      </w:pPr>
      <w:bookmarkStart w:id="59" w:name="_Toc307235653"/>
      <w:bookmarkStart w:id="60" w:name="_Toc402281944"/>
      <w:bookmarkStart w:id="61" w:name="_Toc283112122"/>
      <w:r w:rsidRPr="00A13CEF">
        <w:rPr>
          <w:rFonts w:cstheme="minorHAnsi"/>
        </w:rPr>
        <w:tab/>
      </w:r>
      <w:bookmarkStart w:id="62" w:name="_Toc520473885"/>
      <w:r w:rsidR="00BB7206" w:rsidRPr="00A13CEF">
        <w:rPr>
          <w:rFonts w:cstheme="minorHAnsi"/>
        </w:rPr>
        <w:t>Информационни продукти</w:t>
      </w:r>
      <w:bookmarkEnd w:id="59"/>
      <w:bookmarkEnd w:id="60"/>
      <w:bookmarkEnd w:id="62"/>
    </w:p>
    <w:p w:rsidR="00845A03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 xml:space="preserve">Проведено бе обучение във връзка с изискванията на ISO 9001:2015 "Системи за управление на качеството. Изисквания. Нови изисквания и внедряването им в системата за управление (СУ) на БФБ". Направена бе промяна в процедурите и инструкциите на СУ на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АД, в очакване на предстоящ вътрешен одит по новата версия на стандарта. По-късно през полугодието успешно беше проведен първи за годината вътрешен одит на Системата за управление на БФБ</w:t>
      </w:r>
      <w:r w:rsidR="004D1FE8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АД за установяване на съответствието на сертифицираната СУ със стандартите ISO 9001 и ISO 27001. Установена бе готовност за сертифициране по новата версия на ISO 9001 стандарта.</w:t>
      </w:r>
    </w:p>
    <w:p w:rsidR="00BF0976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>Във връзка с предстоя</w:t>
      </w:r>
      <w:r w:rsidR="00C009C0" w:rsidRPr="00A13CEF">
        <w:rPr>
          <w:rFonts w:cstheme="minorHAnsi"/>
        </w:rPr>
        <w:t xml:space="preserve">щото влизане в сила на </w:t>
      </w:r>
      <w:proofErr w:type="spellStart"/>
      <w:r w:rsidR="00C009C0" w:rsidRPr="00A13CEF">
        <w:rPr>
          <w:rFonts w:cstheme="minorHAnsi"/>
        </w:rPr>
        <w:t>MiFID</w:t>
      </w:r>
      <w:proofErr w:type="spellEnd"/>
      <w:r w:rsidR="00C009C0" w:rsidRPr="00A13CEF">
        <w:rPr>
          <w:rFonts w:cstheme="minorHAnsi"/>
        </w:rPr>
        <w:t xml:space="preserve"> II и</w:t>
      </w:r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MiFIR</w:t>
      </w:r>
      <w:proofErr w:type="spellEnd"/>
      <w:r w:rsidRPr="00A13CEF">
        <w:rPr>
          <w:rFonts w:cstheme="minorHAnsi"/>
        </w:rPr>
        <w:t xml:space="preserve"> и Делегиран регламент (ЕС) 2017/575, започна да изготвя на периодична база редица отчети в машинно-четим формат и</w:t>
      </w:r>
      <w:r w:rsidR="005F32F4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ги предоставя към публиката посредством уеб-сайта си. Извършени бяха промени в интернет порталите на БФБ във връзка с изискванията на нова</w:t>
      </w:r>
      <w:r w:rsidR="00C009C0" w:rsidRPr="00A13CEF">
        <w:rPr>
          <w:rFonts w:cstheme="minorHAnsi"/>
        </w:rPr>
        <w:t xml:space="preserve">та нормативна рамка на </w:t>
      </w:r>
      <w:proofErr w:type="spellStart"/>
      <w:r w:rsidR="00C009C0" w:rsidRPr="00A13CEF">
        <w:rPr>
          <w:rFonts w:cstheme="minorHAnsi"/>
        </w:rPr>
        <w:t>MiFID</w:t>
      </w:r>
      <w:proofErr w:type="spellEnd"/>
      <w:r w:rsidR="00C009C0" w:rsidRPr="00A13CEF">
        <w:rPr>
          <w:rFonts w:cstheme="minorHAnsi"/>
        </w:rPr>
        <w:t xml:space="preserve"> II и</w:t>
      </w:r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MiFIR</w:t>
      </w:r>
      <w:proofErr w:type="spellEnd"/>
      <w:r w:rsidRPr="00A13CEF">
        <w:rPr>
          <w:rFonts w:cstheme="minorHAnsi"/>
        </w:rPr>
        <w:t>.</w:t>
      </w:r>
    </w:p>
    <w:p w:rsidR="00BB7206" w:rsidRPr="00A13CEF" w:rsidRDefault="00BB7206" w:rsidP="001A50AB">
      <w:pPr>
        <w:pStyle w:val="SubNumbers"/>
        <w:rPr>
          <w:rFonts w:cstheme="minorHAnsi"/>
        </w:rPr>
      </w:pPr>
      <w:bookmarkStart w:id="63" w:name="_Toc402281945"/>
      <w:bookmarkStart w:id="64" w:name="_Toc283112128"/>
      <w:bookmarkStart w:id="65" w:name="_Toc520473886"/>
      <w:bookmarkEnd w:id="61"/>
      <w:r w:rsidRPr="00A13CEF">
        <w:rPr>
          <w:rFonts w:cstheme="minorHAnsi"/>
        </w:rPr>
        <w:t>COBOS</w:t>
      </w:r>
      <w:bookmarkEnd w:id="63"/>
      <w:bookmarkEnd w:id="65"/>
    </w:p>
    <w:p w:rsidR="00BB7206" w:rsidRPr="00A13CEF" w:rsidRDefault="00BB7206" w:rsidP="001A50AB">
      <w:pPr>
        <w:rPr>
          <w:rFonts w:cstheme="minorHAnsi"/>
        </w:rPr>
      </w:pPr>
      <w:r w:rsidRPr="00A13CEF">
        <w:rPr>
          <w:rFonts w:cstheme="minorHAnsi"/>
        </w:rPr>
        <w:t xml:space="preserve">Системата COBOS, разработена от експерти на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>, бе стартирана през 2003 г. с идеята да се предостави възможност на инвеститорите за електронно подаване на поръчки към инвестиционните посредници. Улесняването на инвестиционният процес, което COBOS осигурява, е от значение и за привличането на повече инвеститори на българския капиталов пазар.</w:t>
      </w:r>
    </w:p>
    <w:p w:rsidR="00BB7206" w:rsidRPr="00A13CEF" w:rsidRDefault="00BB7206" w:rsidP="001A50AB">
      <w:pPr>
        <w:rPr>
          <w:rFonts w:cstheme="minorHAnsi"/>
        </w:rPr>
      </w:pPr>
      <w:r w:rsidRPr="00A13CEF">
        <w:rPr>
          <w:rFonts w:cstheme="minorHAnsi"/>
        </w:rPr>
        <w:t xml:space="preserve">В края на отчетното </w:t>
      </w:r>
      <w:r w:rsidR="00730F1D" w:rsidRPr="00A13CEF">
        <w:rPr>
          <w:rFonts w:cstheme="minorHAnsi"/>
        </w:rPr>
        <w:t>шест</w:t>
      </w:r>
      <w:r w:rsidRPr="00A13CEF">
        <w:rPr>
          <w:rFonts w:cstheme="minorHAnsi"/>
        </w:rPr>
        <w:t>месечие броят на клиентите на системата COBOS намаля</w:t>
      </w:r>
      <w:r w:rsidR="00035496" w:rsidRPr="00A13CEF">
        <w:rPr>
          <w:rFonts w:cstheme="minorHAnsi"/>
        </w:rPr>
        <w:t>ва</w:t>
      </w:r>
      <w:r w:rsidRPr="00A13CEF">
        <w:rPr>
          <w:rFonts w:cstheme="minorHAnsi"/>
        </w:rPr>
        <w:t xml:space="preserve"> с </w:t>
      </w:r>
      <w:r w:rsidR="00235E39" w:rsidRPr="00A13CEF">
        <w:rPr>
          <w:rFonts w:cstheme="minorHAnsi"/>
        </w:rPr>
        <w:t>1</w:t>
      </w:r>
      <w:r w:rsidR="00730F1D" w:rsidRPr="00A13CEF">
        <w:rPr>
          <w:rFonts w:cstheme="minorHAnsi"/>
        </w:rPr>
        <w:t>,</w:t>
      </w:r>
      <w:r w:rsidR="00235E39" w:rsidRPr="00A13CEF">
        <w:rPr>
          <w:rFonts w:cstheme="minorHAnsi"/>
        </w:rPr>
        <w:t>48</w:t>
      </w:r>
      <w:r w:rsidRPr="00A13CEF">
        <w:rPr>
          <w:rFonts w:cstheme="minorHAnsi"/>
        </w:rPr>
        <w:t xml:space="preserve">% в сравнение с </w:t>
      </w:r>
      <w:r w:rsidR="00730F1D" w:rsidRPr="00A13CEF">
        <w:rPr>
          <w:rFonts w:cstheme="minorHAnsi"/>
        </w:rPr>
        <w:t>края на съответния период на 201</w:t>
      </w:r>
      <w:r w:rsidR="00235E39" w:rsidRPr="00A13CEF">
        <w:rPr>
          <w:rFonts w:cstheme="minorHAnsi"/>
        </w:rPr>
        <w:t>7</w:t>
      </w:r>
      <w:r w:rsidR="00FE2402" w:rsidRPr="00A13CEF">
        <w:rPr>
          <w:rFonts w:cstheme="minorHAnsi"/>
        </w:rPr>
        <w:t xml:space="preserve"> </w:t>
      </w:r>
      <w:r w:rsidR="00730F1D" w:rsidRPr="00A13CEF">
        <w:rPr>
          <w:rFonts w:cstheme="minorHAnsi"/>
        </w:rPr>
        <w:t>година</w:t>
      </w:r>
      <w:r w:rsidR="00FE2402" w:rsidRPr="00A13CEF">
        <w:rPr>
          <w:rFonts w:cstheme="minorHAnsi"/>
        </w:rPr>
        <w:t xml:space="preserve">. Към </w:t>
      </w:r>
      <w:r w:rsidR="00730F1D" w:rsidRPr="00A13CEF">
        <w:rPr>
          <w:rFonts w:cstheme="minorHAnsi"/>
        </w:rPr>
        <w:t>30</w:t>
      </w:r>
      <w:r w:rsidRPr="00A13CEF">
        <w:rPr>
          <w:rFonts w:cstheme="minorHAnsi"/>
        </w:rPr>
        <w:t>.</w:t>
      </w:r>
      <w:r w:rsidR="00730F1D" w:rsidRPr="00A13CEF">
        <w:rPr>
          <w:rFonts w:cstheme="minorHAnsi"/>
        </w:rPr>
        <w:t>06</w:t>
      </w:r>
      <w:r w:rsidRPr="00A13CEF">
        <w:rPr>
          <w:rFonts w:cstheme="minorHAnsi"/>
        </w:rPr>
        <w:t>.201</w:t>
      </w:r>
      <w:r w:rsidR="00235E39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активните клиенти </w:t>
      </w:r>
      <w:r w:rsidR="00DE4AFD" w:rsidRPr="00A13CEF">
        <w:rPr>
          <w:rFonts w:cstheme="minorHAnsi"/>
        </w:rPr>
        <w:t>бяха</w:t>
      </w:r>
      <w:r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>266</w:t>
      </w:r>
      <w:r w:rsidRPr="00A13CEF">
        <w:rPr>
          <w:rFonts w:cstheme="minorHAnsi"/>
        </w:rPr>
        <w:t xml:space="preserve">, а в края </w:t>
      </w:r>
      <w:r w:rsidR="00DB60B9" w:rsidRPr="00A13CEF">
        <w:rPr>
          <w:rFonts w:cstheme="minorHAnsi"/>
        </w:rPr>
        <w:t>на първата половина на 201</w:t>
      </w:r>
      <w:r w:rsidR="00235E39" w:rsidRPr="00A13CEF">
        <w:rPr>
          <w:rFonts w:cstheme="minorHAnsi"/>
        </w:rPr>
        <w:t>7</w:t>
      </w:r>
      <w:r w:rsidRPr="00A13CEF">
        <w:rPr>
          <w:rFonts w:cstheme="minorHAnsi"/>
        </w:rPr>
        <w:t xml:space="preserve"> </w:t>
      </w:r>
      <w:r w:rsidR="006A3E67" w:rsidRPr="00A13CEF">
        <w:rPr>
          <w:rFonts w:cstheme="minorHAnsi"/>
        </w:rPr>
        <w:t xml:space="preserve">те бяха </w:t>
      </w:r>
      <w:r w:rsidR="00730F1D" w:rsidRPr="00A13CEF">
        <w:rPr>
          <w:rFonts w:cstheme="minorHAnsi"/>
        </w:rPr>
        <w:t>2</w:t>
      </w:r>
      <w:r w:rsidR="00DB60B9" w:rsidRPr="00A13CEF">
        <w:rPr>
          <w:rFonts w:cstheme="minorHAnsi"/>
        </w:rPr>
        <w:t>70</w:t>
      </w:r>
      <w:r w:rsidR="00315E3D" w:rsidRPr="00A13CEF">
        <w:rPr>
          <w:rFonts w:cstheme="minorHAnsi"/>
        </w:rPr>
        <w:t xml:space="preserve">. </w:t>
      </w:r>
      <w:r w:rsidRPr="00A13CEF">
        <w:rPr>
          <w:rFonts w:cstheme="minorHAnsi"/>
        </w:rPr>
        <w:t xml:space="preserve">Чрез системата </w:t>
      </w:r>
      <w:r w:rsidR="00880590" w:rsidRPr="00A13CEF">
        <w:rPr>
          <w:rFonts w:cstheme="minorHAnsi"/>
        </w:rPr>
        <w:t>бяха</w:t>
      </w:r>
      <w:r w:rsidRPr="00A13CEF">
        <w:rPr>
          <w:rFonts w:cstheme="minorHAnsi"/>
        </w:rPr>
        <w:t xml:space="preserve"> подадени</w:t>
      </w:r>
      <w:r w:rsidR="000D34BF"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>11 743</w:t>
      </w:r>
      <w:r w:rsidR="00B828AE" w:rsidRPr="00A13CEF">
        <w:rPr>
          <w:rFonts w:cstheme="minorHAnsi"/>
        </w:rPr>
        <w:t xml:space="preserve"> </w:t>
      </w:r>
      <w:r w:rsidR="006A3E67" w:rsidRPr="00A13CEF">
        <w:rPr>
          <w:rFonts w:cstheme="minorHAnsi"/>
        </w:rPr>
        <w:t xml:space="preserve">нареждания </w:t>
      </w:r>
      <w:r w:rsidR="000D34BF" w:rsidRPr="00A13CEF">
        <w:rPr>
          <w:rFonts w:cstheme="minorHAnsi"/>
        </w:rPr>
        <w:t>(</w:t>
      </w:r>
      <w:r w:rsidR="00235E39" w:rsidRPr="00A13CEF">
        <w:rPr>
          <w:rFonts w:cstheme="minorHAnsi"/>
        </w:rPr>
        <w:t>спад от</w:t>
      </w:r>
      <w:r w:rsidR="006A3E67"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>46</w:t>
      </w:r>
      <w:r w:rsidR="009105C0" w:rsidRPr="00A13CEF">
        <w:rPr>
          <w:rFonts w:cstheme="minorHAnsi"/>
        </w:rPr>
        <w:t>,</w:t>
      </w:r>
      <w:r w:rsidR="00235E39" w:rsidRPr="00A13CEF">
        <w:rPr>
          <w:rFonts w:cstheme="minorHAnsi"/>
        </w:rPr>
        <w:t>31</w:t>
      </w:r>
      <w:r w:rsidR="00081381" w:rsidRPr="00A13CEF">
        <w:rPr>
          <w:rFonts w:cstheme="minorHAnsi"/>
        </w:rPr>
        <w:t>%</w:t>
      </w:r>
      <w:r w:rsidR="00DB60B9" w:rsidRPr="00A13CEF">
        <w:rPr>
          <w:rFonts w:cstheme="minorHAnsi"/>
        </w:rPr>
        <w:t xml:space="preserve"> в броя поръчки</w:t>
      </w:r>
      <w:r w:rsidR="000D34BF" w:rsidRPr="00A13CEF">
        <w:rPr>
          <w:rFonts w:cstheme="minorHAnsi"/>
        </w:rPr>
        <w:t xml:space="preserve">), сключени бяха </w:t>
      </w:r>
      <w:r w:rsidR="00235E39" w:rsidRPr="00A13CEF">
        <w:rPr>
          <w:rFonts w:cstheme="minorHAnsi"/>
        </w:rPr>
        <w:t xml:space="preserve">4 714 </w:t>
      </w:r>
      <w:r w:rsidR="000D34BF" w:rsidRPr="00A13CEF">
        <w:rPr>
          <w:rFonts w:cstheme="minorHAnsi"/>
        </w:rPr>
        <w:t>сделки (</w:t>
      </w:r>
      <w:r w:rsidR="00235E39" w:rsidRPr="00A13CEF">
        <w:rPr>
          <w:rFonts w:cstheme="minorHAnsi"/>
        </w:rPr>
        <w:t xml:space="preserve">намаление </w:t>
      </w:r>
      <w:r w:rsidR="00DB60B9" w:rsidRPr="00A13CEF">
        <w:rPr>
          <w:rFonts w:cstheme="minorHAnsi"/>
        </w:rPr>
        <w:t>на броя сделки с</w:t>
      </w:r>
      <w:r w:rsidR="006A3E67"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>40</w:t>
      </w:r>
      <w:r w:rsidR="009105C0" w:rsidRPr="00A13CEF">
        <w:rPr>
          <w:rFonts w:cstheme="minorHAnsi"/>
        </w:rPr>
        <w:t>,</w:t>
      </w:r>
      <w:r w:rsidR="00235E39" w:rsidRPr="00A13CEF">
        <w:rPr>
          <w:rFonts w:cstheme="minorHAnsi"/>
        </w:rPr>
        <w:t>83</w:t>
      </w:r>
      <w:r w:rsidR="00081381" w:rsidRPr="00A13CEF">
        <w:rPr>
          <w:rFonts w:cstheme="minorHAnsi"/>
        </w:rPr>
        <w:t>%</w:t>
      </w:r>
      <w:r w:rsidR="000D34BF" w:rsidRPr="00A13CEF">
        <w:rPr>
          <w:rFonts w:cstheme="minorHAnsi"/>
        </w:rPr>
        <w:t xml:space="preserve">) на стойност </w:t>
      </w:r>
      <w:r w:rsidR="00235E39" w:rsidRPr="00A13CEF">
        <w:rPr>
          <w:rFonts w:cstheme="minorHAnsi"/>
        </w:rPr>
        <w:t xml:space="preserve">20 163 781 </w:t>
      </w:r>
      <w:r w:rsidR="000D34BF" w:rsidRPr="00A13CEF">
        <w:rPr>
          <w:rFonts w:cstheme="minorHAnsi"/>
        </w:rPr>
        <w:t>лева</w:t>
      </w:r>
      <w:r w:rsidR="00CE28B8" w:rsidRPr="00A13CEF">
        <w:rPr>
          <w:rFonts w:cstheme="minorHAnsi"/>
        </w:rPr>
        <w:t xml:space="preserve"> (</w:t>
      </w:r>
      <w:r w:rsidR="00235E39" w:rsidRPr="00A13CEF">
        <w:rPr>
          <w:rFonts w:cstheme="minorHAnsi"/>
        </w:rPr>
        <w:t>спад</w:t>
      </w:r>
      <w:r w:rsidR="009E65E4" w:rsidRPr="00A13CEF">
        <w:rPr>
          <w:rFonts w:cstheme="minorHAnsi"/>
        </w:rPr>
        <w:t xml:space="preserve"> от</w:t>
      </w:r>
      <w:r w:rsidR="006A3E67"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>36</w:t>
      </w:r>
      <w:r w:rsidR="003B50D1" w:rsidRPr="00A13CEF">
        <w:rPr>
          <w:rFonts w:cstheme="minorHAnsi"/>
        </w:rPr>
        <w:t>,</w:t>
      </w:r>
      <w:r w:rsidR="00235E39" w:rsidRPr="00A13CEF">
        <w:rPr>
          <w:rFonts w:cstheme="minorHAnsi"/>
        </w:rPr>
        <w:t>89</w:t>
      </w:r>
      <w:r w:rsidR="00081381" w:rsidRPr="00A13CEF">
        <w:rPr>
          <w:rFonts w:cstheme="minorHAnsi"/>
        </w:rPr>
        <w:t>%</w:t>
      </w:r>
      <w:r w:rsidR="00CE28B8" w:rsidRPr="00A13CEF">
        <w:rPr>
          <w:rFonts w:cstheme="minorHAnsi"/>
        </w:rPr>
        <w:t>)</w:t>
      </w:r>
      <w:r w:rsidR="000D34BF" w:rsidRPr="00A13CEF">
        <w:rPr>
          <w:rFonts w:cstheme="minorHAnsi"/>
        </w:rPr>
        <w:t>.</w:t>
      </w:r>
      <w:r w:rsidRPr="00A13CEF">
        <w:rPr>
          <w:rFonts w:cstheme="minorHAnsi"/>
        </w:rPr>
        <w:t xml:space="preserve"> </w:t>
      </w:r>
      <w:r w:rsidR="00FE2402" w:rsidRPr="00A13CEF">
        <w:rPr>
          <w:rFonts w:cstheme="minorHAnsi"/>
        </w:rPr>
        <w:t>За сравнение</w:t>
      </w:r>
      <w:r w:rsidR="00756AD6" w:rsidRPr="00A13CEF">
        <w:rPr>
          <w:rFonts w:cstheme="minorHAnsi"/>
        </w:rPr>
        <w:t>,</w:t>
      </w:r>
      <w:r w:rsidR="00FE2402" w:rsidRPr="00A13CEF">
        <w:rPr>
          <w:rFonts w:cstheme="minorHAnsi"/>
        </w:rPr>
        <w:t xml:space="preserve"> през </w:t>
      </w:r>
      <w:r w:rsidR="00B828AE" w:rsidRPr="00A13CEF">
        <w:rPr>
          <w:rFonts w:cstheme="minorHAnsi"/>
        </w:rPr>
        <w:t>първото</w:t>
      </w:r>
      <w:r w:rsidR="00880590" w:rsidRPr="00A13CEF">
        <w:rPr>
          <w:rFonts w:cstheme="minorHAnsi"/>
        </w:rPr>
        <w:t xml:space="preserve"> </w:t>
      </w:r>
      <w:r w:rsidR="00B828AE" w:rsidRPr="00A13CEF">
        <w:rPr>
          <w:rFonts w:cstheme="minorHAnsi"/>
        </w:rPr>
        <w:t>шест</w:t>
      </w:r>
      <w:r w:rsidR="00880590" w:rsidRPr="00A13CEF">
        <w:rPr>
          <w:rFonts w:cstheme="minorHAnsi"/>
        </w:rPr>
        <w:t xml:space="preserve">месечие </w:t>
      </w:r>
      <w:r w:rsidR="009E65E4" w:rsidRPr="00A13CEF">
        <w:rPr>
          <w:rFonts w:cstheme="minorHAnsi"/>
        </w:rPr>
        <w:t>на 201</w:t>
      </w:r>
      <w:r w:rsidR="00235E39" w:rsidRPr="00A13CEF">
        <w:rPr>
          <w:rFonts w:cstheme="minorHAnsi"/>
        </w:rPr>
        <w:t>7</w:t>
      </w:r>
      <w:r w:rsidR="00B828AE" w:rsidRPr="00A13CEF">
        <w:rPr>
          <w:rFonts w:cstheme="minorHAnsi"/>
        </w:rPr>
        <w:t xml:space="preserve"> година </w:t>
      </w:r>
      <w:r w:rsidR="00880590" w:rsidRPr="00A13CEF">
        <w:rPr>
          <w:rFonts w:cstheme="minorHAnsi"/>
        </w:rPr>
        <w:t>бяха подадени</w:t>
      </w:r>
      <w:r w:rsidR="00041C39"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 xml:space="preserve">21 871 </w:t>
      </w:r>
      <w:r w:rsidR="000D34BF" w:rsidRPr="00A13CEF">
        <w:rPr>
          <w:rFonts w:cstheme="minorHAnsi"/>
        </w:rPr>
        <w:t xml:space="preserve">нареждания и </w:t>
      </w:r>
      <w:r w:rsidR="00880590" w:rsidRPr="00A13CEF">
        <w:rPr>
          <w:rFonts w:cstheme="minorHAnsi"/>
        </w:rPr>
        <w:t>сключени</w:t>
      </w:r>
      <w:r w:rsidR="000D34BF" w:rsidRPr="00A13CEF">
        <w:rPr>
          <w:rFonts w:cstheme="minorHAnsi"/>
        </w:rPr>
        <w:t xml:space="preserve"> </w:t>
      </w:r>
      <w:r w:rsidR="00235E39" w:rsidRPr="00A13CEF">
        <w:rPr>
          <w:rFonts w:cstheme="minorHAnsi"/>
        </w:rPr>
        <w:t>7 967</w:t>
      </w:r>
      <w:r w:rsidR="005F32F4" w:rsidRPr="00A13CEF">
        <w:rPr>
          <w:rFonts w:cstheme="minorHAnsi"/>
        </w:rPr>
        <w:t xml:space="preserve"> </w:t>
      </w:r>
      <w:r w:rsidR="000D34BF" w:rsidRPr="00A13CEF">
        <w:rPr>
          <w:rFonts w:cstheme="minorHAnsi"/>
        </w:rPr>
        <w:t>сделки</w:t>
      </w:r>
      <w:r w:rsidR="00DE4AFD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 xml:space="preserve">на стойност </w:t>
      </w:r>
      <w:r w:rsidR="00235E39" w:rsidRPr="00A13CEF">
        <w:rPr>
          <w:rFonts w:cstheme="minorHAnsi"/>
        </w:rPr>
        <w:t xml:space="preserve">31 951 319 </w:t>
      </w:r>
      <w:r w:rsidRPr="00A13CEF">
        <w:rPr>
          <w:rFonts w:cstheme="minorHAnsi"/>
        </w:rPr>
        <w:t>лева.</w:t>
      </w:r>
    </w:p>
    <w:p w:rsidR="00BB7206" w:rsidRPr="00A13CEF" w:rsidRDefault="00BB7206" w:rsidP="001A50AB">
      <w:pPr>
        <w:pStyle w:val="Mainnumbers"/>
        <w:rPr>
          <w:rFonts w:cstheme="minorHAnsi"/>
        </w:rPr>
      </w:pPr>
      <w:bookmarkStart w:id="66" w:name="_Toc402281946"/>
      <w:bookmarkStart w:id="67" w:name="_Toc373332382"/>
      <w:bookmarkStart w:id="68" w:name="_Toc283112129"/>
      <w:bookmarkStart w:id="69" w:name="_Toc520473887"/>
      <w:bookmarkEnd w:id="64"/>
      <w:r w:rsidRPr="00A13CEF">
        <w:rPr>
          <w:rFonts w:cstheme="minorHAnsi"/>
        </w:rPr>
        <w:t>Международна дейност</w:t>
      </w:r>
      <w:bookmarkEnd w:id="66"/>
      <w:bookmarkEnd w:id="69"/>
    </w:p>
    <w:p w:rsidR="00235E39" w:rsidRPr="00A13CEF" w:rsidRDefault="00235E39" w:rsidP="00235E39">
      <w:pPr>
        <w:pStyle w:val="ListParagraph"/>
        <w:numPr>
          <w:ilvl w:val="0"/>
          <w:numId w:val="5"/>
        </w:numPr>
        <w:rPr>
          <w:rFonts w:cstheme="minorHAnsi"/>
        </w:rPr>
      </w:pPr>
      <w:r w:rsidRPr="00A13CEF">
        <w:rPr>
          <w:rFonts w:cstheme="minorHAnsi"/>
        </w:rPr>
        <w:t xml:space="preserve">На 24.01.2018 г. изпълнителният директор на БФБ Иван Такев взе участие в </w:t>
      </w:r>
      <w:proofErr w:type="spellStart"/>
      <w:r w:rsidRPr="00A13CEF">
        <w:rPr>
          <w:rFonts w:cstheme="minorHAnsi"/>
        </w:rPr>
        <w:t>Тhe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Balkan</w:t>
      </w:r>
      <w:proofErr w:type="spellEnd"/>
      <w:r w:rsidRPr="00A13CEF">
        <w:rPr>
          <w:rFonts w:cstheme="minorHAnsi"/>
        </w:rPr>
        <w:t xml:space="preserve"> Capital Markets </w:t>
      </w:r>
      <w:proofErr w:type="spellStart"/>
      <w:r w:rsidRPr="00A13CEF">
        <w:rPr>
          <w:rFonts w:cstheme="minorHAnsi"/>
        </w:rPr>
        <w:t>Forum</w:t>
      </w:r>
      <w:proofErr w:type="spellEnd"/>
      <w:r w:rsidRPr="00A13CEF">
        <w:rPr>
          <w:rFonts w:cstheme="minorHAnsi"/>
        </w:rPr>
        <w:t xml:space="preserve">, провел се в Тирана, Албания, където бе част от дискусионен панел с представители на всички фондови борси в региона, както и изнесе презентация на тема </w:t>
      </w:r>
      <w:proofErr w:type="spellStart"/>
      <w:r w:rsidRPr="00A13CEF">
        <w:rPr>
          <w:rFonts w:cstheme="minorHAnsi"/>
        </w:rPr>
        <w:t>Bulgaria’s</w:t>
      </w:r>
      <w:proofErr w:type="spellEnd"/>
      <w:r w:rsidRPr="00A13CEF">
        <w:rPr>
          <w:rFonts w:cstheme="minorHAnsi"/>
        </w:rPr>
        <w:t xml:space="preserve"> Capital Markets </w:t>
      </w:r>
      <w:proofErr w:type="spellStart"/>
      <w:r w:rsidRPr="00A13CEF">
        <w:rPr>
          <w:rFonts w:cstheme="minorHAnsi"/>
        </w:rPr>
        <w:t>and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perspectives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for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development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in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the</w:t>
      </w:r>
      <w:proofErr w:type="spellEnd"/>
      <w:r w:rsidRPr="00A13CEF">
        <w:rPr>
          <w:rFonts w:cstheme="minorHAnsi"/>
        </w:rPr>
        <w:t xml:space="preserve"> SEE </w:t>
      </w:r>
      <w:proofErr w:type="spellStart"/>
      <w:r w:rsidRPr="00A13CEF">
        <w:rPr>
          <w:rFonts w:cstheme="minorHAnsi"/>
        </w:rPr>
        <w:t>and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the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Balkans</w:t>
      </w:r>
      <w:proofErr w:type="spellEnd"/>
      <w:r w:rsidRPr="00A13CEF">
        <w:rPr>
          <w:rFonts w:cstheme="minorHAnsi"/>
        </w:rPr>
        <w:t>;</w:t>
      </w:r>
    </w:p>
    <w:p w:rsidR="00D70829" w:rsidRPr="00A13CEF" w:rsidRDefault="00235E39" w:rsidP="00235E39">
      <w:pPr>
        <w:pStyle w:val="ListParagraph"/>
        <w:numPr>
          <w:ilvl w:val="0"/>
          <w:numId w:val="5"/>
        </w:numPr>
        <w:rPr>
          <w:rFonts w:cstheme="minorHAnsi"/>
        </w:rPr>
      </w:pPr>
      <w:r w:rsidRPr="00A13CEF">
        <w:rPr>
          <w:rFonts w:cstheme="minorHAnsi"/>
        </w:rPr>
        <w:t xml:space="preserve">На 26.03.2018 г. Иван Такев участва в дискусия на тема </w:t>
      </w:r>
      <w:proofErr w:type="spellStart"/>
      <w:r w:rsidRPr="00A13CEF">
        <w:rPr>
          <w:rFonts w:cstheme="minorHAnsi"/>
        </w:rPr>
        <w:t>Developments</w:t>
      </w:r>
      <w:proofErr w:type="spellEnd"/>
      <w:r w:rsidRPr="00A13CEF">
        <w:rPr>
          <w:rFonts w:cstheme="minorHAnsi"/>
        </w:rPr>
        <w:t xml:space="preserve"> &amp; </w:t>
      </w:r>
      <w:proofErr w:type="spellStart"/>
      <w:r w:rsidRPr="00A13CEF">
        <w:rPr>
          <w:rFonts w:cstheme="minorHAnsi"/>
        </w:rPr>
        <w:t>Innovation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in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Smaller</w:t>
      </w:r>
      <w:proofErr w:type="spellEnd"/>
      <w:r w:rsidRPr="00A13CEF">
        <w:rPr>
          <w:rFonts w:cstheme="minorHAnsi"/>
        </w:rPr>
        <w:t xml:space="preserve"> </w:t>
      </w:r>
      <w:proofErr w:type="spellStart"/>
      <w:r w:rsidRPr="00A13CEF">
        <w:rPr>
          <w:rFonts w:cstheme="minorHAnsi"/>
        </w:rPr>
        <w:t>Exchanges</w:t>
      </w:r>
      <w:proofErr w:type="spellEnd"/>
      <w:r w:rsidRPr="00A13CEF">
        <w:rPr>
          <w:rFonts w:cstheme="minorHAnsi"/>
        </w:rPr>
        <w:t xml:space="preserve">, провела се рамките на годишния World Exchange </w:t>
      </w:r>
      <w:proofErr w:type="spellStart"/>
      <w:r w:rsidRPr="00A13CEF">
        <w:rPr>
          <w:rFonts w:cstheme="minorHAnsi"/>
        </w:rPr>
        <w:t>Congress</w:t>
      </w:r>
      <w:proofErr w:type="spellEnd"/>
      <w:r w:rsidRPr="00A13CEF">
        <w:rPr>
          <w:rFonts w:cstheme="minorHAnsi"/>
        </w:rPr>
        <w:t>;</w:t>
      </w:r>
    </w:p>
    <w:p w:rsidR="00235E39" w:rsidRPr="00A13CEF" w:rsidRDefault="00235E39" w:rsidP="00235E39">
      <w:pPr>
        <w:pStyle w:val="ListParagraph"/>
        <w:numPr>
          <w:ilvl w:val="0"/>
          <w:numId w:val="5"/>
        </w:numPr>
        <w:rPr>
          <w:rFonts w:cstheme="minorHAnsi"/>
        </w:rPr>
      </w:pPr>
      <w:r w:rsidRPr="00A13CEF">
        <w:rPr>
          <w:rFonts w:cstheme="minorHAnsi"/>
        </w:rPr>
        <w:t>„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“ АД като ротационен председател на Националната комисия за корпоративно управление взе участие в организирането и провеждането на 22-та Европейска конференция за корпоративно управление в рамките на инициативите във връзка с Българското председателство на Съвета на ЕС 2018. Повече информация за конференцията в т. </w:t>
      </w:r>
      <w:r w:rsidRPr="00A13CEF">
        <w:rPr>
          <w:rFonts w:cstheme="minorHAnsi"/>
        </w:rPr>
        <w:fldChar w:fldCharType="begin"/>
      </w:r>
      <w:r w:rsidRPr="00A13CEF">
        <w:rPr>
          <w:rFonts w:cstheme="minorHAnsi"/>
        </w:rPr>
        <w:instrText xml:space="preserve"> REF _Ref520300023 \r \h </w:instrText>
      </w:r>
      <w:r w:rsidR="00A13CEF">
        <w:rPr>
          <w:rFonts w:cstheme="minorHAnsi"/>
        </w:rPr>
        <w:instrText xml:space="preserve"> \* MERGEFORMAT </w:instrText>
      </w:r>
      <w:r w:rsidRPr="00A13CEF">
        <w:rPr>
          <w:rFonts w:cstheme="minorHAnsi"/>
        </w:rPr>
      </w:r>
      <w:r w:rsidRPr="00A13CEF">
        <w:rPr>
          <w:rFonts w:cstheme="minorHAnsi"/>
        </w:rPr>
        <w:fldChar w:fldCharType="separate"/>
      </w:r>
      <w:r w:rsidRPr="00A13CEF">
        <w:rPr>
          <w:rFonts w:cstheme="minorHAnsi"/>
        </w:rPr>
        <w:t>8.5</w:t>
      </w:r>
      <w:r w:rsidRPr="00A13CEF">
        <w:rPr>
          <w:rFonts w:cstheme="minorHAnsi"/>
        </w:rPr>
        <w:fldChar w:fldCharType="end"/>
      </w:r>
      <w:r w:rsidRPr="00A13CEF">
        <w:rPr>
          <w:rFonts w:cstheme="minorHAnsi"/>
        </w:rPr>
        <w:t xml:space="preserve"> от настоящия Доклад.</w:t>
      </w:r>
    </w:p>
    <w:p w:rsidR="00235E39" w:rsidRPr="00A13CEF" w:rsidRDefault="00235E39" w:rsidP="00235E39">
      <w:pPr>
        <w:pStyle w:val="ListParagraph"/>
        <w:numPr>
          <w:ilvl w:val="0"/>
          <w:numId w:val="5"/>
        </w:numPr>
        <w:rPr>
          <w:rFonts w:cstheme="minorHAnsi"/>
        </w:rPr>
      </w:pPr>
      <w:r w:rsidRPr="00A13CEF">
        <w:rPr>
          <w:rFonts w:cstheme="minorHAnsi"/>
        </w:rPr>
        <w:t xml:space="preserve">Иван Такев, изпълнителен директор, и Александрина Гюрова, директор на дирекция „Търговия, емитенти и членство“ взеха участие в ежегодната конвенция на Федерацията на </w:t>
      </w:r>
      <w:r w:rsidRPr="00A13CEF">
        <w:rPr>
          <w:rFonts w:cstheme="minorHAnsi"/>
        </w:rPr>
        <w:lastRenderedPageBreak/>
        <w:t>Европейските Фондови Борси (FESE), провела се на 21.06.2018 във Виена, както и на работен семинар в рамките на събитието по проблемите на малките и средни по размер пазари от федерацията.</w:t>
      </w:r>
    </w:p>
    <w:p w:rsidR="006C79E6" w:rsidRPr="00A13CEF" w:rsidRDefault="00690D22" w:rsidP="001A50AB">
      <w:pPr>
        <w:pStyle w:val="Mainnumbers"/>
        <w:rPr>
          <w:rFonts w:cstheme="minorHAnsi"/>
        </w:rPr>
      </w:pPr>
      <w:bookmarkStart w:id="70" w:name="_Toc373332383"/>
      <w:bookmarkStart w:id="71" w:name="_Toc520473888"/>
      <w:bookmarkEnd w:id="67"/>
      <w:r w:rsidRPr="00A13CEF">
        <w:rPr>
          <w:rFonts w:cstheme="minorHAnsi"/>
        </w:rPr>
        <w:t xml:space="preserve">Основни рискове и </w:t>
      </w:r>
      <w:proofErr w:type="spellStart"/>
      <w:r w:rsidRPr="00A13CEF">
        <w:rPr>
          <w:rFonts w:cstheme="minorHAnsi"/>
        </w:rPr>
        <w:t>несигурности</w:t>
      </w:r>
      <w:proofErr w:type="spellEnd"/>
      <w:r w:rsidRPr="00A13CEF">
        <w:rPr>
          <w:rFonts w:cstheme="minorHAnsi"/>
        </w:rPr>
        <w:t xml:space="preserve">, пред които е изправена </w:t>
      </w:r>
      <w:bookmarkEnd w:id="70"/>
      <w:r w:rsidR="002D5AEB" w:rsidRPr="00A13CEF">
        <w:rPr>
          <w:rFonts w:cstheme="minorHAnsi"/>
        </w:rPr>
        <w:t>„</w:t>
      </w:r>
      <w:r w:rsidR="00636F5A">
        <w:rPr>
          <w:rFonts w:cstheme="minorHAnsi"/>
        </w:rPr>
        <w:t>Българска фондова борса - София</w:t>
      </w:r>
      <w:r w:rsidR="002D5AEB" w:rsidRPr="00A13CEF">
        <w:rPr>
          <w:rFonts w:cstheme="minorHAnsi"/>
        </w:rPr>
        <w:t>“ АД</w:t>
      </w:r>
      <w:bookmarkEnd w:id="71"/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Като лицензиран пазарен оператор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организира дейността и операциите на регулирания пазар съобразно изискванията на закона и актовете по прилагането му. Организацията и управлението на БФБ се извършват въз основа на правилник за дейността, който се приема от Съвета на директорите на Борсата и се одобрява от Комисията за финансов надзор. Правилник</w:t>
      </w:r>
      <w:r w:rsidR="00165B8B" w:rsidRPr="00A13CEF">
        <w:rPr>
          <w:rFonts w:cstheme="minorHAnsi"/>
        </w:rPr>
        <w:t>ът</w:t>
      </w:r>
      <w:r w:rsidRPr="00A13CEF">
        <w:rPr>
          <w:rFonts w:cstheme="minorHAnsi"/>
        </w:rPr>
        <w:t xml:space="preserve"> за дейността на </w:t>
      </w:r>
      <w:r w:rsidR="00636F5A">
        <w:rPr>
          <w:rFonts w:cstheme="minorHAnsi"/>
        </w:rPr>
        <w:t>Българска фондова борса - София</w:t>
      </w:r>
      <w:r w:rsidR="00150F52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урежда всички аспекти от дейността на дружеството, в т.ч. и:</w:t>
      </w:r>
    </w:p>
    <w:p w:rsidR="00062DD2" w:rsidRPr="00A13CEF" w:rsidRDefault="00062DD2" w:rsidP="001A50AB">
      <w:pPr>
        <w:pStyle w:val="ListParagraph"/>
        <w:numPr>
          <w:ilvl w:val="0"/>
          <w:numId w:val="3"/>
        </w:numPr>
        <w:rPr>
          <w:rFonts w:cstheme="minorHAnsi"/>
        </w:rPr>
      </w:pPr>
      <w:r w:rsidRPr="00A13CEF">
        <w:rPr>
          <w:rFonts w:cstheme="minorHAnsi"/>
        </w:rPr>
        <w:t xml:space="preserve">идентифицирането на възможните заплахи и рискове, които биха могли да причинят потенциални загуби и прекъсване на процесите на търговия, осигурявани, осъществявани и поддържани от Борсата; </w:t>
      </w:r>
    </w:p>
    <w:p w:rsidR="00062DD2" w:rsidRPr="00A13CEF" w:rsidRDefault="00062DD2" w:rsidP="001A50AB">
      <w:pPr>
        <w:pStyle w:val="ListParagraph"/>
        <w:numPr>
          <w:ilvl w:val="0"/>
          <w:numId w:val="3"/>
        </w:numPr>
        <w:rPr>
          <w:rFonts w:cstheme="minorHAnsi"/>
        </w:rPr>
      </w:pPr>
      <w:r w:rsidRPr="00A13CEF">
        <w:rPr>
          <w:rFonts w:cstheme="minorHAnsi"/>
        </w:rPr>
        <w:t xml:space="preserve">средствата за контрол и управление на идентифицираните заплахи и рискове; </w:t>
      </w:r>
    </w:p>
    <w:p w:rsidR="00062DD2" w:rsidRPr="00A13CEF" w:rsidRDefault="00062DD2" w:rsidP="001A50AB">
      <w:pPr>
        <w:pStyle w:val="ListParagraph"/>
        <w:numPr>
          <w:ilvl w:val="0"/>
          <w:numId w:val="3"/>
        </w:numPr>
        <w:rPr>
          <w:rFonts w:cstheme="minorHAnsi"/>
        </w:rPr>
      </w:pPr>
      <w:r w:rsidRPr="00A13CEF">
        <w:rPr>
          <w:rFonts w:cstheme="minorHAnsi"/>
        </w:rPr>
        <w:t>разпределението на отговорностите между служителите на Борсата във връзка с Управлението на рисковете.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Основните видове рискове, </w:t>
      </w:r>
      <w:proofErr w:type="spellStart"/>
      <w:r w:rsidRPr="00A13CEF">
        <w:rPr>
          <w:rFonts w:cstheme="minorHAnsi"/>
        </w:rPr>
        <w:t>относими</w:t>
      </w:r>
      <w:proofErr w:type="spellEnd"/>
      <w:r w:rsidRPr="00A13CEF">
        <w:rPr>
          <w:rFonts w:cstheme="minorHAnsi"/>
        </w:rPr>
        <w:t xml:space="preserve"> към дейността </w:t>
      </w:r>
      <w:r w:rsidR="00165B8B" w:rsidRPr="00A13CEF">
        <w:rPr>
          <w:rFonts w:cstheme="minorHAnsi"/>
        </w:rPr>
        <w:t xml:space="preserve">на </w:t>
      </w:r>
      <w:r w:rsidRPr="00A13CEF">
        <w:rPr>
          <w:rFonts w:cstheme="minorHAnsi"/>
        </w:rPr>
        <w:t>дружеството и политиката по тяхното управление са регламентирани в част VІ - Правила за управление на риска от Правилника за дейността на БФБ.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Политиката по управлението на рисковете се прилага интегрирано и съобразно с всички останали политики и принципи, регламентирани във вътрешните актове на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>. Правилата за управление на риска на БФБ документират мерките и процедурите по установяване, управление и оценка на рисковете, свързани с дейността на Борсата по реда на чл. 86, ал. 1, т. 3 от Закона за пазарите на финансови инструменти.</w:t>
      </w:r>
    </w:p>
    <w:p w:rsidR="00062DD2" w:rsidRPr="00A13CEF" w:rsidRDefault="00062DD2" w:rsidP="001A50AB">
      <w:pPr>
        <w:rPr>
          <w:rFonts w:cstheme="minorHAnsi"/>
        </w:rPr>
      </w:pP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Правилата за управление на риска на </w:t>
      </w:r>
      <w:r w:rsidR="00636F5A">
        <w:rPr>
          <w:rFonts w:cstheme="minorHAnsi"/>
        </w:rPr>
        <w:t>Българска фондова борса - София</w:t>
      </w:r>
      <w:r w:rsidR="00150F52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дефинират следните видове рискове, свързани с дейностите, процедурите и системите на дружеството:</w:t>
      </w:r>
    </w:p>
    <w:p w:rsidR="00062DD2" w:rsidRPr="00A13CEF" w:rsidRDefault="00062DD2" w:rsidP="001A50AB">
      <w:pPr>
        <w:rPr>
          <w:rFonts w:cstheme="minorHAnsi"/>
        </w:rPr>
      </w:pP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1. </w:t>
      </w:r>
      <w:r w:rsidRPr="00A13CEF">
        <w:rPr>
          <w:rFonts w:cstheme="minorHAnsi"/>
          <w:b/>
        </w:rPr>
        <w:t>Вътрешни</w:t>
      </w:r>
      <w:r w:rsidRPr="00A13CEF">
        <w:rPr>
          <w:rFonts w:cstheme="minorHAnsi"/>
        </w:rPr>
        <w:t xml:space="preserve"> - свързани с организацията на работа на Борсата, представляващи: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а) Рискове, свързани с процесите;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рискове, свързани с изпълнението на основните функции на Борсата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рискове, свързани с предлаганите услуги и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проектни рискове</w:t>
      </w:r>
    </w:p>
    <w:p w:rsidR="00062DD2" w:rsidRPr="00A13CEF" w:rsidRDefault="00062DD2" w:rsidP="001A50AB">
      <w:pPr>
        <w:rPr>
          <w:rFonts w:cstheme="minorHAnsi"/>
        </w:rPr>
      </w:pP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б) Рискове, свързани със системите;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пълна или частична недостоверност и пропуск в пълнотата на данните;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последващо проявление на проблемите с достоверността и пълнотата на данните;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липса на прецизност в методите на обработка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грешки на софтуерни продукти;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несъвършенство на използваните технологии;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срив на системата на регулирания пазар, информационните и комуникационни системи.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lastRenderedPageBreak/>
        <w:t xml:space="preserve">в) Рискове, свързани с персонала;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напускане на ключови служители;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недобросъвестно поведение от страна на служителите на Борсата;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недостатъчна квалификация и липса на подготовка на лицата, работещи по договор за Борсата;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неблагоприятни изменения в трудовото законодателство;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неосигурена безопасност на трудовата среда;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недостатъчна или неадекватна мотивация на служителите; </w:t>
      </w:r>
    </w:p>
    <w:p w:rsidR="00B42AAA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честа смяна на заетите служители, водеща до невъзможност за адекватно изпълнение на функциите.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2. </w:t>
      </w:r>
      <w:r w:rsidRPr="00A13CEF">
        <w:rPr>
          <w:rFonts w:cstheme="minorHAnsi"/>
          <w:b/>
        </w:rPr>
        <w:t>Външни</w:t>
      </w:r>
      <w:r w:rsidRPr="00A13CEF">
        <w:rPr>
          <w:rFonts w:cstheme="minorHAnsi"/>
        </w:rPr>
        <w:t xml:space="preserve"> - свързани с макроикономически, политически и други фактори, които оказват и/или могат да окажат влияние върху дейността на Борсата, например: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Неблагоприятни промени в нормативната уредба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Рискове, свързани с прехвърлянето на важни дейности на трета страна – изпълнител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Политически изменения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Изменения в данъчната уредба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Рискове от физическо вмешателство.</w:t>
      </w:r>
    </w:p>
    <w:p w:rsidR="00062DD2" w:rsidRPr="00A13CEF" w:rsidRDefault="00062DD2" w:rsidP="001A50AB">
      <w:pPr>
        <w:rPr>
          <w:rFonts w:cstheme="minorHAnsi"/>
        </w:rPr>
      </w:pP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3. </w:t>
      </w:r>
      <w:r w:rsidRPr="00A13CEF">
        <w:rPr>
          <w:rFonts w:cstheme="minorHAnsi"/>
          <w:b/>
        </w:rPr>
        <w:t xml:space="preserve">Други рискове, свързани с дейността на </w:t>
      </w:r>
      <w:r w:rsidR="00636F5A">
        <w:rPr>
          <w:rFonts w:cstheme="minorHAnsi"/>
          <w:b/>
        </w:rPr>
        <w:t>Българска фондова борса - София</w:t>
      </w:r>
      <w:r w:rsidR="00150F52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– други рискове, свързани с предлаганите услуги, неидентифицирани в правилата за управление на риска на БФБ</w:t>
      </w:r>
      <w:r w:rsidR="00150F52" w:rsidRPr="00A13CEF">
        <w:rPr>
          <w:rFonts w:cstheme="minorHAnsi"/>
        </w:rPr>
        <w:t>.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Пазарен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Ценови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Валутен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- Лихвен риск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Ликвиден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4. </w:t>
      </w:r>
      <w:r w:rsidRPr="00A13CEF">
        <w:rPr>
          <w:rFonts w:cstheme="minorHAnsi"/>
          <w:b/>
        </w:rPr>
        <w:t>Общи (систематични) рискове</w:t>
      </w:r>
      <w:r w:rsidRPr="00A13CEF">
        <w:rPr>
          <w:rFonts w:cstheme="minorHAnsi"/>
        </w:rPr>
        <w:t xml:space="preserve"> - Общите рискове произтичат от възможни промени в цялостната икономическа система и по-конкретно, промяна на условията на финансовите пазари. Те не могат да се </w:t>
      </w:r>
      <w:proofErr w:type="spellStart"/>
      <w:r w:rsidRPr="00A13CEF">
        <w:rPr>
          <w:rFonts w:cstheme="minorHAnsi"/>
        </w:rPr>
        <w:t>диверсифицират</w:t>
      </w:r>
      <w:proofErr w:type="spellEnd"/>
      <w:r w:rsidRPr="00A13CEF">
        <w:rPr>
          <w:rFonts w:cstheme="minorHAnsi"/>
        </w:rPr>
        <w:t xml:space="preserve">, тъй като на тях са изложени всички стопански субекти в страната. 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Кредитен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Икономически растеж и външна задлъжнялост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Инфлационен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Безработица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Валутен риск и валутен борд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Лихвен риск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Данъчно облагане</w:t>
      </w:r>
    </w:p>
    <w:p w:rsidR="00062DD2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- Други системни рискове</w:t>
      </w:r>
    </w:p>
    <w:p w:rsidR="00062DD2" w:rsidRPr="00A13CEF" w:rsidRDefault="00062DD2" w:rsidP="001A50AB">
      <w:pPr>
        <w:rPr>
          <w:rFonts w:cstheme="minorHAnsi"/>
        </w:rPr>
      </w:pPr>
    </w:p>
    <w:p w:rsidR="00B42AAA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>Подробно описание на рисковете, характерни за дейността на</w:t>
      </w:r>
      <w:r w:rsidR="00150F52" w:rsidRPr="00A13CEF">
        <w:rPr>
          <w:rFonts w:cstheme="minorHAnsi"/>
        </w:rPr>
        <w:t xml:space="preserve">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>, е представено в т. 4 „Рискови фактори” от регистрационния документ (стр. 12 – 24), пр</w:t>
      </w:r>
      <w:r w:rsidR="00165B8B" w:rsidRPr="00A13CEF">
        <w:rPr>
          <w:rFonts w:cstheme="minorHAnsi"/>
        </w:rPr>
        <w:t>едставляващ Част І от одобрения</w:t>
      </w:r>
      <w:r w:rsidRPr="00A13CEF">
        <w:rPr>
          <w:rFonts w:cstheme="minorHAnsi"/>
        </w:rPr>
        <w:t xml:space="preserve"> от </w:t>
      </w:r>
      <w:r w:rsidR="00150F52" w:rsidRPr="00A13CEF">
        <w:rPr>
          <w:rFonts w:cstheme="minorHAnsi"/>
        </w:rPr>
        <w:t>Комисията за</w:t>
      </w:r>
      <w:r w:rsidRPr="00A13CEF">
        <w:rPr>
          <w:rFonts w:cstheme="minorHAnsi"/>
        </w:rPr>
        <w:t xml:space="preserve"> финансов надзор проспект с решение № 816 – ПД/15.12.2010 г. за допускане на акциите на БФБ до търговия на регулиран пазар. Проспектът може да бъде намерен на интернет страницата на БФ</w:t>
      </w:r>
      <w:r w:rsidR="00150F52" w:rsidRPr="00A13CEF">
        <w:rPr>
          <w:rFonts w:cstheme="minorHAnsi"/>
        </w:rPr>
        <w:t xml:space="preserve"> 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 в секция „Проспект на БФБ</w:t>
      </w:r>
      <w:r w:rsidR="00150F52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”.</w:t>
      </w:r>
    </w:p>
    <w:p w:rsidR="00B42AAA" w:rsidRPr="00A13CEF" w:rsidRDefault="00B42AAA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8C47C4" w:rsidRPr="00A13CEF" w:rsidRDefault="008C47C4" w:rsidP="001A50AB">
      <w:pPr>
        <w:pStyle w:val="Mainnumbers"/>
        <w:rPr>
          <w:rFonts w:cstheme="minorHAnsi"/>
        </w:rPr>
      </w:pPr>
      <w:bookmarkStart w:id="72" w:name="_Toc520473889"/>
      <w:r w:rsidRPr="00A13CEF">
        <w:rPr>
          <w:rFonts w:cstheme="minorHAnsi"/>
        </w:rPr>
        <w:lastRenderedPageBreak/>
        <w:t xml:space="preserve">Акционерна структура на </w:t>
      </w:r>
      <w:bookmarkEnd w:id="68"/>
      <w:r w:rsidR="00636F5A">
        <w:rPr>
          <w:rFonts w:cstheme="minorHAnsi"/>
        </w:rPr>
        <w:t>Българска фондова борса - София</w:t>
      </w:r>
      <w:bookmarkEnd w:id="72"/>
    </w:p>
    <w:p w:rsidR="009272B2" w:rsidRPr="00A13CEF" w:rsidRDefault="009272B2" w:rsidP="001A50AB">
      <w:pPr>
        <w:rPr>
          <w:rFonts w:cstheme="minorHAnsi"/>
        </w:rPr>
      </w:pPr>
      <w:r w:rsidRPr="00A13CEF">
        <w:rPr>
          <w:rFonts w:cstheme="minorHAnsi"/>
        </w:rPr>
        <w:t xml:space="preserve">Съгласно направена справка, към </w:t>
      </w:r>
      <w:r w:rsidR="00B828AE" w:rsidRPr="00A13CEF">
        <w:rPr>
          <w:rFonts w:cstheme="minorHAnsi"/>
        </w:rPr>
        <w:t>30</w:t>
      </w:r>
      <w:r w:rsidRPr="00A13CEF">
        <w:rPr>
          <w:rFonts w:cstheme="minorHAnsi"/>
        </w:rPr>
        <w:t xml:space="preserve"> </w:t>
      </w:r>
      <w:r w:rsidR="00B828AE" w:rsidRPr="00A13CEF">
        <w:rPr>
          <w:rFonts w:cstheme="minorHAnsi"/>
        </w:rPr>
        <w:t xml:space="preserve">юни </w:t>
      </w:r>
      <w:r w:rsidRPr="00A13CEF">
        <w:rPr>
          <w:rFonts w:cstheme="minorHAnsi"/>
        </w:rPr>
        <w:t>201</w:t>
      </w:r>
      <w:r w:rsidR="00150F52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г. акционерният състав на Борсата е концентриран в четири основни вида лица, както следва:</w:t>
      </w:r>
    </w:p>
    <w:p w:rsidR="00150F52" w:rsidRPr="00A13CEF" w:rsidRDefault="0064218C" w:rsidP="00845A03">
      <w:pPr>
        <w:pStyle w:val="a1"/>
        <w:jc w:val="left"/>
        <w:rPr>
          <w:rFonts w:cstheme="minorHAnsi"/>
          <w:i w:val="0"/>
        </w:rPr>
      </w:pPr>
      <w:r w:rsidRPr="00A13CEF">
        <w:rPr>
          <w:rFonts w:cstheme="minorHAnsi"/>
          <w:i w:val="0"/>
        </w:rPr>
        <w:t xml:space="preserve">Таблица 12. Акционерна структура към </w:t>
      </w:r>
      <w:r w:rsidR="00B828AE" w:rsidRPr="00A13CEF">
        <w:rPr>
          <w:rFonts w:cstheme="minorHAnsi"/>
          <w:i w:val="0"/>
        </w:rPr>
        <w:t>30</w:t>
      </w:r>
      <w:r w:rsidRPr="00A13CEF">
        <w:rPr>
          <w:rFonts w:cstheme="minorHAnsi"/>
          <w:i w:val="0"/>
        </w:rPr>
        <w:t>.</w:t>
      </w:r>
      <w:r w:rsidR="00B828AE" w:rsidRPr="00A13CEF">
        <w:rPr>
          <w:rFonts w:cstheme="minorHAnsi"/>
          <w:i w:val="0"/>
        </w:rPr>
        <w:t>06</w:t>
      </w:r>
      <w:r w:rsidRPr="00A13CEF">
        <w:rPr>
          <w:rFonts w:cstheme="minorHAnsi"/>
          <w:i w:val="0"/>
        </w:rPr>
        <w:t>.201</w:t>
      </w:r>
      <w:r w:rsidR="00150F52" w:rsidRPr="00A13CEF">
        <w:rPr>
          <w:rFonts w:cstheme="minorHAnsi"/>
          <w:i w:val="0"/>
        </w:rPr>
        <w:t>8</w:t>
      </w:r>
      <w:r w:rsidR="00AD5F5B" w:rsidRPr="00A13CEF">
        <w:rPr>
          <w:rFonts w:cstheme="minorHAnsi"/>
          <w:i w:val="0"/>
        </w:rPr>
        <w:t xml:space="preserve"> г.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95"/>
        <w:gridCol w:w="1795"/>
        <w:gridCol w:w="960"/>
      </w:tblGrid>
      <w:tr w:rsidR="00150F52" w:rsidRPr="00A13CEF" w:rsidTr="004D1FE8">
        <w:trPr>
          <w:trHeight w:val="170"/>
          <w:jc w:val="center"/>
        </w:trPr>
        <w:tc>
          <w:tcPr>
            <w:tcW w:w="4795" w:type="dxa"/>
            <w:shd w:val="clear" w:color="auto" w:fill="4F81BD" w:themeFill="accent1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Вид</w:t>
            </w:r>
          </w:p>
        </w:tc>
        <w:tc>
          <w:tcPr>
            <w:tcW w:w="1795" w:type="dxa"/>
            <w:shd w:val="clear" w:color="auto" w:fill="4F81BD" w:themeFill="accent1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Брой акции</w:t>
            </w:r>
          </w:p>
        </w:tc>
        <w:tc>
          <w:tcPr>
            <w:tcW w:w="960" w:type="dxa"/>
            <w:shd w:val="clear" w:color="auto" w:fill="4F81BD" w:themeFill="accent1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%</w:t>
            </w:r>
          </w:p>
        </w:tc>
      </w:tr>
      <w:tr w:rsidR="00150F52" w:rsidRPr="00A13CEF" w:rsidTr="004D1FE8">
        <w:trPr>
          <w:trHeight w:val="170"/>
          <w:jc w:val="center"/>
        </w:trPr>
        <w:tc>
          <w:tcPr>
            <w:tcW w:w="4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Министерство на финансите</w:t>
            </w:r>
          </w:p>
        </w:tc>
        <w:tc>
          <w:tcPr>
            <w:tcW w:w="1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3 295 000</w:t>
            </w:r>
          </w:p>
        </w:tc>
        <w:tc>
          <w:tcPr>
            <w:tcW w:w="960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50.05%</w:t>
            </w:r>
          </w:p>
        </w:tc>
      </w:tr>
      <w:tr w:rsidR="00150F52" w:rsidRPr="00A13CEF" w:rsidTr="004D1FE8">
        <w:trPr>
          <w:trHeight w:val="170"/>
          <w:jc w:val="center"/>
        </w:trPr>
        <w:tc>
          <w:tcPr>
            <w:tcW w:w="4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Инвестиционни посредници и търговски банки</w:t>
            </w:r>
          </w:p>
        </w:tc>
        <w:tc>
          <w:tcPr>
            <w:tcW w:w="1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1 155 677</w:t>
            </w:r>
          </w:p>
        </w:tc>
        <w:tc>
          <w:tcPr>
            <w:tcW w:w="960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17.56%</w:t>
            </w:r>
          </w:p>
        </w:tc>
      </w:tr>
      <w:tr w:rsidR="00150F52" w:rsidRPr="00A13CEF" w:rsidTr="004D1FE8">
        <w:trPr>
          <w:trHeight w:val="170"/>
          <w:jc w:val="center"/>
        </w:trPr>
        <w:tc>
          <w:tcPr>
            <w:tcW w:w="4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Други юридически лица</w:t>
            </w:r>
          </w:p>
        </w:tc>
        <w:tc>
          <w:tcPr>
            <w:tcW w:w="1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1 238 931</w:t>
            </w:r>
          </w:p>
        </w:tc>
        <w:tc>
          <w:tcPr>
            <w:tcW w:w="960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18.82%</w:t>
            </w:r>
          </w:p>
        </w:tc>
      </w:tr>
      <w:tr w:rsidR="00150F52" w:rsidRPr="00A13CEF" w:rsidTr="004D1FE8">
        <w:trPr>
          <w:trHeight w:val="170"/>
          <w:jc w:val="center"/>
        </w:trPr>
        <w:tc>
          <w:tcPr>
            <w:tcW w:w="4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Физически лица</w:t>
            </w:r>
          </w:p>
        </w:tc>
        <w:tc>
          <w:tcPr>
            <w:tcW w:w="1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893 252</w:t>
            </w:r>
          </w:p>
        </w:tc>
        <w:tc>
          <w:tcPr>
            <w:tcW w:w="960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13.57%</w:t>
            </w:r>
          </w:p>
        </w:tc>
      </w:tr>
      <w:tr w:rsidR="00150F52" w:rsidRPr="00A13CEF" w:rsidTr="004D1FE8">
        <w:trPr>
          <w:trHeight w:val="170"/>
          <w:jc w:val="center"/>
        </w:trPr>
        <w:tc>
          <w:tcPr>
            <w:tcW w:w="4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1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6 582 860</w:t>
            </w:r>
          </w:p>
        </w:tc>
        <w:tc>
          <w:tcPr>
            <w:tcW w:w="960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150F52" w:rsidRPr="00A13CEF" w:rsidTr="004D1FE8">
        <w:trPr>
          <w:trHeight w:val="170"/>
          <w:jc w:val="center"/>
        </w:trPr>
        <w:tc>
          <w:tcPr>
            <w:tcW w:w="4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От които чуждестранни акционери</w:t>
            </w:r>
          </w:p>
        </w:tc>
        <w:tc>
          <w:tcPr>
            <w:tcW w:w="1795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225 077</w:t>
            </w:r>
          </w:p>
        </w:tc>
        <w:tc>
          <w:tcPr>
            <w:tcW w:w="960" w:type="dxa"/>
          </w:tcPr>
          <w:p w:rsidR="00150F52" w:rsidRPr="00A13CEF" w:rsidRDefault="00150F52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3.42%</w:t>
            </w:r>
          </w:p>
        </w:tc>
      </w:tr>
    </w:tbl>
    <w:p w:rsidR="006A5C20" w:rsidRPr="00A13CEF" w:rsidRDefault="006A5C20" w:rsidP="001A50AB">
      <w:pPr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75"/>
      </w:tblGrid>
      <w:tr w:rsidR="0064218C" w:rsidRPr="00A13CEF" w:rsidTr="00845A03">
        <w:trPr>
          <w:jc w:val="center"/>
        </w:trPr>
        <w:tc>
          <w:tcPr>
            <w:tcW w:w="9675" w:type="dxa"/>
          </w:tcPr>
          <w:p w:rsidR="0064218C" w:rsidRPr="00A13CEF" w:rsidRDefault="0064218C" w:rsidP="00845A03">
            <w:pPr>
              <w:jc w:val="left"/>
              <w:rPr>
                <w:rFonts w:cstheme="minorHAnsi"/>
                <w:sz w:val="20"/>
                <w:szCs w:val="20"/>
              </w:rPr>
            </w:pPr>
            <w:r w:rsidRPr="00A13CEF">
              <w:rPr>
                <w:rFonts w:cstheme="minorHAnsi"/>
                <w:sz w:val="20"/>
                <w:szCs w:val="20"/>
              </w:rPr>
              <w:t xml:space="preserve">Графика </w:t>
            </w:r>
            <w:r w:rsidR="00E42E29" w:rsidRPr="00A13CEF">
              <w:rPr>
                <w:rFonts w:cstheme="minorHAnsi"/>
                <w:sz w:val="20"/>
                <w:szCs w:val="20"/>
              </w:rPr>
              <w:t>7</w:t>
            </w:r>
            <w:r w:rsidRPr="00A13CEF">
              <w:rPr>
                <w:rFonts w:cstheme="minorHAnsi"/>
                <w:sz w:val="20"/>
                <w:szCs w:val="20"/>
              </w:rPr>
              <w:t>: Акционерна структура на „</w:t>
            </w:r>
            <w:r w:rsidR="00636F5A">
              <w:rPr>
                <w:rFonts w:cstheme="minorHAnsi"/>
                <w:sz w:val="20"/>
                <w:szCs w:val="20"/>
              </w:rPr>
              <w:t>Българска фондова борса - София</w:t>
            </w:r>
            <w:r w:rsidRPr="00A13CEF">
              <w:rPr>
                <w:rFonts w:cstheme="minorHAnsi"/>
                <w:sz w:val="20"/>
                <w:szCs w:val="20"/>
              </w:rPr>
              <w:t xml:space="preserve">“ АД към </w:t>
            </w:r>
            <w:r w:rsidR="00B828AE" w:rsidRPr="00A13CEF">
              <w:rPr>
                <w:rFonts w:cstheme="minorHAnsi"/>
                <w:sz w:val="20"/>
                <w:szCs w:val="20"/>
              </w:rPr>
              <w:t>30</w:t>
            </w:r>
            <w:r w:rsidRPr="00A13CEF">
              <w:rPr>
                <w:rFonts w:cstheme="minorHAnsi"/>
                <w:sz w:val="20"/>
                <w:szCs w:val="20"/>
              </w:rPr>
              <w:t>.</w:t>
            </w:r>
            <w:r w:rsidR="00B828AE" w:rsidRPr="00A13CEF">
              <w:rPr>
                <w:rFonts w:cstheme="minorHAnsi"/>
                <w:sz w:val="20"/>
                <w:szCs w:val="20"/>
              </w:rPr>
              <w:t>06</w:t>
            </w:r>
            <w:r w:rsidRPr="00A13CEF">
              <w:rPr>
                <w:rFonts w:cstheme="minorHAnsi"/>
                <w:sz w:val="20"/>
                <w:szCs w:val="20"/>
              </w:rPr>
              <w:t>.201</w:t>
            </w:r>
            <w:r w:rsidR="00A13CEF">
              <w:rPr>
                <w:rFonts w:cstheme="minorHAnsi"/>
                <w:sz w:val="20"/>
                <w:szCs w:val="20"/>
              </w:rPr>
              <w:t>8</w:t>
            </w:r>
            <w:r w:rsidRPr="00A13CEF">
              <w:rPr>
                <w:rFonts w:cstheme="minorHAnsi"/>
                <w:sz w:val="20"/>
                <w:szCs w:val="20"/>
              </w:rPr>
              <w:t xml:space="preserve"> г.</w:t>
            </w:r>
          </w:p>
        </w:tc>
      </w:tr>
      <w:tr w:rsidR="0064218C" w:rsidRPr="00A13CEF" w:rsidTr="00845A03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675" w:type="dxa"/>
          </w:tcPr>
          <w:p w:rsidR="0064218C" w:rsidRPr="00A13CEF" w:rsidRDefault="00150F52" w:rsidP="001A50AB">
            <w:pPr>
              <w:rPr>
                <w:rFonts w:cstheme="minorHAnsi"/>
                <w:sz w:val="12"/>
                <w:szCs w:val="12"/>
              </w:rPr>
            </w:pPr>
            <w:r w:rsidRPr="00A13CEF">
              <w:rPr>
                <w:rFonts w:cstheme="minorHAnsi"/>
                <w:noProof/>
                <w:lang w:val="en-US" w:eastAsia="en-US"/>
              </w:rPr>
              <w:drawing>
                <wp:inline distT="0" distB="0" distL="0" distR="0" wp14:anchorId="448E4620" wp14:editId="2790A095">
                  <wp:extent cx="5586825" cy="3277040"/>
                  <wp:effectExtent l="0" t="0" r="13970" b="0"/>
                  <wp:docPr id="23" name="Chart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C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</wp:inline>
              </w:drawing>
            </w:r>
          </w:p>
        </w:tc>
      </w:tr>
    </w:tbl>
    <w:p w:rsidR="00B42AAA" w:rsidRPr="00A13CEF" w:rsidRDefault="00B42AAA" w:rsidP="001A50AB">
      <w:pPr>
        <w:rPr>
          <w:rFonts w:cstheme="minorHAnsi"/>
        </w:rPr>
      </w:pPr>
      <w:bookmarkStart w:id="73" w:name="_Toc283112130"/>
    </w:p>
    <w:p w:rsidR="00B42AAA" w:rsidRPr="00A13CEF" w:rsidRDefault="00B42AAA" w:rsidP="001A50AB">
      <w:pPr>
        <w:rPr>
          <w:rFonts w:cstheme="minorHAnsi"/>
        </w:rPr>
      </w:pPr>
      <w:r w:rsidRPr="00A13CEF">
        <w:rPr>
          <w:rFonts w:cstheme="minorHAnsi"/>
        </w:rPr>
        <w:br w:type="page"/>
      </w:r>
    </w:p>
    <w:p w:rsidR="008C47C4" w:rsidRPr="00A13CEF" w:rsidRDefault="002735FE" w:rsidP="001A50AB">
      <w:pPr>
        <w:pStyle w:val="Mainnumbers"/>
        <w:rPr>
          <w:rFonts w:cstheme="minorHAnsi"/>
        </w:rPr>
      </w:pPr>
      <w:bookmarkStart w:id="74" w:name="_Toc520473890"/>
      <w:r w:rsidRPr="00A13CEF">
        <w:rPr>
          <w:rFonts w:cstheme="minorHAnsi"/>
        </w:rPr>
        <w:lastRenderedPageBreak/>
        <w:t>Ч</w:t>
      </w:r>
      <w:r w:rsidR="008C47C4" w:rsidRPr="00A13CEF">
        <w:rPr>
          <w:rFonts w:cstheme="minorHAnsi"/>
        </w:rPr>
        <w:t xml:space="preserve">ленове на </w:t>
      </w:r>
      <w:bookmarkEnd w:id="73"/>
      <w:r w:rsidR="00636F5A">
        <w:rPr>
          <w:rFonts w:cstheme="minorHAnsi"/>
        </w:rPr>
        <w:t>Българска фондова борса - София</w:t>
      </w:r>
      <w:bookmarkEnd w:id="74"/>
    </w:p>
    <w:p w:rsidR="002823D4" w:rsidRPr="00A13CEF" w:rsidRDefault="008E535E" w:rsidP="001A50AB">
      <w:pPr>
        <w:rPr>
          <w:rFonts w:cstheme="minorHAnsi"/>
        </w:rPr>
      </w:pPr>
      <w:bookmarkStart w:id="75" w:name="_Toc142469810"/>
      <w:r w:rsidRPr="00A13CEF">
        <w:rPr>
          <w:rFonts w:cstheme="minorHAnsi"/>
        </w:rPr>
        <w:t xml:space="preserve">През </w:t>
      </w:r>
      <w:r w:rsidR="00037954" w:rsidRPr="00A13CEF">
        <w:rPr>
          <w:rFonts w:cstheme="minorHAnsi"/>
        </w:rPr>
        <w:t>първото</w:t>
      </w:r>
      <w:r w:rsidRPr="00A13CEF">
        <w:rPr>
          <w:rFonts w:cstheme="minorHAnsi"/>
        </w:rPr>
        <w:t xml:space="preserve"> </w:t>
      </w:r>
      <w:r w:rsidR="0090242D" w:rsidRPr="00A13CEF">
        <w:rPr>
          <w:rFonts w:cstheme="minorHAnsi"/>
        </w:rPr>
        <w:t>шест</w:t>
      </w:r>
      <w:r w:rsidR="002823D4" w:rsidRPr="00A13CEF">
        <w:rPr>
          <w:rFonts w:cstheme="minorHAnsi"/>
        </w:rPr>
        <w:t xml:space="preserve">месечие </w:t>
      </w:r>
      <w:r w:rsidR="00732C72" w:rsidRPr="00A13CEF">
        <w:rPr>
          <w:rFonts w:cstheme="minorHAnsi"/>
        </w:rPr>
        <w:t>на 201</w:t>
      </w:r>
      <w:r w:rsidR="00845A03" w:rsidRPr="00A13CEF">
        <w:rPr>
          <w:rFonts w:cstheme="minorHAnsi"/>
        </w:rPr>
        <w:t>8</w:t>
      </w:r>
      <w:r w:rsidR="00732C72" w:rsidRPr="00A13CEF">
        <w:rPr>
          <w:rFonts w:cstheme="minorHAnsi"/>
        </w:rPr>
        <w:t xml:space="preserve"> г.</w:t>
      </w:r>
      <w:r w:rsidR="00845A03" w:rsidRPr="00A13CEF">
        <w:rPr>
          <w:rFonts w:cstheme="minorHAnsi"/>
        </w:rPr>
        <w:t xml:space="preserve"> няма промяна в състава на членовете на Борсата</w:t>
      </w:r>
      <w:r w:rsidRPr="00A13CEF">
        <w:rPr>
          <w:rFonts w:cstheme="minorHAnsi"/>
        </w:rPr>
        <w:t xml:space="preserve">. </w:t>
      </w:r>
      <w:r w:rsidR="00B60023" w:rsidRPr="00A13CEF">
        <w:rPr>
          <w:rFonts w:cstheme="minorHAnsi"/>
        </w:rPr>
        <w:t xml:space="preserve">Така в края на отчетния период </w:t>
      </w:r>
      <w:r w:rsidR="00845A03" w:rsidRPr="00A13CEF">
        <w:rPr>
          <w:rFonts w:cstheme="minorHAnsi"/>
        </w:rPr>
        <w:t xml:space="preserve">те </w:t>
      </w:r>
      <w:r w:rsidR="00B60023" w:rsidRPr="00A13CEF">
        <w:rPr>
          <w:rFonts w:cstheme="minorHAnsi"/>
        </w:rPr>
        <w:t xml:space="preserve">са </w:t>
      </w:r>
      <w:r w:rsidR="00732C72" w:rsidRPr="00A13CEF">
        <w:rPr>
          <w:rFonts w:cstheme="minorHAnsi"/>
        </w:rPr>
        <w:t>5</w:t>
      </w:r>
      <w:r w:rsidR="00DC1F5D" w:rsidRPr="00A13CEF">
        <w:rPr>
          <w:rFonts w:cstheme="minorHAnsi"/>
        </w:rPr>
        <w:t>1</w:t>
      </w:r>
      <w:r w:rsidR="002823D4" w:rsidRPr="00A13CEF">
        <w:rPr>
          <w:rFonts w:cstheme="minorHAnsi"/>
        </w:rPr>
        <w:t xml:space="preserve"> (виж Таблица </w:t>
      </w:r>
      <w:r w:rsidR="006A4511" w:rsidRPr="00A13CEF">
        <w:rPr>
          <w:rFonts w:cstheme="minorHAnsi"/>
        </w:rPr>
        <w:t>13</w:t>
      </w:r>
      <w:r w:rsidR="002823D4" w:rsidRPr="00A13CEF">
        <w:rPr>
          <w:rFonts w:cstheme="minorHAnsi"/>
        </w:rPr>
        <w:t>).</w:t>
      </w:r>
    </w:p>
    <w:p w:rsidR="0064218C" w:rsidRPr="00A13CEF" w:rsidRDefault="0064218C" w:rsidP="001A50AB">
      <w:pPr>
        <w:rPr>
          <w:rFonts w:cstheme="minorHAnsi"/>
        </w:rPr>
      </w:pPr>
    </w:p>
    <w:p w:rsidR="00845A03" w:rsidRPr="00A13CEF" w:rsidRDefault="0064218C" w:rsidP="001A50AB">
      <w:pPr>
        <w:rPr>
          <w:rFonts w:cstheme="minorHAnsi"/>
        </w:rPr>
      </w:pPr>
      <w:r w:rsidRPr="00A13CEF">
        <w:rPr>
          <w:rFonts w:cstheme="minorHAnsi"/>
        </w:rPr>
        <w:t>Таблица 1</w:t>
      </w:r>
      <w:r w:rsidR="00455C02" w:rsidRPr="00A13CEF">
        <w:rPr>
          <w:rFonts w:cstheme="minorHAnsi"/>
        </w:rPr>
        <w:t>3</w:t>
      </w:r>
      <w:r w:rsidRPr="00A13CEF">
        <w:rPr>
          <w:rFonts w:cstheme="minorHAnsi"/>
        </w:rPr>
        <w:t xml:space="preserve">. Членове на БФБ към </w:t>
      </w:r>
      <w:r w:rsidR="0090242D" w:rsidRPr="00A13CEF">
        <w:rPr>
          <w:rFonts w:cstheme="minorHAnsi"/>
        </w:rPr>
        <w:t>30</w:t>
      </w:r>
      <w:r w:rsidR="00732C72" w:rsidRPr="00A13CEF">
        <w:rPr>
          <w:rFonts w:cstheme="minorHAnsi"/>
        </w:rPr>
        <w:t>.</w:t>
      </w:r>
      <w:r w:rsidR="0090242D" w:rsidRPr="00A13CEF">
        <w:rPr>
          <w:rFonts w:cstheme="minorHAnsi"/>
        </w:rPr>
        <w:t>06</w:t>
      </w:r>
      <w:r w:rsidR="00037954" w:rsidRPr="00A13CEF">
        <w:rPr>
          <w:rFonts w:cstheme="minorHAnsi"/>
        </w:rPr>
        <w:t>.201</w:t>
      </w:r>
      <w:r w:rsidR="00845A03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г.</w:t>
      </w:r>
    </w:p>
    <w:tbl>
      <w:tblPr>
        <w:tblW w:w="10183" w:type="dxa"/>
        <w:tblInd w:w="93" w:type="dxa"/>
        <w:tblLook w:val="04A0" w:firstRow="1" w:lastRow="0" w:firstColumn="1" w:lastColumn="0" w:noHBand="0" w:noVBand="1"/>
      </w:tblPr>
      <w:tblGrid>
        <w:gridCol w:w="5260"/>
        <w:gridCol w:w="4923"/>
      </w:tblGrid>
      <w:tr w:rsidR="00845A03" w:rsidRPr="00A13CEF" w:rsidTr="004D1FE8">
        <w:trPr>
          <w:trHeight w:val="170"/>
        </w:trPr>
        <w:tc>
          <w:tcPr>
            <w:tcW w:w="52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WOOD &amp;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Company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Financial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Services,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a.s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49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"Фаворит"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"АБВ Инвестиции"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"Фактори"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Авал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ИН"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"ФК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Евър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"АВС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Фоукал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Пойнт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Инвестмънтс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Адамант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Кепитъл Партнърс"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Ъп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Тренд" ООД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"Балканска Инвестиционна Компания"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"ЮГ Маркет"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"Балканска консултантска компания-ИП"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"Алианц Банк България"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БенчМарк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"Банка ДСК" ЕАД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"Бета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Корп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ТБ "Банка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Пиреос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България"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Булброкърс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"Българо-Американска Кредитна Банка"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"Варчев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"Българска Банка за развитие"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"Д.И.С.Л.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Секюритийс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"Виктория" ЕАД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"Де Ново"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Инвестбанк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"Ди Ви Инвест"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ТБ "Интернешънъл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Асет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Банк"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Дилингова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Финансова Компания"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"Обединена Българска Банка"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"Евро -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"Общинска Банка"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"Елана Трейдинг"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"Първа Инвестиционна Банка"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"Загора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Финакорп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"Райфайзенбанк - България"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Интеркапитал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Маркетс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Тексим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банк"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Капман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Ти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Би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Ай Банк" ЕАД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"Карол"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"Токуда Банк"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"Кепитъл Инвест"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"Търговска Банка Д"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"Кепитъл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Маркетс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"УниКредит Булбанк"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ИП "Първа Финансова Брокерска Къща"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"Централна Кооперативна Банка"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"Реал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Юробанк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 България" АД</w:t>
            </w:r>
          </w:p>
        </w:tc>
      </w:tr>
      <w:tr w:rsidR="00845A03" w:rsidRPr="00A13CEF" w:rsidTr="004D1FE8">
        <w:trPr>
          <w:trHeight w:val="170"/>
        </w:trPr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 xml:space="preserve">ИП "София Интернешънъл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Секюритиз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845A03" w:rsidRPr="00A13CEF" w:rsidRDefault="00845A03" w:rsidP="00CA3118">
            <w:pPr>
              <w:widowControl/>
              <w:jc w:val="left"/>
              <w:rPr>
                <w:rFonts w:cstheme="minorHAnsi"/>
                <w:color w:val="000000"/>
                <w:sz w:val="20"/>
                <w:szCs w:val="20"/>
                <w:lang w:eastAsia="en-US"/>
              </w:rPr>
            </w:pPr>
          </w:p>
        </w:tc>
      </w:tr>
    </w:tbl>
    <w:p w:rsidR="00DC1F5D" w:rsidRPr="00A13CEF" w:rsidRDefault="00DC1F5D" w:rsidP="001A50AB">
      <w:pPr>
        <w:rPr>
          <w:rFonts w:cstheme="minorHAnsi"/>
        </w:rPr>
      </w:pPr>
    </w:p>
    <w:p w:rsidR="00113FAF" w:rsidRPr="00A13CEF" w:rsidRDefault="00A916CF" w:rsidP="00845A03">
      <w:pPr>
        <w:pStyle w:val="Mainnumbers"/>
        <w:spacing w:before="0"/>
        <w:rPr>
          <w:rFonts w:cstheme="minorHAnsi"/>
        </w:rPr>
      </w:pPr>
      <w:r w:rsidRPr="00A13CEF">
        <w:rPr>
          <w:rFonts w:cstheme="minorHAnsi"/>
        </w:rPr>
        <w:br w:type="page"/>
      </w:r>
      <w:bookmarkStart w:id="76" w:name="_Toc283112131"/>
      <w:bookmarkStart w:id="77" w:name="_Toc520473891"/>
      <w:r w:rsidR="00113FAF" w:rsidRPr="00A13CEF">
        <w:rPr>
          <w:rFonts w:cstheme="minorHAnsi"/>
        </w:rPr>
        <w:lastRenderedPageBreak/>
        <w:t>Финансово състояние на</w:t>
      </w:r>
      <w:r w:rsidR="00062DD2" w:rsidRPr="00A13CEF">
        <w:rPr>
          <w:rFonts w:cstheme="minorHAnsi"/>
        </w:rPr>
        <w:t xml:space="preserve"> </w:t>
      </w:r>
      <w:bookmarkEnd w:id="75"/>
      <w:bookmarkEnd w:id="76"/>
      <w:r w:rsidR="00636F5A">
        <w:rPr>
          <w:rFonts w:cstheme="minorHAnsi"/>
        </w:rPr>
        <w:t>Българска фондова борса - София</w:t>
      </w:r>
      <w:bookmarkEnd w:id="77"/>
    </w:p>
    <w:p w:rsidR="00222118" w:rsidRPr="00A13CEF" w:rsidRDefault="00062DD2" w:rsidP="001A50AB">
      <w:pPr>
        <w:rPr>
          <w:rFonts w:cstheme="minorHAnsi"/>
        </w:rPr>
      </w:pPr>
      <w:r w:rsidRPr="00A13CEF">
        <w:rPr>
          <w:rFonts w:cstheme="minorHAnsi"/>
        </w:rPr>
        <w:t xml:space="preserve">Финансовият отчет на </w:t>
      </w:r>
      <w:r w:rsidR="00636F5A">
        <w:rPr>
          <w:rFonts w:cstheme="minorHAnsi"/>
        </w:rPr>
        <w:t>Българска фондова борса - София</w:t>
      </w:r>
      <w:r w:rsidR="00845A03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 xml:space="preserve">АД е изготвен съгласно приетата счетоводна политика на </w:t>
      </w:r>
      <w:r w:rsidR="009B30B6" w:rsidRPr="00A13CEF">
        <w:rPr>
          <w:rFonts w:cstheme="minorHAnsi"/>
        </w:rPr>
        <w:t>БФБ</w:t>
      </w:r>
      <w:r w:rsidR="001230A8" w:rsidRPr="00A13CEF">
        <w:rPr>
          <w:rFonts w:cstheme="minorHAnsi"/>
        </w:rPr>
        <w:t xml:space="preserve"> и пред</w:t>
      </w:r>
      <w:r w:rsidRPr="00A13CEF">
        <w:rPr>
          <w:rFonts w:cstheme="minorHAnsi"/>
        </w:rPr>
        <w:t>ставя информация за финансовото й състояние и резултатите от дейността й.</w:t>
      </w:r>
    </w:p>
    <w:p w:rsidR="00455C02" w:rsidRPr="00A13CEF" w:rsidRDefault="00455C02" w:rsidP="001A50AB">
      <w:pPr>
        <w:pStyle w:val="SubNumbers"/>
        <w:rPr>
          <w:rFonts w:cstheme="minorHAnsi"/>
        </w:rPr>
      </w:pPr>
      <w:bookmarkStart w:id="78" w:name="_Toc402281951"/>
      <w:bookmarkStart w:id="79" w:name="_Toc386535702"/>
      <w:bookmarkStart w:id="80" w:name="_Toc520473892"/>
      <w:r w:rsidRPr="00A13CEF">
        <w:rPr>
          <w:rFonts w:cstheme="minorHAnsi"/>
        </w:rPr>
        <w:t>Активи/пасиви</w:t>
      </w:r>
      <w:bookmarkEnd w:id="78"/>
      <w:bookmarkEnd w:id="80"/>
    </w:p>
    <w:p w:rsidR="00845A03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>Сумата на активите на „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“ АД към края на </w:t>
      </w:r>
      <w:r w:rsidR="0007349E" w:rsidRPr="00A13CEF">
        <w:rPr>
          <w:rFonts w:cstheme="minorHAnsi"/>
        </w:rPr>
        <w:t xml:space="preserve">първото полугодие на </w:t>
      </w:r>
      <w:r w:rsidRPr="00A13CEF">
        <w:rPr>
          <w:rFonts w:cstheme="minorHAnsi"/>
        </w:rPr>
        <w:t>201</w:t>
      </w:r>
      <w:r w:rsidR="0007349E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г. беше с </w:t>
      </w:r>
      <w:r w:rsidR="0007349E" w:rsidRPr="00A13CEF">
        <w:rPr>
          <w:rFonts w:cstheme="minorHAnsi"/>
        </w:rPr>
        <w:t>1 767</w:t>
      </w:r>
      <w:r w:rsidRPr="00A13CEF">
        <w:rPr>
          <w:rFonts w:cstheme="minorHAnsi"/>
        </w:rPr>
        <w:t xml:space="preserve"> хил. лв. (1</w:t>
      </w:r>
      <w:r w:rsidR="0007349E" w:rsidRPr="00A13CEF">
        <w:rPr>
          <w:rFonts w:cstheme="minorHAnsi"/>
        </w:rPr>
        <w:t>6</w:t>
      </w:r>
      <w:r w:rsidRPr="00A13CEF">
        <w:rPr>
          <w:rFonts w:cstheme="minorHAnsi"/>
        </w:rPr>
        <w:t>%) по-висока от стойността им в края на 2017 г. Основната промяна се дължи на придобиването на дъщерното дружество „Българска независима енергийна борса“ ЕАД. Покупката е отразена в позицията „Инвестиции в дъщерни дружества“, която нараства с 5,18 милиона. Първата вноска по покупката бе финансирана с продажба на държавни ценни книжа на Борсата, съгласно решение на Извънредното общо събрание, проведено на 26.09.2017 година. Съответно, с 4,02 милиона намаляха финансовите активи, държани до падеж, където бяха отразени продадените ДЦК. Останалата част от дължимата по придобиването сума е разсрочена и е отразена в пасивите в Текущи и нетекущи задължения според срока на дължимите суми.</w:t>
      </w:r>
    </w:p>
    <w:p w:rsidR="00845A03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 xml:space="preserve">Текущите активи нарастват с </w:t>
      </w:r>
      <w:r w:rsidR="0007349E" w:rsidRPr="00A13CEF">
        <w:rPr>
          <w:rFonts w:cstheme="minorHAnsi"/>
        </w:rPr>
        <w:t>23</w:t>
      </w:r>
      <w:r w:rsidRPr="00A13CEF">
        <w:rPr>
          <w:rFonts w:cstheme="minorHAnsi"/>
        </w:rPr>
        <w:t xml:space="preserve">% или </w:t>
      </w:r>
      <w:r w:rsidR="0007349E" w:rsidRPr="00A13CEF">
        <w:rPr>
          <w:rFonts w:cstheme="minorHAnsi"/>
        </w:rPr>
        <w:t>667</w:t>
      </w:r>
      <w:r w:rsidRPr="00A13CEF">
        <w:rPr>
          <w:rFonts w:cstheme="minorHAnsi"/>
        </w:rPr>
        <w:t xml:space="preserve"> хиляди лева, заради ръст на стойността на позицията Парични средства и парични еквиваленти с </w:t>
      </w:r>
      <w:r w:rsidR="0007349E" w:rsidRPr="00A13CEF">
        <w:rPr>
          <w:rFonts w:cstheme="minorHAnsi"/>
        </w:rPr>
        <w:t>638</w:t>
      </w:r>
      <w:r w:rsidRPr="00A13CEF">
        <w:rPr>
          <w:rFonts w:cstheme="minorHAnsi"/>
        </w:rPr>
        <w:t xml:space="preserve"> хиляди лева. Позицията отразява положителния резултат от продажбата на ДЦК, държани до падеж. Към края на </w:t>
      </w:r>
      <w:r w:rsidR="0007349E" w:rsidRPr="00A13CEF">
        <w:rPr>
          <w:rFonts w:cstheme="minorHAnsi"/>
        </w:rPr>
        <w:t>първото шестмесечие на 2018 година</w:t>
      </w:r>
      <w:r w:rsidRPr="00A13CEF">
        <w:rPr>
          <w:rFonts w:cstheme="minorHAnsi"/>
        </w:rPr>
        <w:t xml:space="preserve"> Борсата няма срочни депозити в банки.</w:t>
      </w:r>
    </w:p>
    <w:p w:rsidR="00845A03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 xml:space="preserve">По отношение на пасива, към края на 2017 година бе натрупана печалба в размер на </w:t>
      </w:r>
      <w:r w:rsidR="0007349E" w:rsidRPr="00A13CEF">
        <w:rPr>
          <w:rFonts w:cstheme="minorHAnsi"/>
        </w:rPr>
        <w:t>169</w:t>
      </w:r>
      <w:r w:rsidRPr="00A13CEF">
        <w:rPr>
          <w:rFonts w:cstheme="minorHAnsi"/>
        </w:rPr>
        <w:t xml:space="preserve"> хиляди лева. Към края на текущия период е натрупана печалба в размер на </w:t>
      </w:r>
      <w:r w:rsidR="0007349E" w:rsidRPr="00A13CEF">
        <w:rPr>
          <w:rFonts w:cstheme="minorHAnsi"/>
        </w:rPr>
        <w:t>393</w:t>
      </w:r>
      <w:r w:rsidRPr="00A13CEF">
        <w:rPr>
          <w:rFonts w:cstheme="minorHAnsi"/>
        </w:rPr>
        <w:t xml:space="preserve"> хиляди лева. Натрупаната печалба на дружеството в края на </w:t>
      </w:r>
      <w:r w:rsidR="0007349E" w:rsidRPr="00A13CEF">
        <w:rPr>
          <w:rFonts w:cstheme="minorHAnsi"/>
        </w:rPr>
        <w:t>шест</w:t>
      </w:r>
      <w:r w:rsidRPr="00A13CEF">
        <w:rPr>
          <w:rFonts w:cstheme="minorHAnsi"/>
        </w:rPr>
        <w:t>месечието се дължи основно на резултата от дейността през текущия период.</w:t>
      </w:r>
    </w:p>
    <w:p w:rsidR="00455C02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 xml:space="preserve">Текущите задължения отбелязаха ръст от </w:t>
      </w:r>
      <w:r w:rsidR="0007349E" w:rsidRPr="00A13CEF">
        <w:rPr>
          <w:rFonts w:cstheme="minorHAnsi"/>
        </w:rPr>
        <w:t>277</w:t>
      </w:r>
      <w:r w:rsidRPr="00A13CEF">
        <w:rPr>
          <w:rFonts w:cstheme="minorHAnsi"/>
        </w:rPr>
        <w:t xml:space="preserve">%, а нетекущите нараснаха с </w:t>
      </w:r>
      <w:r w:rsidR="0007349E" w:rsidRPr="00A13CEF">
        <w:rPr>
          <w:rFonts w:cstheme="minorHAnsi"/>
        </w:rPr>
        <w:t>393</w:t>
      </w:r>
      <w:r w:rsidRPr="00A13CEF">
        <w:rPr>
          <w:rFonts w:cstheme="minorHAnsi"/>
        </w:rPr>
        <w:t>%. И в двата случая нарастването се дължи главно на отразените задължения към Български енергиен холдинг, свързани с придобиването на капитала на БНЕБ. Двете от вноските, дължими към август 2018 и февруари 2019 са отразени като текущи задължения, а третата вноска, дължима към август 2019 е представена като дългосрочно задължение</w:t>
      </w:r>
      <w:r w:rsidR="009B7955" w:rsidRPr="00A13CEF">
        <w:rPr>
          <w:rFonts w:cstheme="minorHAnsi"/>
        </w:rPr>
        <w:t>.</w:t>
      </w:r>
    </w:p>
    <w:p w:rsidR="00455C02" w:rsidRPr="00A13CEF" w:rsidRDefault="00455C02" w:rsidP="001A50AB">
      <w:pPr>
        <w:pStyle w:val="SubNumbers"/>
        <w:rPr>
          <w:rFonts w:cstheme="minorHAnsi"/>
        </w:rPr>
      </w:pPr>
      <w:bookmarkStart w:id="81" w:name="_Toc402281952"/>
      <w:bookmarkStart w:id="82" w:name="_Toc386535703"/>
      <w:bookmarkStart w:id="83" w:name="_Toc520473893"/>
      <w:bookmarkEnd w:id="79"/>
      <w:r w:rsidRPr="00A13CEF">
        <w:rPr>
          <w:rFonts w:cstheme="minorHAnsi"/>
        </w:rPr>
        <w:t>Приходи/разходи</w:t>
      </w:r>
      <w:bookmarkEnd w:id="81"/>
      <w:bookmarkEnd w:id="83"/>
    </w:p>
    <w:p w:rsidR="00845A03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 xml:space="preserve">По отношение на Приходите от основна дейност, Борсата реализира ръст спрямо същия период на 2017 г. от </w:t>
      </w:r>
      <w:r w:rsidR="0007349E" w:rsidRPr="00A13CEF">
        <w:rPr>
          <w:rFonts w:cstheme="minorHAnsi"/>
        </w:rPr>
        <w:t>7,7</w:t>
      </w:r>
      <w:r w:rsidRPr="00A13CEF">
        <w:rPr>
          <w:rFonts w:cstheme="minorHAnsi"/>
        </w:rPr>
        <w:t>%, който се дължи главно на увеличение в приходите от Комисионни за сделки на Борсата (+</w:t>
      </w:r>
      <w:r w:rsidR="0007349E" w:rsidRPr="00A13CEF">
        <w:rPr>
          <w:rFonts w:cstheme="minorHAnsi"/>
        </w:rPr>
        <w:t>17</w:t>
      </w:r>
      <w:r w:rsidRPr="00A13CEF">
        <w:rPr>
          <w:rFonts w:cstheme="minorHAnsi"/>
        </w:rPr>
        <w:t>%), Такси за информационно обслужване (+</w:t>
      </w:r>
      <w:r w:rsidR="0007349E" w:rsidRPr="00A13CEF">
        <w:rPr>
          <w:rFonts w:cstheme="minorHAnsi"/>
        </w:rPr>
        <w:t>17</w:t>
      </w:r>
      <w:r w:rsidRPr="00A13CEF">
        <w:rPr>
          <w:rFonts w:cstheme="minorHAnsi"/>
        </w:rPr>
        <w:t xml:space="preserve">%) и </w:t>
      </w:r>
      <w:r w:rsidR="0007349E" w:rsidRPr="00A13CEF">
        <w:rPr>
          <w:rFonts w:cstheme="minorHAnsi"/>
        </w:rPr>
        <w:t>Такси за интернет търговия</w:t>
      </w:r>
      <w:r w:rsidRPr="00A13CEF">
        <w:rPr>
          <w:rFonts w:cstheme="minorHAnsi"/>
        </w:rPr>
        <w:t xml:space="preserve"> (+</w:t>
      </w:r>
      <w:r w:rsidR="0007349E" w:rsidRPr="00A13CEF">
        <w:rPr>
          <w:rFonts w:cstheme="minorHAnsi"/>
        </w:rPr>
        <w:t>25</w:t>
      </w:r>
      <w:r w:rsidRPr="00A13CEF">
        <w:rPr>
          <w:rFonts w:cstheme="minorHAnsi"/>
        </w:rPr>
        <w:t xml:space="preserve">%). „Финансовите приходи“ нарастват от </w:t>
      </w:r>
      <w:r w:rsidR="0007349E" w:rsidRPr="00A13CEF">
        <w:rPr>
          <w:rFonts w:cstheme="minorHAnsi"/>
        </w:rPr>
        <w:t>101</w:t>
      </w:r>
      <w:r w:rsidRPr="00A13CEF">
        <w:rPr>
          <w:rFonts w:cstheme="minorHAnsi"/>
        </w:rPr>
        <w:t xml:space="preserve"> през </w:t>
      </w:r>
      <w:r w:rsidR="004D1FE8" w:rsidRPr="00A13CEF">
        <w:rPr>
          <w:rFonts w:cstheme="minorHAnsi"/>
        </w:rPr>
        <w:t>първото</w:t>
      </w:r>
      <w:r w:rsidRPr="00A13CEF">
        <w:rPr>
          <w:rFonts w:cstheme="minorHAnsi"/>
        </w:rPr>
        <w:t xml:space="preserve"> </w:t>
      </w:r>
      <w:r w:rsidR="004D1FE8" w:rsidRPr="00A13CEF">
        <w:rPr>
          <w:rFonts w:cstheme="minorHAnsi"/>
        </w:rPr>
        <w:t>шест</w:t>
      </w:r>
      <w:r w:rsidRPr="00A13CEF">
        <w:rPr>
          <w:rFonts w:cstheme="minorHAnsi"/>
        </w:rPr>
        <w:t xml:space="preserve">месечие на 2017 година до </w:t>
      </w:r>
      <w:r w:rsidR="0007349E" w:rsidRPr="00A13CEF">
        <w:rPr>
          <w:rFonts w:cstheme="minorHAnsi"/>
        </w:rPr>
        <w:t>622</w:t>
      </w:r>
      <w:r w:rsidRPr="00A13CEF">
        <w:rPr>
          <w:rFonts w:cstheme="minorHAnsi"/>
        </w:rPr>
        <w:t xml:space="preserve"> хил. лв</w:t>
      </w:r>
      <w:r w:rsidR="0007349E" w:rsidRPr="00A13CEF">
        <w:rPr>
          <w:rFonts w:cstheme="minorHAnsi"/>
        </w:rPr>
        <w:t>.</w:t>
      </w:r>
      <w:r w:rsidRPr="00A13CEF">
        <w:rPr>
          <w:rFonts w:cstheme="minorHAnsi"/>
        </w:rPr>
        <w:t xml:space="preserve"> заради отчетените в тях приходи от продажбата на ДЦК, свързани с придобиването на БНЕБ. </w:t>
      </w:r>
      <w:r w:rsidR="0007349E" w:rsidRPr="00A13CEF">
        <w:rPr>
          <w:rFonts w:cstheme="minorHAnsi"/>
        </w:rPr>
        <w:t xml:space="preserve">Такси поддържане емисии и регистрация на дружества намалява незначително заради големия брой отписани емисии от Алтернативния пазар. </w:t>
      </w:r>
      <w:r w:rsidRPr="00A13CEF">
        <w:rPr>
          <w:rFonts w:cstheme="minorHAnsi"/>
        </w:rPr>
        <w:t>По останалите приходни пера има незначително в абсолютна стойност разнопосочно движение.</w:t>
      </w:r>
    </w:p>
    <w:p w:rsidR="00845A03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>Към 31.</w:t>
      </w:r>
      <w:r w:rsidR="004E3FBA" w:rsidRPr="00A13CEF">
        <w:rPr>
          <w:rFonts w:cstheme="minorHAnsi"/>
        </w:rPr>
        <w:t>06</w:t>
      </w:r>
      <w:r w:rsidRPr="00A13CEF">
        <w:rPr>
          <w:rFonts w:cstheme="minorHAnsi"/>
        </w:rPr>
        <w:t xml:space="preserve">.2017 г. е реализирана загуба от оперативна дейност в размер на </w:t>
      </w:r>
      <w:r w:rsidR="004E3FBA" w:rsidRPr="00A13CEF">
        <w:rPr>
          <w:rFonts w:cstheme="minorHAnsi"/>
        </w:rPr>
        <w:t>123</w:t>
      </w:r>
      <w:r w:rsidRPr="00A13CEF">
        <w:rPr>
          <w:rFonts w:cstheme="minorHAnsi"/>
        </w:rPr>
        <w:t xml:space="preserve"> хил. лв., а през текущия период оперативната загуба е на стойност </w:t>
      </w:r>
      <w:r w:rsidR="004E3FBA" w:rsidRPr="00A13CEF">
        <w:rPr>
          <w:rFonts w:cstheme="minorHAnsi"/>
        </w:rPr>
        <w:t>192</w:t>
      </w:r>
      <w:r w:rsidRPr="00A13CEF">
        <w:rPr>
          <w:rFonts w:cstheme="minorHAnsi"/>
        </w:rPr>
        <w:t xml:space="preserve"> хил. лв. Загубата от оперативна дейност е в следствие на ниските нива на приходите от основната дейност, по-конкретно – ниските приходи от Комисиони за сделки на Борсата и от Информационно обслужване. Общият всеобхватен доход за </w:t>
      </w:r>
      <w:r w:rsidRPr="00A13CEF">
        <w:rPr>
          <w:rFonts w:cstheme="minorHAnsi"/>
        </w:rPr>
        <w:lastRenderedPageBreak/>
        <w:t>периода се променя от хиляд</w:t>
      </w:r>
      <w:r w:rsidR="004E3FBA" w:rsidRPr="00A13CEF">
        <w:rPr>
          <w:rFonts w:cstheme="minorHAnsi"/>
        </w:rPr>
        <w:t>а</w:t>
      </w:r>
      <w:r w:rsidRPr="00A13CEF">
        <w:rPr>
          <w:rFonts w:cstheme="minorHAnsi"/>
        </w:rPr>
        <w:t xml:space="preserve"> лева към 3</w:t>
      </w:r>
      <w:r w:rsidR="004E3FBA" w:rsidRPr="00A13CEF">
        <w:rPr>
          <w:rFonts w:cstheme="minorHAnsi"/>
        </w:rPr>
        <w:t>0</w:t>
      </w:r>
      <w:r w:rsidRPr="00A13CEF">
        <w:rPr>
          <w:rFonts w:cstheme="minorHAnsi"/>
        </w:rPr>
        <w:t xml:space="preserve"> </w:t>
      </w:r>
      <w:r w:rsidR="004E3FBA" w:rsidRPr="00A13CEF">
        <w:rPr>
          <w:rFonts w:cstheme="minorHAnsi"/>
        </w:rPr>
        <w:t xml:space="preserve">юни </w:t>
      </w:r>
      <w:r w:rsidRPr="00A13CEF">
        <w:rPr>
          <w:rFonts w:cstheme="minorHAnsi"/>
        </w:rPr>
        <w:t xml:space="preserve">2017 година до </w:t>
      </w:r>
      <w:r w:rsidR="004E3FBA" w:rsidRPr="00A13CEF">
        <w:rPr>
          <w:rFonts w:cstheme="minorHAnsi"/>
        </w:rPr>
        <w:t>397</w:t>
      </w:r>
      <w:r w:rsidRPr="00A13CEF">
        <w:rPr>
          <w:rFonts w:cstheme="minorHAnsi"/>
        </w:rPr>
        <w:t xml:space="preserve"> хил. лв. в края на отчетния период.</w:t>
      </w:r>
    </w:p>
    <w:p w:rsidR="00410BBE" w:rsidRPr="00A13CEF" w:rsidRDefault="00845A03" w:rsidP="00845A03">
      <w:pPr>
        <w:rPr>
          <w:rFonts w:cstheme="minorHAnsi"/>
        </w:rPr>
      </w:pPr>
      <w:r w:rsidRPr="00A13CEF">
        <w:rPr>
          <w:rFonts w:cstheme="minorHAnsi"/>
        </w:rPr>
        <w:t xml:space="preserve">По основните разходни пера има ръст от </w:t>
      </w:r>
      <w:r w:rsidR="004E3FBA" w:rsidRPr="00A13CEF">
        <w:rPr>
          <w:rFonts w:cstheme="minorHAnsi"/>
        </w:rPr>
        <w:t>13,5</w:t>
      </w:r>
      <w:r w:rsidRPr="00A13CEF">
        <w:rPr>
          <w:rFonts w:cstheme="minorHAnsi"/>
        </w:rPr>
        <w:t>% спрямо 3</w:t>
      </w:r>
      <w:r w:rsidR="004E3FBA" w:rsidRPr="00A13CEF">
        <w:rPr>
          <w:rFonts w:cstheme="minorHAnsi"/>
        </w:rPr>
        <w:t>0</w:t>
      </w:r>
      <w:r w:rsidRPr="00A13CEF">
        <w:rPr>
          <w:rFonts w:cstheme="minorHAnsi"/>
        </w:rPr>
        <w:t>.0</w:t>
      </w:r>
      <w:r w:rsidR="004E3FBA" w:rsidRPr="00A13CEF">
        <w:rPr>
          <w:rFonts w:cstheme="minorHAnsi"/>
        </w:rPr>
        <w:t>6</w:t>
      </w:r>
      <w:r w:rsidRPr="00A13CEF">
        <w:rPr>
          <w:rFonts w:cstheme="minorHAnsi"/>
        </w:rPr>
        <w:t xml:space="preserve">.2017 година. Нарастване с </w:t>
      </w:r>
      <w:r w:rsidR="004E3FBA" w:rsidRPr="00A13CEF">
        <w:rPr>
          <w:rFonts w:cstheme="minorHAnsi"/>
        </w:rPr>
        <w:t>43</w:t>
      </w:r>
      <w:r w:rsidRPr="00A13CEF">
        <w:rPr>
          <w:rFonts w:cstheme="minorHAnsi"/>
        </w:rPr>
        <w:t xml:space="preserve"> хиляди лева или 1</w:t>
      </w:r>
      <w:r w:rsidR="004E3FBA" w:rsidRPr="00A13CEF">
        <w:rPr>
          <w:rFonts w:cstheme="minorHAnsi"/>
        </w:rPr>
        <w:t>1,2</w:t>
      </w:r>
      <w:r w:rsidRPr="00A13CEF">
        <w:rPr>
          <w:rFonts w:cstheme="minorHAnsi"/>
        </w:rPr>
        <w:t>% има при „Разходи за външни услуги“, а „Разходи за персонала“ на свой ред се увеличават с</w:t>
      </w:r>
      <w:r w:rsidR="004E3FBA" w:rsidRPr="00A13CEF">
        <w:rPr>
          <w:rFonts w:cstheme="minorHAnsi"/>
        </w:rPr>
        <w:t>ъс</w:t>
      </w:r>
      <w:r w:rsidRPr="00A13CEF">
        <w:rPr>
          <w:rFonts w:cstheme="minorHAnsi"/>
        </w:rPr>
        <w:t xml:space="preserve"> </w:t>
      </w:r>
      <w:r w:rsidR="004E3FBA" w:rsidRPr="00A13CEF">
        <w:rPr>
          <w:rFonts w:cstheme="minorHAnsi"/>
        </w:rPr>
        <w:t>17,6</w:t>
      </w:r>
      <w:r w:rsidRPr="00A13CEF">
        <w:rPr>
          <w:rFonts w:cstheme="minorHAnsi"/>
        </w:rPr>
        <w:t xml:space="preserve">% или </w:t>
      </w:r>
      <w:r w:rsidR="004E3FBA" w:rsidRPr="00A13CEF">
        <w:rPr>
          <w:rFonts w:cstheme="minorHAnsi"/>
        </w:rPr>
        <w:t>92</w:t>
      </w:r>
      <w:r w:rsidRPr="00A13CEF">
        <w:rPr>
          <w:rFonts w:cstheme="minorHAnsi"/>
        </w:rPr>
        <w:t xml:space="preserve"> хил. лева. Промяната в останалите разходни пера е незначителна</w:t>
      </w:r>
      <w:r w:rsidR="00886827" w:rsidRPr="00A13CEF">
        <w:rPr>
          <w:rFonts w:cstheme="minorHAnsi"/>
        </w:rPr>
        <w:t>.</w:t>
      </w:r>
    </w:p>
    <w:p w:rsidR="009272B2" w:rsidRPr="00A13CEF" w:rsidRDefault="009272B2" w:rsidP="001A50AB">
      <w:pPr>
        <w:pStyle w:val="SubNumbers"/>
        <w:rPr>
          <w:rFonts w:cstheme="minorHAnsi"/>
        </w:rPr>
      </w:pPr>
      <w:bookmarkStart w:id="84" w:name="_Toc520473894"/>
      <w:r w:rsidRPr="00A13CEF">
        <w:rPr>
          <w:rFonts w:cstheme="minorHAnsi"/>
        </w:rPr>
        <w:t>Финансов резултат</w:t>
      </w:r>
      <w:bookmarkEnd w:id="82"/>
      <w:bookmarkEnd w:id="84"/>
    </w:p>
    <w:p w:rsidR="009272B2" w:rsidRPr="00A13CEF" w:rsidRDefault="005E2E7C" w:rsidP="001A50AB">
      <w:pPr>
        <w:rPr>
          <w:rFonts w:cstheme="minorHAnsi"/>
          <w:szCs w:val="22"/>
        </w:rPr>
      </w:pPr>
      <w:r w:rsidRPr="00A13CEF">
        <w:rPr>
          <w:rFonts w:cstheme="minorHAnsi"/>
        </w:rPr>
        <w:t>Към края</w:t>
      </w:r>
      <w:r w:rsidR="00D77519" w:rsidRPr="00A13CEF">
        <w:rPr>
          <w:rFonts w:cstheme="minorHAnsi"/>
        </w:rPr>
        <w:t xml:space="preserve"> на </w:t>
      </w:r>
      <w:r w:rsidR="004E3FBA" w:rsidRPr="00A13CEF">
        <w:rPr>
          <w:rFonts w:cstheme="minorHAnsi"/>
        </w:rPr>
        <w:t>първото</w:t>
      </w:r>
      <w:r w:rsidR="00D77519" w:rsidRPr="00A13CEF">
        <w:rPr>
          <w:rFonts w:cstheme="minorHAnsi"/>
        </w:rPr>
        <w:t xml:space="preserve"> шест</w:t>
      </w:r>
      <w:r w:rsidR="00AC6710" w:rsidRPr="00A13CEF">
        <w:rPr>
          <w:rFonts w:cstheme="minorHAnsi"/>
        </w:rPr>
        <w:t>месечие на 201</w:t>
      </w:r>
      <w:r w:rsidR="004E3FBA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г. нетния</w:t>
      </w:r>
      <w:r w:rsidR="00025ED9" w:rsidRPr="00A13CEF">
        <w:rPr>
          <w:rFonts w:cstheme="minorHAnsi"/>
        </w:rPr>
        <w:t>т</w:t>
      </w:r>
      <w:r w:rsidRPr="00A13CEF">
        <w:rPr>
          <w:rFonts w:cstheme="minorHAnsi"/>
        </w:rPr>
        <w:t xml:space="preserve"> финансов резултат, реализиран от „</w:t>
      </w:r>
      <w:r w:rsidR="00636F5A">
        <w:rPr>
          <w:rFonts w:cstheme="minorHAnsi"/>
        </w:rPr>
        <w:t>Българска фондова борса - София</w:t>
      </w:r>
      <w:r w:rsidRPr="00A13CEF">
        <w:rPr>
          <w:rFonts w:cstheme="minorHAnsi"/>
        </w:rPr>
        <w:t xml:space="preserve">“ АД е </w:t>
      </w:r>
      <w:r w:rsidR="004E3FBA" w:rsidRPr="00A13CEF">
        <w:rPr>
          <w:rFonts w:cstheme="minorHAnsi"/>
        </w:rPr>
        <w:t>положителен</w:t>
      </w:r>
      <w:r w:rsidRPr="00A13CEF">
        <w:rPr>
          <w:rFonts w:cstheme="minorHAnsi"/>
        </w:rPr>
        <w:t xml:space="preserve"> в размер на </w:t>
      </w:r>
      <w:r w:rsidR="004E3FBA" w:rsidRPr="00A13CEF">
        <w:rPr>
          <w:rFonts w:cstheme="minorHAnsi"/>
        </w:rPr>
        <w:t>430</w:t>
      </w:r>
      <w:r w:rsidRPr="00A13CEF">
        <w:rPr>
          <w:rFonts w:cstheme="minorHAnsi"/>
        </w:rPr>
        <w:t xml:space="preserve"> хил. лв., </w:t>
      </w:r>
      <w:r w:rsidR="004E3FBA" w:rsidRPr="00A13CEF">
        <w:rPr>
          <w:rFonts w:cstheme="minorHAnsi"/>
        </w:rPr>
        <w:t>което се дължи главно на ръст на „Финансови приходи“, както и незначителен ръст в оперативните приходи и оперативните разходи</w:t>
      </w:r>
      <w:r w:rsidRPr="00A13CEF">
        <w:rPr>
          <w:rFonts w:cstheme="minorHAnsi"/>
        </w:rPr>
        <w:t>.</w:t>
      </w:r>
    </w:p>
    <w:p w:rsidR="00E47CE2" w:rsidRPr="00A13CEF" w:rsidRDefault="00E47CE2" w:rsidP="001A50AB">
      <w:pPr>
        <w:pStyle w:val="SubNumbers"/>
        <w:rPr>
          <w:rFonts w:cstheme="minorHAnsi"/>
        </w:rPr>
      </w:pPr>
      <w:bookmarkStart w:id="85" w:name="_Toc520473895"/>
      <w:r w:rsidRPr="00A13CEF">
        <w:rPr>
          <w:rFonts w:cstheme="minorHAnsi"/>
        </w:rPr>
        <w:t>Сделки със свързани лица</w:t>
      </w:r>
      <w:bookmarkEnd w:id="85"/>
    </w:p>
    <w:p w:rsidR="00E47CE2" w:rsidRPr="00A13CEF" w:rsidRDefault="00E47CE2" w:rsidP="001A50AB">
      <w:pPr>
        <w:pStyle w:val="BodyText"/>
        <w:rPr>
          <w:rFonts w:cstheme="minorHAnsi"/>
        </w:rPr>
      </w:pPr>
      <w:r w:rsidRPr="00A13CEF">
        <w:rPr>
          <w:rFonts w:cstheme="minorHAnsi"/>
        </w:rPr>
        <w:t xml:space="preserve">Общият размер на сделките със свързани лица </w:t>
      </w:r>
      <w:r w:rsidR="00C27B27" w:rsidRPr="00A13CEF">
        <w:rPr>
          <w:rFonts w:cstheme="minorHAnsi"/>
        </w:rPr>
        <w:t>през отчетния период</w:t>
      </w:r>
      <w:r w:rsidRPr="00A13CEF">
        <w:rPr>
          <w:rFonts w:cstheme="minorHAnsi"/>
        </w:rPr>
        <w:t xml:space="preserve"> </w:t>
      </w:r>
      <w:r w:rsidR="007B2783" w:rsidRPr="00A13CEF">
        <w:rPr>
          <w:rFonts w:cstheme="minorHAnsi"/>
        </w:rPr>
        <w:t>е</w:t>
      </w:r>
      <w:r w:rsidRPr="00A13CEF">
        <w:rPr>
          <w:rFonts w:cstheme="minorHAnsi"/>
        </w:rPr>
        <w:t>, както следва:</w:t>
      </w:r>
    </w:p>
    <w:p w:rsidR="004E3FBA" w:rsidRPr="00A13CEF" w:rsidRDefault="00F70F5C" w:rsidP="001A50AB">
      <w:pPr>
        <w:rPr>
          <w:rFonts w:cstheme="minorHAnsi"/>
        </w:rPr>
      </w:pPr>
      <w:r w:rsidRPr="00A13CEF">
        <w:rPr>
          <w:rFonts w:cstheme="minorHAnsi"/>
        </w:rPr>
        <w:t>Таблица 1</w:t>
      </w:r>
      <w:r w:rsidR="008E2703" w:rsidRPr="00A13CEF">
        <w:rPr>
          <w:rFonts w:cstheme="minorHAnsi"/>
        </w:rPr>
        <w:t>4</w:t>
      </w:r>
      <w:r w:rsidR="00844758" w:rsidRPr="00A13CEF">
        <w:rPr>
          <w:rFonts w:cstheme="minorHAnsi"/>
        </w:rPr>
        <w:t>. Сделки със свързани лица</w:t>
      </w:r>
    </w:p>
    <w:tbl>
      <w:tblPr>
        <w:tblW w:w="1036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94"/>
        <w:gridCol w:w="2998"/>
        <w:gridCol w:w="1239"/>
        <w:gridCol w:w="1238"/>
      </w:tblGrid>
      <w:tr w:rsidR="004E3FBA" w:rsidRPr="00A13CEF" w:rsidTr="004E3FBA">
        <w:trPr>
          <w:trHeight w:val="170"/>
          <w:jc w:val="center"/>
        </w:trPr>
        <w:tc>
          <w:tcPr>
            <w:tcW w:w="4894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Продажби на свързани лица</w:t>
            </w:r>
          </w:p>
        </w:tc>
        <w:tc>
          <w:tcPr>
            <w:tcW w:w="2998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Свързано лице</w:t>
            </w:r>
          </w:p>
        </w:tc>
        <w:tc>
          <w:tcPr>
            <w:tcW w:w="1239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30.06.2017</w:t>
            </w:r>
          </w:p>
        </w:tc>
        <w:tc>
          <w:tcPr>
            <w:tcW w:w="1238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30.06.2018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94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</w:p>
        </w:tc>
        <w:tc>
          <w:tcPr>
            <w:tcW w:w="2998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39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  <w:tc>
          <w:tcPr>
            <w:tcW w:w="1238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94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Такса сделки, такса членство, такса интернет търговия</w:t>
            </w:r>
          </w:p>
        </w:tc>
        <w:tc>
          <w:tcPr>
            <w:tcW w:w="299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Бенчмарк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Финанс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АД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18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94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Такса сделки, такса членство, такса интернет търговия</w:t>
            </w:r>
          </w:p>
        </w:tc>
        <w:tc>
          <w:tcPr>
            <w:tcW w:w="299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Юробанк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България АД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5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94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Информационно обслужване</w:t>
            </w:r>
          </w:p>
        </w:tc>
        <w:tc>
          <w:tcPr>
            <w:tcW w:w="299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Сервиз финансови пазари ЕООД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94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Наем на офис и счетоводни услуги</w:t>
            </w:r>
          </w:p>
        </w:tc>
        <w:tc>
          <w:tcPr>
            <w:tcW w:w="299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Сервиз финансови пазари ЕООД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16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94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299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40</w:t>
            </w:r>
          </w:p>
        </w:tc>
      </w:tr>
    </w:tbl>
    <w:p w:rsidR="006F5804" w:rsidRPr="00A13CEF" w:rsidRDefault="006F5804" w:rsidP="001A50AB">
      <w:pPr>
        <w:rPr>
          <w:rFonts w:cstheme="minorHAnsi"/>
        </w:rPr>
      </w:pPr>
    </w:p>
    <w:tbl>
      <w:tblPr>
        <w:tblW w:w="1031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36"/>
        <w:gridCol w:w="3002"/>
        <w:gridCol w:w="1239"/>
        <w:gridCol w:w="1238"/>
      </w:tblGrid>
      <w:tr w:rsidR="004E3FBA" w:rsidRPr="00A13CEF" w:rsidTr="004E3FBA">
        <w:trPr>
          <w:trHeight w:val="170"/>
          <w:jc w:val="center"/>
        </w:trPr>
        <w:tc>
          <w:tcPr>
            <w:tcW w:w="4836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Доставки от свързани лица</w:t>
            </w:r>
          </w:p>
        </w:tc>
        <w:tc>
          <w:tcPr>
            <w:tcW w:w="3002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Свързано лице</w:t>
            </w:r>
          </w:p>
        </w:tc>
        <w:tc>
          <w:tcPr>
            <w:tcW w:w="1239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30.06.2017</w:t>
            </w:r>
          </w:p>
        </w:tc>
        <w:tc>
          <w:tcPr>
            <w:tcW w:w="1238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30.06.2018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36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3002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1239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  <w:tc>
          <w:tcPr>
            <w:tcW w:w="1238" w:type="dxa"/>
            <w:shd w:val="clear" w:color="auto" w:fill="4F81BD" w:themeFill="accent1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36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Информационно обслужване</w:t>
            </w:r>
          </w:p>
        </w:tc>
        <w:tc>
          <w:tcPr>
            <w:tcW w:w="3002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Централен депозитар АД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2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36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Деловодни услуги</w:t>
            </w:r>
          </w:p>
        </w:tc>
        <w:tc>
          <w:tcPr>
            <w:tcW w:w="3002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Сервиз Финансови Пазари ЕООД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18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36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Възнаграждения за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оперириране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с продукта Х3</w:t>
            </w:r>
          </w:p>
        </w:tc>
        <w:tc>
          <w:tcPr>
            <w:tcW w:w="3002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Сервиз Финансови Пазари ЕООД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36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Такса </w:t>
            </w: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попечителски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услуги</w:t>
            </w:r>
          </w:p>
        </w:tc>
        <w:tc>
          <w:tcPr>
            <w:tcW w:w="3002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A13CEF">
              <w:rPr>
                <w:rFonts w:cstheme="minorHAnsi"/>
                <w:color w:val="000000"/>
                <w:sz w:val="20"/>
                <w:szCs w:val="20"/>
              </w:rPr>
              <w:t>Юробанк</w:t>
            </w:r>
            <w:proofErr w:type="spellEnd"/>
            <w:r w:rsidRPr="00A13CEF">
              <w:rPr>
                <w:rFonts w:cstheme="minorHAnsi"/>
                <w:color w:val="000000"/>
                <w:sz w:val="20"/>
                <w:szCs w:val="20"/>
              </w:rPr>
              <w:t xml:space="preserve"> България АД</w:t>
            </w: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color w:val="000000"/>
                <w:sz w:val="20"/>
                <w:szCs w:val="20"/>
              </w:rPr>
              <w:t>1</w:t>
            </w:r>
          </w:p>
        </w:tc>
      </w:tr>
      <w:tr w:rsidR="004E3FBA" w:rsidRPr="00A13CEF" w:rsidTr="004E3FBA">
        <w:trPr>
          <w:trHeight w:val="170"/>
          <w:jc w:val="center"/>
        </w:trPr>
        <w:tc>
          <w:tcPr>
            <w:tcW w:w="4836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3002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1239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11</w:t>
            </w:r>
          </w:p>
        </w:tc>
        <w:tc>
          <w:tcPr>
            <w:tcW w:w="1238" w:type="dxa"/>
          </w:tcPr>
          <w:p w:rsidR="004E3FBA" w:rsidRPr="00A13CEF" w:rsidRDefault="004E3FBA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13C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22</w:t>
            </w:r>
          </w:p>
        </w:tc>
      </w:tr>
    </w:tbl>
    <w:p w:rsidR="00844758" w:rsidRPr="00A13CEF" w:rsidRDefault="00844758" w:rsidP="001A50AB">
      <w:pPr>
        <w:rPr>
          <w:rFonts w:cstheme="minorHAnsi"/>
        </w:rPr>
      </w:pPr>
    </w:p>
    <w:p w:rsidR="008E2822" w:rsidRPr="00A13CEF" w:rsidRDefault="008E2822" w:rsidP="001A50AB">
      <w:pPr>
        <w:pStyle w:val="BodyText"/>
        <w:rPr>
          <w:rFonts w:cstheme="minorHAnsi"/>
        </w:rPr>
      </w:pPr>
      <w:r w:rsidRPr="00A13CEF">
        <w:rPr>
          <w:rFonts w:cstheme="minorHAnsi"/>
        </w:rPr>
        <w:t>Разчети със свързани лица</w:t>
      </w:r>
    </w:p>
    <w:p w:rsidR="00C12E2D" w:rsidRPr="00A13CEF" w:rsidRDefault="0073788C" w:rsidP="001A50AB">
      <w:pPr>
        <w:rPr>
          <w:rFonts w:cstheme="minorHAnsi"/>
        </w:rPr>
      </w:pPr>
      <w:r w:rsidRPr="00A13CEF">
        <w:rPr>
          <w:rFonts w:cstheme="minorHAnsi"/>
        </w:rPr>
        <w:t xml:space="preserve">Разчетните взаимоотношения със свързани лица включват вземания по продажби </w:t>
      </w:r>
      <w:r w:rsidR="009C0CEA" w:rsidRPr="00A13CEF">
        <w:rPr>
          <w:rFonts w:cstheme="minorHAnsi"/>
        </w:rPr>
        <w:t xml:space="preserve">и </w:t>
      </w:r>
      <w:r w:rsidRPr="00A13CEF">
        <w:rPr>
          <w:rFonts w:cstheme="minorHAnsi"/>
        </w:rPr>
        <w:t xml:space="preserve">към </w:t>
      </w:r>
      <w:r w:rsidR="00D77519" w:rsidRPr="00A13CEF">
        <w:rPr>
          <w:rFonts w:cstheme="minorHAnsi"/>
        </w:rPr>
        <w:t>30</w:t>
      </w:r>
      <w:r w:rsidRPr="00A13CEF">
        <w:rPr>
          <w:rFonts w:cstheme="minorHAnsi"/>
        </w:rPr>
        <w:t>.</w:t>
      </w:r>
      <w:r w:rsidR="00D77519" w:rsidRPr="00A13CEF">
        <w:rPr>
          <w:rFonts w:cstheme="minorHAnsi"/>
        </w:rPr>
        <w:t>06</w:t>
      </w:r>
      <w:r w:rsidRPr="00A13CEF">
        <w:rPr>
          <w:rFonts w:cstheme="minorHAnsi"/>
        </w:rPr>
        <w:t>.201</w:t>
      </w:r>
      <w:r w:rsidR="004E3FBA" w:rsidRPr="00A13CEF">
        <w:rPr>
          <w:rFonts w:cstheme="minorHAnsi"/>
        </w:rPr>
        <w:t>8</w:t>
      </w:r>
      <w:r w:rsidRPr="00A13CEF">
        <w:rPr>
          <w:rFonts w:cstheme="minorHAnsi"/>
        </w:rPr>
        <w:t xml:space="preserve"> г.</w:t>
      </w:r>
      <w:r w:rsidR="009C0CEA" w:rsidRPr="00A13CEF">
        <w:rPr>
          <w:rFonts w:cstheme="minorHAnsi"/>
        </w:rPr>
        <w:t xml:space="preserve"> </w:t>
      </w:r>
      <w:r w:rsidR="00C77D86" w:rsidRPr="00A13CEF">
        <w:rPr>
          <w:rFonts w:cstheme="minorHAnsi"/>
        </w:rPr>
        <w:t xml:space="preserve">са в размер на </w:t>
      </w:r>
      <w:r w:rsidR="004E3FBA" w:rsidRPr="00A13CEF">
        <w:rPr>
          <w:rFonts w:cstheme="minorHAnsi"/>
        </w:rPr>
        <w:t>6</w:t>
      </w:r>
      <w:r w:rsidR="00FE0339" w:rsidRPr="00A13CEF">
        <w:rPr>
          <w:rFonts w:cstheme="minorHAnsi"/>
        </w:rPr>
        <w:t xml:space="preserve"> хил.</w:t>
      </w:r>
      <w:r w:rsidR="00C77D86" w:rsidRPr="00A13CEF">
        <w:rPr>
          <w:rFonts w:cstheme="minorHAnsi"/>
        </w:rPr>
        <w:t xml:space="preserve"> лв</w:t>
      </w:r>
      <w:r w:rsidR="00FE0339" w:rsidRPr="00A13CEF">
        <w:rPr>
          <w:rFonts w:cstheme="minorHAnsi"/>
        </w:rPr>
        <w:t>.</w:t>
      </w:r>
      <w:r w:rsidR="00C77D86" w:rsidRPr="00A13CEF">
        <w:rPr>
          <w:rFonts w:cstheme="minorHAnsi"/>
        </w:rPr>
        <w:t xml:space="preserve"> </w:t>
      </w:r>
      <w:r w:rsidRPr="00A13CEF">
        <w:rPr>
          <w:rFonts w:cstheme="minorHAnsi"/>
        </w:rPr>
        <w:t>(3</w:t>
      </w:r>
      <w:r w:rsidR="00D77519" w:rsidRPr="00A13CEF">
        <w:rPr>
          <w:rFonts w:cstheme="minorHAnsi"/>
        </w:rPr>
        <w:t>0</w:t>
      </w:r>
      <w:r w:rsidRPr="00A13CEF">
        <w:rPr>
          <w:rFonts w:cstheme="minorHAnsi"/>
        </w:rPr>
        <w:t>.</w:t>
      </w:r>
      <w:r w:rsidR="00911394" w:rsidRPr="00A13CEF">
        <w:rPr>
          <w:rFonts w:cstheme="minorHAnsi"/>
        </w:rPr>
        <w:t>0</w:t>
      </w:r>
      <w:r w:rsidR="00D77519" w:rsidRPr="00A13CEF">
        <w:rPr>
          <w:rFonts w:cstheme="minorHAnsi"/>
        </w:rPr>
        <w:t>6</w:t>
      </w:r>
      <w:r w:rsidRPr="00A13CEF">
        <w:rPr>
          <w:rFonts w:cstheme="minorHAnsi"/>
        </w:rPr>
        <w:t>.201</w:t>
      </w:r>
      <w:r w:rsidR="004E3FBA" w:rsidRPr="00A13CEF">
        <w:rPr>
          <w:rFonts w:cstheme="minorHAnsi"/>
        </w:rPr>
        <w:t>7</w:t>
      </w:r>
      <w:r w:rsidRPr="00A13CEF">
        <w:rPr>
          <w:rFonts w:cstheme="minorHAnsi"/>
        </w:rPr>
        <w:t xml:space="preserve"> г: </w:t>
      </w:r>
      <w:r w:rsidR="004E3FBA" w:rsidRPr="00A13CEF">
        <w:rPr>
          <w:rFonts w:cstheme="minorHAnsi"/>
        </w:rPr>
        <w:t>1</w:t>
      </w:r>
      <w:r w:rsidR="00D43A41" w:rsidRPr="00A13CEF">
        <w:rPr>
          <w:rFonts w:cstheme="minorHAnsi"/>
        </w:rPr>
        <w:t xml:space="preserve"> хил. лв</w:t>
      </w:r>
      <w:r w:rsidR="00C77D86" w:rsidRPr="00A13CEF">
        <w:rPr>
          <w:rFonts w:cstheme="minorHAnsi"/>
        </w:rPr>
        <w:t>.</w:t>
      </w:r>
      <w:r w:rsidRPr="00A13CEF">
        <w:rPr>
          <w:rFonts w:cstheme="minorHAnsi"/>
        </w:rPr>
        <w:t>).</w:t>
      </w:r>
    </w:p>
    <w:p w:rsidR="00727506" w:rsidRPr="00A13CEF" w:rsidRDefault="00315833" w:rsidP="001A50AB">
      <w:pPr>
        <w:pStyle w:val="SubNumbers"/>
        <w:rPr>
          <w:rFonts w:cstheme="minorHAnsi"/>
        </w:rPr>
      </w:pPr>
      <w:bookmarkStart w:id="86" w:name="_Toc520473896"/>
      <w:r w:rsidRPr="00A13CEF">
        <w:rPr>
          <w:rFonts w:cstheme="minorHAnsi"/>
        </w:rPr>
        <w:t>О</w:t>
      </w:r>
      <w:r w:rsidR="00727506" w:rsidRPr="00A13CEF">
        <w:rPr>
          <w:rFonts w:cstheme="minorHAnsi"/>
        </w:rPr>
        <w:t>с</w:t>
      </w:r>
      <w:r w:rsidRPr="00A13CEF">
        <w:rPr>
          <w:rFonts w:cstheme="minorHAnsi"/>
        </w:rPr>
        <w:t>н</w:t>
      </w:r>
      <w:r w:rsidR="00727506" w:rsidRPr="00A13CEF">
        <w:rPr>
          <w:rFonts w:cstheme="minorHAnsi"/>
        </w:rPr>
        <w:t>овен доход на акция</w:t>
      </w:r>
      <w:bookmarkEnd w:id="86"/>
    </w:p>
    <w:p w:rsidR="00D26770" w:rsidRPr="00A13CEF" w:rsidRDefault="00D03868" w:rsidP="001A50AB">
      <w:pPr>
        <w:rPr>
          <w:rFonts w:cstheme="minorHAnsi"/>
        </w:rPr>
      </w:pPr>
      <w:r w:rsidRPr="00A13CEF">
        <w:rPr>
          <w:rFonts w:cstheme="minorHAnsi"/>
        </w:rPr>
        <w:t xml:space="preserve">Нетната </w:t>
      </w:r>
      <w:r w:rsidR="00844758" w:rsidRPr="00A13CEF">
        <w:rPr>
          <w:rFonts w:cstheme="minorHAnsi"/>
        </w:rPr>
        <w:t>печалба</w:t>
      </w:r>
      <w:r w:rsidR="00727506" w:rsidRPr="00A13CEF">
        <w:rPr>
          <w:rFonts w:cstheme="minorHAnsi"/>
        </w:rPr>
        <w:t xml:space="preserve"> на една акция е изчислен</w:t>
      </w:r>
      <w:r w:rsidRPr="00A13CEF">
        <w:rPr>
          <w:rFonts w:cstheme="minorHAnsi"/>
        </w:rPr>
        <w:t>а</w:t>
      </w:r>
      <w:r w:rsidR="00727506" w:rsidRPr="00A13CEF">
        <w:rPr>
          <w:rFonts w:cstheme="minorHAnsi"/>
        </w:rPr>
        <w:t xml:space="preserve"> на база на нетната </w:t>
      </w:r>
      <w:r w:rsidR="00844758" w:rsidRPr="00A13CEF">
        <w:rPr>
          <w:rFonts w:cstheme="minorHAnsi"/>
        </w:rPr>
        <w:t>печалба</w:t>
      </w:r>
      <w:r w:rsidRPr="00A13CEF">
        <w:rPr>
          <w:rFonts w:cstheme="minorHAnsi"/>
        </w:rPr>
        <w:t xml:space="preserve"> </w:t>
      </w:r>
      <w:r w:rsidR="00D82022" w:rsidRPr="00A13CEF">
        <w:rPr>
          <w:rFonts w:cstheme="minorHAnsi"/>
        </w:rPr>
        <w:t xml:space="preserve">на </w:t>
      </w:r>
      <w:r w:rsidR="00911394" w:rsidRPr="00A13CEF">
        <w:rPr>
          <w:rFonts w:cstheme="minorHAnsi"/>
        </w:rPr>
        <w:t>„</w:t>
      </w:r>
      <w:r w:rsidR="00636F5A">
        <w:rPr>
          <w:rFonts w:cstheme="minorHAnsi"/>
        </w:rPr>
        <w:t>Българска фондова борса - София</w:t>
      </w:r>
      <w:r w:rsidR="00911394" w:rsidRPr="00A13CEF">
        <w:rPr>
          <w:rFonts w:cstheme="minorHAnsi"/>
        </w:rPr>
        <w:t>“ АД</w:t>
      </w:r>
      <w:r w:rsidR="00D82022" w:rsidRPr="00A13CEF">
        <w:rPr>
          <w:rFonts w:cstheme="minorHAnsi"/>
        </w:rPr>
        <w:t xml:space="preserve"> </w:t>
      </w:r>
      <w:r w:rsidR="00727506" w:rsidRPr="00A13CEF">
        <w:rPr>
          <w:rFonts w:cstheme="minorHAnsi"/>
        </w:rPr>
        <w:t xml:space="preserve">за </w:t>
      </w:r>
      <w:r w:rsidRPr="00A13CEF">
        <w:rPr>
          <w:rFonts w:cstheme="minorHAnsi"/>
        </w:rPr>
        <w:t xml:space="preserve">периода </w:t>
      </w:r>
      <w:r w:rsidR="00727506" w:rsidRPr="00A13CEF">
        <w:rPr>
          <w:rFonts w:cstheme="minorHAnsi"/>
        </w:rPr>
        <w:t>и бро</w:t>
      </w:r>
      <w:r w:rsidRPr="00A13CEF">
        <w:rPr>
          <w:rFonts w:cstheme="minorHAnsi"/>
        </w:rPr>
        <w:t>я</w:t>
      </w:r>
      <w:r w:rsidR="00727506" w:rsidRPr="00A13CEF">
        <w:rPr>
          <w:rFonts w:cstheme="minorHAnsi"/>
        </w:rPr>
        <w:t xml:space="preserve"> на обикновен</w:t>
      </w:r>
      <w:r w:rsidR="00CB2BE3" w:rsidRPr="00A13CEF">
        <w:rPr>
          <w:rFonts w:cstheme="minorHAnsi"/>
        </w:rPr>
        <w:t>ите акции през отчетния период.</w:t>
      </w:r>
    </w:p>
    <w:p w:rsidR="00727506" w:rsidRPr="00A13CEF" w:rsidRDefault="00002529" w:rsidP="001A50AB">
      <w:pPr>
        <w:rPr>
          <w:rFonts w:cstheme="minorHAnsi"/>
          <w:i/>
        </w:rPr>
      </w:pPr>
      <w:r w:rsidRPr="00A13CEF">
        <w:rPr>
          <w:rFonts w:cstheme="minorHAnsi"/>
        </w:rPr>
        <w:t>Таблица 15</w:t>
      </w:r>
      <w:r w:rsidR="0098481A" w:rsidRPr="00A13CEF">
        <w:rPr>
          <w:rFonts w:cstheme="minorHAnsi"/>
        </w:rPr>
        <w:t>. Доход на акция</w:t>
      </w:r>
    </w:p>
    <w:tbl>
      <w:tblPr>
        <w:tblW w:w="78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80"/>
        <w:gridCol w:w="1414"/>
        <w:gridCol w:w="1409"/>
      </w:tblGrid>
      <w:tr w:rsidR="0073788C" w:rsidRPr="00A13CEF" w:rsidTr="007B1E7A">
        <w:trPr>
          <w:trHeight w:val="170"/>
          <w:jc w:val="center"/>
        </w:trPr>
        <w:tc>
          <w:tcPr>
            <w:tcW w:w="4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noWrap/>
            <w:vAlign w:val="bottom"/>
            <w:hideMark/>
          </w:tcPr>
          <w:p w:rsidR="0073788C" w:rsidRPr="00A13CEF" w:rsidRDefault="0073788C" w:rsidP="001A50AB">
            <w:pPr>
              <w:rPr>
                <w:rFonts w:cstheme="minorHAnsi"/>
                <w:color w:val="FFFFFF" w:themeColor="background1"/>
              </w:rPr>
            </w:pPr>
            <w:r w:rsidRPr="00A13CEF">
              <w:rPr>
                <w:rFonts w:cstheme="minorHAnsi"/>
                <w:color w:val="FFFFFF" w:themeColor="background1"/>
              </w:rPr>
              <w:t>Основен доход на акция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vAlign w:val="center"/>
            <w:hideMark/>
          </w:tcPr>
          <w:p w:rsidR="0073788C" w:rsidRPr="00A13CEF" w:rsidRDefault="00CA3118" w:rsidP="004D1FE8">
            <w:pPr>
              <w:jc w:val="center"/>
              <w:rPr>
                <w:rFonts w:cstheme="minorHAnsi"/>
                <w:color w:val="FFFFFF" w:themeColor="background1"/>
              </w:rPr>
            </w:pPr>
            <w:r w:rsidRPr="00A13CEF">
              <w:rPr>
                <w:rFonts w:cstheme="minorHAnsi"/>
                <w:color w:val="FFFFFF" w:themeColor="background1"/>
              </w:rPr>
              <w:t>2017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vAlign w:val="center"/>
            <w:hideMark/>
          </w:tcPr>
          <w:p w:rsidR="0073788C" w:rsidRPr="00A13CEF" w:rsidRDefault="0073788C" w:rsidP="004D1FE8">
            <w:pPr>
              <w:jc w:val="center"/>
              <w:rPr>
                <w:rFonts w:cstheme="minorHAnsi"/>
                <w:color w:val="FFFFFF" w:themeColor="background1"/>
              </w:rPr>
            </w:pPr>
            <w:r w:rsidRPr="00A13CEF">
              <w:rPr>
                <w:rFonts w:cstheme="minorHAnsi"/>
                <w:color w:val="FFFFFF" w:themeColor="background1"/>
              </w:rPr>
              <w:t>3</w:t>
            </w:r>
            <w:r w:rsidR="00D77519" w:rsidRPr="00A13CEF">
              <w:rPr>
                <w:rFonts w:cstheme="minorHAnsi"/>
                <w:color w:val="FFFFFF" w:themeColor="background1"/>
              </w:rPr>
              <w:t>0</w:t>
            </w:r>
            <w:r w:rsidR="00747CE6" w:rsidRPr="00A13CEF">
              <w:rPr>
                <w:rFonts w:cstheme="minorHAnsi"/>
                <w:color w:val="FFFFFF" w:themeColor="background1"/>
              </w:rPr>
              <w:t>.0</w:t>
            </w:r>
            <w:r w:rsidR="00D77519" w:rsidRPr="00A13CEF">
              <w:rPr>
                <w:rFonts w:cstheme="minorHAnsi"/>
                <w:color w:val="FFFFFF" w:themeColor="background1"/>
              </w:rPr>
              <w:t>6</w:t>
            </w:r>
            <w:r w:rsidR="00FE0339" w:rsidRPr="00A13CEF">
              <w:rPr>
                <w:rFonts w:cstheme="minorHAnsi"/>
                <w:color w:val="FFFFFF" w:themeColor="background1"/>
              </w:rPr>
              <w:t>.201</w:t>
            </w:r>
            <w:r w:rsidR="004D1FE8" w:rsidRPr="00A13CEF">
              <w:rPr>
                <w:rFonts w:cstheme="minorHAnsi"/>
                <w:color w:val="FFFFFF" w:themeColor="background1"/>
              </w:rPr>
              <w:t>8</w:t>
            </w:r>
          </w:p>
        </w:tc>
      </w:tr>
      <w:tr w:rsidR="0073788C" w:rsidRPr="00A13CEF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73788C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Средно претеглен брой акции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35366A" w:rsidP="004D1FE8">
            <w:pPr>
              <w:jc w:val="right"/>
              <w:rPr>
                <w:rFonts w:cstheme="minorHAnsi"/>
              </w:rPr>
            </w:pPr>
            <w:r w:rsidRPr="00A13CEF">
              <w:rPr>
                <w:rFonts w:cstheme="minorHAnsi"/>
              </w:rPr>
              <w:t>6 </w:t>
            </w:r>
            <w:r w:rsidR="0073788C" w:rsidRPr="00A13CEF">
              <w:rPr>
                <w:rFonts w:cstheme="minorHAnsi"/>
              </w:rPr>
              <w:t>582</w:t>
            </w:r>
            <w:r w:rsidR="00FE0339" w:rsidRPr="00A13CEF">
              <w:rPr>
                <w:rFonts w:cstheme="minorHAnsi"/>
              </w:rPr>
              <w:t> </w:t>
            </w:r>
            <w:r w:rsidR="0073788C" w:rsidRPr="00A13CEF">
              <w:rPr>
                <w:rFonts w:cstheme="minorHAnsi"/>
              </w:rPr>
              <w:t>860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73788C" w:rsidP="004D1FE8">
            <w:pPr>
              <w:jc w:val="right"/>
              <w:rPr>
                <w:rFonts w:cstheme="minorHAnsi"/>
              </w:rPr>
            </w:pPr>
            <w:r w:rsidRPr="00A13CEF">
              <w:rPr>
                <w:rFonts w:cstheme="minorHAnsi"/>
              </w:rPr>
              <w:t>6</w:t>
            </w:r>
            <w:r w:rsidR="0035366A" w:rsidRPr="00A13CEF">
              <w:rPr>
                <w:rFonts w:cstheme="minorHAnsi"/>
              </w:rPr>
              <w:t> </w:t>
            </w:r>
            <w:r w:rsidRPr="00A13CEF">
              <w:rPr>
                <w:rFonts w:cstheme="minorHAnsi"/>
              </w:rPr>
              <w:t>582</w:t>
            </w:r>
            <w:r w:rsidR="0035366A" w:rsidRPr="00A13CEF">
              <w:rPr>
                <w:rFonts w:cstheme="minorHAnsi"/>
              </w:rPr>
              <w:t xml:space="preserve"> </w:t>
            </w:r>
            <w:r w:rsidRPr="00A13CEF">
              <w:rPr>
                <w:rFonts w:cstheme="minorHAnsi"/>
              </w:rPr>
              <w:t>860</w:t>
            </w:r>
          </w:p>
        </w:tc>
      </w:tr>
      <w:tr w:rsidR="0073788C" w:rsidRPr="00A13CEF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35366A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З</w:t>
            </w:r>
            <w:r w:rsidR="0073788C" w:rsidRPr="00A13CEF">
              <w:rPr>
                <w:rFonts w:cstheme="minorHAnsi"/>
              </w:rPr>
              <w:t>агуба/печалба за годината (BGN’000)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4D1FE8" w:rsidP="004D1FE8">
            <w:pPr>
              <w:jc w:val="right"/>
              <w:rPr>
                <w:rFonts w:cstheme="minorHAnsi"/>
              </w:rPr>
            </w:pPr>
            <w:r w:rsidRPr="00A13CEF">
              <w:rPr>
                <w:rFonts w:cstheme="minorHAnsi"/>
              </w:rPr>
              <w:t>206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4D1FE8" w:rsidP="004D1FE8">
            <w:pPr>
              <w:jc w:val="right"/>
              <w:rPr>
                <w:rFonts w:cstheme="minorHAnsi"/>
              </w:rPr>
            </w:pPr>
            <w:r w:rsidRPr="00A13CEF">
              <w:rPr>
                <w:rFonts w:cstheme="minorHAnsi"/>
              </w:rPr>
              <w:t>430</w:t>
            </w:r>
          </w:p>
        </w:tc>
      </w:tr>
      <w:tr w:rsidR="0073788C" w:rsidRPr="00A13CEF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73788C" w:rsidP="001A50AB">
            <w:pPr>
              <w:rPr>
                <w:rFonts w:cstheme="minorHAnsi"/>
              </w:rPr>
            </w:pPr>
            <w:r w:rsidRPr="00A13CEF">
              <w:rPr>
                <w:rFonts w:cstheme="minorHAnsi"/>
              </w:rPr>
              <w:t>Загуба/доход на акция (BGN)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FE0339" w:rsidP="004D1FE8">
            <w:pPr>
              <w:jc w:val="right"/>
              <w:rPr>
                <w:rFonts w:cstheme="minorHAnsi"/>
              </w:rPr>
            </w:pPr>
            <w:r w:rsidRPr="00A13CEF">
              <w:rPr>
                <w:rFonts w:cstheme="minorHAnsi"/>
              </w:rPr>
              <w:t>0,0</w:t>
            </w:r>
            <w:r w:rsidR="004D1FE8" w:rsidRPr="00A13CEF">
              <w:rPr>
                <w:rFonts w:cstheme="minorHAnsi"/>
              </w:rPr>
              <w:t>3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A13CEF" w:rsidRDefault="00FE0339" w:rsidP="004D1FE8">
            <w:pPr>
              <w:jc w:val="right"/>
              <w:rPr>
                <w:rFonts w:cstheme="minorHAnsi"/>
              </w:rPr>
            </w:pPr>
            <w:r w:rsidRPr="00A13CEF">
              <w:rPr>
                <w:rFonts w:cstheme="minorHAnsi"/>
              </w:rPr>
              <w:t>0,0</w:t>
            </w:r>
            <w:r w:rsidR="004D1FE8" w:rsidRPr="00A13CEF">
              <w:rPr>
                <w:rFonts w:cstheme="minorHAnsi"/>
              </w:rPr>
              <w:t>7</w:t>
            </w:r>
          </w:p>
        </w:tc>
      </w:tr>
    </w:tbl>
    <w:p w:rsidR="00ED1EEC" w:rsidRPr="00A13CEF" w:rsidRDefault="00ED1EEC" w:rsidP="001A50AB">
      <w:pPr>
        <w:rPr>
          <w:rFonts w:cstheme="minorHAnsi"/>
        </w:rPr>
      </w:pPr>
    </w:p>
    <w:sectPr w:rsidR="00ED1EEC" w:rsidRPr="00A13CEF" w:rsidSect="005A398A">
      <w:headerReference w:type="default" r:id="rId22"/>
      <w:footerReference w:type="even" r:id="rId23"/>
      <w:footerReference w:type="default" r:id="rId24"/>
      <w:pgSz w:w="11906" w:h="16838"/>
      <w:pgMar w:top="2268" w:right="1134" w:bottom="1134" w:left="1134" w:header="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501C1" w:rsidRDefault="00E501C1" w:rsidP="001A50AB">
      <w:r>
        <w:separator/>
      </w:r>
    </w:p>
  </w:endnote>
  <w:endnote w:type="continuationSeparator" w:id="0">
    <w:p w:rsidR="00E501C1" w:rsidRDefault="00E501C1" w:rsidP="001A50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ews Gothic Cyr">
    <w:panose1 w:val="020B0503020103020203"/>
    <w:charset w:val="CC"/>
    <w:family w:val="swiss"/>
    <w:pitch w:val="variable"/>
    <w:sig w:usb0="00000201" w:usb1="00000000" w:usb2="00000000" w:usb3="00000000" w:csb0="00000004" w:csb1="00000000"/>
    <w:embedRegular r:id="rId1" w:fontKey="{6185C9A1-D775-4CB4-824E-05C1A6CE5E6B}"/>
    <w:embedBold r:id="rId2" w:fontKey="{0C534564-3498-431F-B70F-6E878E95ECB2}"/>
    <w:embedBoldItalic r:id="rId3" w:fontKey="{55547B13-D78E-4FE5-8ABD-CDFCCE592912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47E869C4-2322-4A23-9FBC-C6B472C3A867}"/>
    <w:embedBold r:id="rId5" w:fontKey="{A1D83D70-BFE8-4EB6-86C8-BEA16E9B51FD}"/>
    <w:embedItalic r:id="rId6" w:fontKey="{A2A9B9DD-A834-4DB4-ADCA-0647E9571D1D}"/>
    <w:embedBoldItalic r:id="rId7" w:fontKey="{3C49D7B6-1C36-4998-A190-FAA0E109B2DC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8" w:fontKey="{19070503-AA90-470F-B378-C2D62CB9996A}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Bold r:id="rId9" w:fontKey="{88A6F5E9-CBB2-4E2D-AE74-978A59DCAC6E}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  <w:embedBold r:id="rId10" w:fontKey="{A4F04E59-EBA0-4036-BBC4-6197DD1C0FC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1" w:fontKey="{C36EC234-B7B9-4B99-AC03-E3A76FBC271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CEF" w:rsidRDefault="00A13CEF" w:rsidP="001A50AB">
    <w:pPr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13CEF" w:rsidRDefault="00A13CEF" w:rsidP="001A50A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CEF" w:rsidRDefault="00A13CEF" w:rsidP="001A50AB">
    <w:pPr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A2FC3">
      <w:rPr>
        <w:rStyle w:val="PageNumber"/>
        <w:noProof/>
      </w:rPr>
      <w:t>29</w:t>
    </w:r>
    <w:r>
      <w:rPr>
        <w:rStyle w:val="PageNumber"/>
      </w:rPr>
      <w:fldChar w:fldCharType="end"/>
    </w:r>
  </w:p>
  <w:p w:rsidR="00A13CEF" w:rsidRDefault="00A13CEF" w:rsidP="001A50AB">
    <w:r>
      <w:rPr>
        <w:noProof/>
        <w:lang w:val="en-US" w:eastAsia="en-US"/>
      </w:rPr>
      <w:drawing>
        <wp:anchor distT="0" distB="0" distL="114300" distR="114300" simplePos="0" relativeHeight="251657728" behindDoc="1" locked="0" layoutInCell="1" allowOverlap="1" wp14:anchorId="49C525C6" wp14:editId="2B46F93E">
          <wp:simplePos x="0" y="0"/>
          <wp:positionH relativeFrom="column">
            <wp:posOffset>-902335</wp:posOffset>
          </wp:positionH>
          <wp:positionV relativeFrom="paragraph">
            <wp:posOffset>-472688</wp:posOffset>
          </wp:positionV>
          <wp:extent cx="7863840" cy="683812"/>
          <wp:effectExtent l="0" t="0" r="0" b="0"/>
          <wp:wrapNone/>
          <wp:docPr id="21" name="Картина 1" descr="foo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oot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3840" cy="68381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501C1" w:rsidRDefault="00E501C1" w:rsidP="001A50AB">
      <w:r>
        <w:separator/>
      </w:r>
    </w:p>
  </w:footnote>
  <w:footnote w:type="continuationSeparator" w:id="0">
    <w:p w:rsidR="00E501C1" w:rsidRDefault="00E501C1" w:rsidP="001A50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CEF" w:rsidRPr="0098260E" w:rsidRDefault="00A13CEF" w:rsidP="001A50AB">
    <w:pPr>
      <w:rPr>
        <w:rFonts w:ascii="Calibri" w:hAnsi="Calibri"/>
        <w:lang w:val="en-US"/>
      </w:rPr>
    </w:pPr>
    <w:r>
      <w:rPr>
        <w:noProof/>
        <w:lang w:val="en-US" w:eastAsia="en-US"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-720157</wp:posOffset>
          </wp:positionH>
          <wp:positionV relativeFrom="paragraph">
            <wp:posOffset>-34120</wp:posOffset>
          </wp:positionV>
          <wp:extent cx="7567200" cy="1440000"/>
          <wp:effectExtent l="0" t="0" r="0" b="0"/>
          <wp:wrapNone/>
          <wp:docPr id="4" name="Picture 4" descr="D:\Documents and Settings\My Documents\работна - ПОВЕРИТЕЛНО\DVI\2018\Q2\head_bg_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Documents and Settings\My Documents\работна - ПОВЕРИТЕЛНО\DVI\2018\Q2\head_bg_new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7200" cy="14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14C85"/>
    <w:multiLevelType w:val="hybridMultilevel"/>
    <w:tmpl w:val="80687712"/>
    <w:lvl w:ilvl="0" w:tplc="CD2EE410">
      <w:numFmt w:val="bullet"/>
      <w:lvlText w:val="-"/>
      <w:lvlJc w:val="left"/>
      <w:pPr>
        <w:ind w:left="720" w:hanging="360"/>
      </w:pPr>
      <w:rPr>
        <w:rFonts w:ascii="News Gothic Cyr" w:eastAsia="Times New Roman" w:hAnsi="News Gothic Cyr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84028"/>
    <w:multiLevelType w:val="hybridMultilevel"/>
    <w:tmpl w:val="E2662592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CD03138"/>
    <w:multiLevelType w:val="hybridMultilevel"/>
    <w:tmpl w:val="D682E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0D08A9"/>
    <w:multiLevelType w:val="hybridMultilevel"/>
    <w:tmpl w:val="D094613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0141C9"/>
    <w:multiLevelType w:val="hybridMultilevel"/>
    <w:tmpl w:val="1CEE24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3E4F5F"/>
    <w:multiLevelType w:val="hybridMultilevel"/>
    <w:tmpl w:val="43B4D3A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4A43B8"/>
    <w:multiLevelType w:val="hybridMultilevel"/>
    <w:tmpl w:val="327E9692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4612435"/>
    <w:multiLevelType w:val="hybridMultilevel"/>
    <w:tmpl w:val="95D825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FEA2A43"/>
    <w:multiLevelType w:val="multilevel"/>
    <w:tmpl w:val="A7747E74"/>
    <w:lvl w:ilvl="0">
      <w:start w:val="1"/>
      <w:numFmt w:val="decimal"/>
      <w:pStyle w:val="Heading1"/>
      <w:lvlText w:val="%1."/>
      <w:lvlJc w:val="left"/>
      <w:pPr>
        <w:tabs>
          <w:tab w:val="num" w:pos="-283"/>
        </w:tabs>
        <w:ind w:left="0" w:firstLine="0"/>
      </w:pPr>
      <w:rPr>
        <w:rFonts w:ascii="News Gothic Cyr" w:hAnsi="News Gothic Cyr" w:hint="default"/>
        <w:b/>
        <w:i w:val="0"/>
        <w:color w:val="auto"/>
        <w:sz w:val="24"/>
        <w:szCs w:val="24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-283"/>
        </w:tabs>
        <w:ind w:left="0" w:firstLine="0"/>
      </w:pPr>
      <w:rPr>
        <w:rFonts w:ascii="News Gothic Cyr" w:hAnsi="News Gothic Cyr" w:hint="default"/>
        <w:b/>
        <w:i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873"/>
        </w:tabs>
        <w:ind w:left="0" w:firstLine="0"/>
      </w:pPr>
      <w:rPr>
        <w:rFonts w:ascii="News Gothic Cyr" w:hAnsi="News Gothic Cyr" w:hint="default"/>
        <w:b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233"/>
        </w:tabs>
        <w:ind w:left="116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53"/>
        </w:tabs>
        <w:ind w:left="166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13"/>
        </w:tabs>
        <w:ind w:left="216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033"/>
        </w:tabs>
        <w:ind w:left="267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3"/>
        </w:tabs>
        <w:ind w:left="317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113"/>
        </w:tabs>
        <w:ind w:left="3753" w:hanging="1440"/>
      </w:pPr>
      <w:rPr>
        <w:rFonts w:hint="default"/>
      </w:rPr>
    </w:lvl>
  </w:abstractNum>
  <w:abstractNum w:abstractNumId="9" w15:restartNumberingAfterBreak="0">
    <w:nsid w:val="7F1408C5"/>
    <w:multiLevelType w:val="multilevel"/>
    <w:tmpl w:val="9C76CDEA"/>
    <w:lvl w:ilvl="0">
      <w:start w:val="1"/>
      <w:numFmt w:val="decimal"/>
      <w:pStyle w:val="Mainnumbers"/>
      <w:lvlText w:val="%1."/>
      <w:lvlJc w:val="left"/>
      <w:pPr>
        <w:ind w:left="360" w:hanging="360"/>
      </w:pPr>
    </w:lvl>
    <w:lvl w:ilvl="1">
      <w:start w:val="1"/>
      <w:numFmt w:val="decimal"/>
      <w:pStyle w:val="SubNumbers"/>
      <w:lvlText w:val="%1.%2."/>
      <w:lvlJc w:val="left"/>
      <w:pPr>
        <w:ind w:left="792" w:hanging="432"/>
      </w:pPr>
      <w:rPr>
        <w:b/>
        <w:color w:val="auto"/>
      </w:rPr>
    </w:lvl>
    <w:lvl w:ilvl="2">
      <w:start w:val="1"/>
      <w:numFmt w:val="decimal"/>
      <w:pStyle w:val="SubSubNumber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6"/>
  </w:num>
  <w:num w:numId="5">
    <w:abstractNumId w:val="2"/>
  </w:num>
  <w:num w:numId="6">
    <w:abstractNumId w:val="9"/>
  </w:num>
  <w:num w:numId="7">
    <w:abstractNumId w:val="1"/>
  </w:num>
  <w:num w:numId="8">
    <w:abstractNumId w:val="4"/>
  </w:num>
  <w:num w:numId="9">
    <w:abstractNumId w:val="0"/>
  </w:num>
  <w:num w:numId="10">
    <w:abstractNumId w:val="7"/>
  </w:num>
  <w:num w:numId="11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embedTrueTypeFonts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bg-BG" w:vendorID="11" w:dllVersion="512" w:checkStyle="1"/>
  <w:proofState w:spelling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6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N7M0NDCwMDc2tzQ0MzdR0lEKTi0uzszPAymwrAUA/r6EeSwAAAA="/>
  </w:docVars>
  <w:rsids>
    <w:rsidRoot w:val="00376AC3"/>
    <w:rsid w:val="00000041"/>
    <w:rsid w:val="000003C5"/>
    <w:rsid w:val="00000571"/>
    <w:rsid w:val="000009B8"/>
    <w:rsid w:val="00000F09"/>
    <w:rsid w:val="000016E2"/>
    <w:rsid w:val="00002187"/>
    <w:rsid w:val="00002529"/>
    <w:rsid w:val="0000284A"/>
    <w:rsid w:val="000028E7"/>
    <w:rsid w:val="00002E19"/>
    <w:rsid w:val="000032B0"/>
    <w:rsid w:val="00003431"/>
    <w:rsid w:val="0000446D"/>
    <w:rsid w:val="000045A6"/>
    <w:rsid w:val="00004686"/>
    <w:rsid w:val="0000473D"/>
    <w:rsid w:val="0000684B"/>
    <w:rsid w:val="00006BAE"/>
    <w:rsid w:val="00006E0D"/>
    <w:rsid w:val="000077F6"/>
    <w:rsid w:val="00007AFC"/>
    <w:rsid w:val="00011A3D"/>
    <w:rsid w:val="00011DAE"/>
    <w:rsid w:val="00011E88"/>
    <w:rsid w:val="00011F93"/>
    <w:rsid w:val="00012675"/>
    <w:rsid w:val="00013257"/>
    <w:rsid w:val="00013428"/>
    <w:rsid w:val="00013A0F"/>
    <w:rsid w:val="00013CE6"/>
    <w:rsid w:val="00013EE6"/>
    <w:rsid w:val="00014528"/>
    <w:rsid w:val="0001512F"/>
    <w:rsid w:val="0001531D"/>
    <w:rsid w:val="00015501"/>
    <w:rsid w:val="000159B7"/>
    <w:rsid w:val="00016463"/>
    <w:rsid w:val="0001647F"/>
    <w:rsid w:val="00016A61"/>
    <w:rsid w:val="00016C7D"/>
    <w:rsid w:val="0001760B"/>
    <w:rsid w:val="00017D76"/>
    <w:rsid w:val="00017EBE"/>
    <w:rsid w:val="00020154"/>
    <w:rsid w:val="000229D2"/>
    <w:rsid w:val="00022A34"/>
    <w:rsid w:val="00024461"/>
    <w:rsid w:val="000244B4"/>
    <w:rsid w:val="00024649"/>
    <w:rsid w:val="00024B65"/>
    <w:rsid w:val="00024EE4"/>
    <w:rsid w:val="0002534C"/>
    <w:rsid w:val="00025905"/>
    <w:rsid w:val="00025C3F"/>
    <w:rsid w:val="00025ED9"/>
    <w:rsid w:val="00026072"/>
    <w:rsid w:val="00026660"/>
    <w:rsid w:val="00027FA6"/>
    <w:rsid w:val="000300D9"/>
    <w:rsid w:val="000302D7"/>
    <w:rsid w:val="000309D7"/>
    <w:rsid w:val="0003180C"/>
    <w:rsid w:val="0003194C"/>
    <w:rsid w:val="00032851"/>
    <w:rsid w:val="00032CB2"/>
    <w:rsid w:val="00032D3F"/>
    <w:rsid w:val="00034288"/>
    <w:rsid w:val="00034626"/>
    <w:rsid w:val="00035312"/>
    <w:rsid w:val="0003544F"/>
    <w:rsid w:val="00035496"/>
    <w:rsid w:val="00035A7E"/>
    <w:rsid w:val="00035AEF"/>
    <w:rsid w:val="00035AF0"/>
    <w:rsid w:val="000364A5"/>
    <w:rsid w:val="00036D66"/>
    <w:rsid w:val="0003723F"/>
    <w:rsid w:val="000372A6"/>
    <w:rsid w:val="00037954"/>
    <w:rsid w:val="00040C2F"/>
    <w:rsid w:val="00041099"/>
    <w:rsid w:val="00041234"/>
    <w:rsid w:val="00041511"/>
    <w:rsid w:val="00041C39"/>
    <w:rsid w:val="00041F08"/>
    <w:rsid w:val="00042EB2"/>
    <w:rsid w:val="00043168"/>
    <w:rsid w:val="000432F0"/>
    <w:rsid w:val="00043FFF"/>
    <w:rsid w:val="0004416C"/>
    <w:rsid w:val="000443AD"/>
    <w:rsid w:val="000469F2"/>
    <w:rsid w:val="00046CD6"/>
    <w:rsid w:val="00047537"/>
    <w:rsid w:val="00047632"/>
    <w:rsid w:val="00047C32"/>
    <w:rsid w:val="000505B5"/>
    <w:rsid w:val="00050984"/>
    <w:rsid w:val="00050B58"/>
    <w:rsid w:val="000515C3"/>
    <w:rsid w:val="00051678"/>
    <w:rsid w:val="00052250"/>
    <w:rsid w:val="000523C7"/>
    <w:rsid w:val="00052977"/>
    <w:rsid w:val="00052C64"/>
    <w:rsid w:val="00052D72"/>
    <w:rsid w:val="000534A3"/>
    <w:rsid w:val="00053D1C"/>
    <w:rsid w:val="00053F57"/>
    <w:rsid w:val="00054606"/>
    <w:rsid w:val="00054CA0"/>
    <w:rsid w:val="000556F7"/>
    <w:rsid w:val="000564E8"/>
    <w:rsid w:val="0005666C"/>
    <w:rsid w:val="00056A5B"/>
    <w:rsid w:val="00056B69"/>
    <w:rsid w:val="00056FA5"/>
    <w:rsid w:val="000575D3"/>
    <w:rsid w:val="000602B5"/>
    <w:rsid w:val="00060636"/>
    <w:rsid w:val="000608B9"/>
    <w:rsid w:val="000610AC"/>
    <w:rsid w:val="000617B9"/>
    <w:rsid w:val="00061BD0"/>
    <w:rsid w:val="00061F58"/>
    <w:rsid w:val="000623A9"/>
    <w:rsid w:val="00062A7D"/>
    <w:rsid w:val="00062B76"/>
    <w:rsid w:val="00062DD2"/>
    <w:rsid w:val="00062F33"/>
    <w:rsid w:val="000632C7"/>
    <w:rsid w:val="00063CBB"/>
    <w:rsid w:val="000657C1"/>
    <w:rsid w:val="00065D1E"/>
    <w:rsid w:val="000664A4"/>
    <w:rsid w:val="00066961"/>
    <w:rsid w:val="00066AB6"/>
    <w:rsid w:val="00066FD3"/>
    <w:rsid w:val="00067AF2"/>
    <w:rsid w:val="00067C56"/>
    <w:rsid w:val="00070105"/>
    <w:rsid w:val="000723C1"/>
    <w:rsid w:val="00073492"/>
    <w:rsid w:val="0007349E"/>
    <w:rsid w:val="00073BD3"/>
    <w:rsid w:val="00073FE0"/>
    <w:rsid w:val="0007657E"/>
    <w:rsid w:val="00076C6C"/>
    <w:rsid w:val="00076E41"/>
    <w:rsid w:val="0008045C"/>
    <w:rsid w:val="00081381"/>
    <w:rsid w:val="00081486"/>
    <w:rsid w:val="000817A4"/>
    <w:rsid w:val="00082FF5"/>
    <w:rsid w:val="0008301C"/>
    <w:rsid w:val="000832FA"/>
    <w:rsid w:val="000839FD"/>
    <w:rsid w:val="00083F1E"/>
    <w:rsid w:val="000847E0"/>
    <w:rsid w:val="0008501E"/>
    <w:rsid w:val="00085BEF"/>
    <w:rsid w:val="00086411"/>
    <w:rsid w:val="00086C0F"/>
    <w:rsid w:val="000873AD"/>
    <w:rsid w:val="00087A03"/>
    <w:rsid w:val="000901A2"/>
    <w:rsid w:val="00090367"/>
    <w:rsid w:val="0009038D"/>
    <w:rsid w:val="00092E42"/>
    <w:rsid w:val="00092EF7"/>
    <w:rsid w:val="0009310E"/>
    <w:rsid w:val="000935FE"/>
    <w:rsid w:val="00094E29"/>
    <w:rsid w:val="0009536E"/>
    <w:rsid w:val="00095414"/>
    <w:rsid w:val="00095700"/>
    <w:rsid w:val="000963E3"/>
    <w:rsid w:val="00096773"/>
    <w:rsid w:val="00096CBF"/>
    <w:rsid w:val="00096DB2"/>
    <w:rsid w:val="00096E0A"/>
    <w:rsid w:val="0009711E"/>
    <w:rsid w:val="000A05CE"/>
    <w:rsid w:val="000A0D88"/>
    <w:rsid w:val="000A0F0F"/>
    <w:rsid w:val="000A153F"/>
    <w:rsid w:val="000A1654"/>
    <w:rsid w:val="000A18F8"/>
    <w:rsid w:val="000A1E6D"/>
    <w:rsid w:val="000A24C6"/>
    <w:rsid w:val="000A2BF1"/>
    <w:rsid w:val="000A3418"/>
    <w:rsid w:val="000A34F2"/>
    <w:rsid w:val="000A377F"/>
    <w:rsid w:val="000A3890"/>
    <w:rsid w:val="000A3EE6"/>
    <w:rsid w:val="000A3F0D"/>
    <w:rsid w:val="000A4771"/>
    <w:rsid w:val="000A5174"/>
    <w:rsid w:val="000A5364"/>
    <w:rsid w:val="000A579B"/>
    <w:rsid w:val="000A5924"/>
    <w:rsid w:val="000A5A80"/>
    <w:rsid w:val="000A6355"/>
    <w:rsid w:val="000A64F7"/>
    <w:rsid w:val="000A660E"/>
    <w:rsid w:val="000A66A7"/>
    <w:rsid w:val="000A78FC"/>
    <w:rsid w:val="000A7A97"/>
    <w:rsid w:val="000A7D69"/>
    <w:rsid w:val="000B0F2B"/>
    <w:rsid w:val="000B135B"/>
    <w:rsid w:val="000B1819"/>
    <w:rsid w:val="000B1C6A"/>
    <w:rsid w:val="000B201E"/>
    <w:rsid w:val="000B27B7"/>
    <w:rsid w:val="000B28B4"/>
    <w:rsid w:val="000B2A15"/>
    <w:rsid w:val="000B2B69"/>
    <w:rsid w:val="000B2CDF"/>
    <w:rsid w:val="000B2F4F"/>
    <w:rsid w:val="000B3083"/>
    <w:rsid w:val="000B30FE"/>
    <w:rsid w:val="000B343F"/>
    <w:rsid w:val="000B480F"/>
    <w:rsid w:val="000B4A34"/>
    <w:rsid w:val="000B4D82"/>
    <w:rsid w:val="000B5FBD"/>
    <w:rsid w:val="000B69D4"/>
    <w:rsid w:val="000B770E"/>
    <w:rsid w:val="000B777B"/>
    <w:rsid w:val="000B79F0"/>
    <w:rsid w:val="000B7D3F"/>
    <w:rsid w:val="000B7D94"/>
    <w:rsid w:val="000C03C2"/>
    <w:rsid w:val="000C0F70"/>
    <w:rsid w:val="000C0FB7"/>
    <w:rsid w:val="000C15D0"/>
    <w:rsid w:val="000C2FF8"/>
    <w:rsid w:val="000C38F3"/>
    <w:rsid w:val="000C3CB4"/>
    <w:rsid w:val="000C56C3"/>
    <w:rsid w:val="000C5F29"/>
    <w:rsid w:val="000C60E3"/>
    <w:rsid w:val="000C6B48"/>
    <w:rsid w:val="000C6E5F"/>
    <w:rsid w:val="000C6F29"/>
    <w:rsid w:val="000C7723"/>
    <w:rsid w:val="000C784E"/>
    <w:rsid w:val="000C7D9D"/>
    <w:rsid w:val="000D1972"/>
    <w:rsid w:val="000D1AE1"/>
    <w:rsid w:val="000D2316"/>
    <w:rsid w:val="000D2738"/>
    <w:rsid w:val="000D289F"/>
    <w:rsid w:val="000D28BF"/>
    <w:rsid w:val="000D333F"/>
    <w:rsid w:val="000D3442"/>
    <w:rsid w:val="000D34BF"/>
    <w:rsid w:val="000D3604"/>
    <w:rsid w:val="000D3D97"/>
    <w:rsid w:val="000D48C7"/>
    <w:rsid w:val="000D4C66"/>
    <w:rsid w:val="000D4F07"/>
    <w:rsid w:val="000D537F"/>
    <w:rsid w:val="000D61CA"/>
    <w:rsid w:val="000D62D2"/>
    <w:rsid w:val="000D638B"/>
    <w:rsid w:val="000D657B"/>
    <w:rsid w:val="000D7398"/>
    <w:rsid w:val="000D7B56"/>
    <w:rsid w:val="000E0112"/>
    <w:rsid w:val="000E0180"/>
    <w:rsid w:val="000E103D"/>
    <w:rsid w:val="000E1A95"/>
    <w:rsid w:val="000E1BEA"/>
    <w:rsid w:val="000E2DAB"/>
    <w:rsid w:val="000E4544"/>
    <w:rsid w:val="000E456C"/>
    <w:rsid w:val="000E4B46"/>
    <w:rsid w:val="000E4B56"/>
    <w:rsid w:val="000E5568"/>
    <w:rsid w:val="000E5E19"/>
    <w:rsid w:val="000E7CDE"/>
    <w:rsid w:val="000E7DC3"/>
    <w:rsid w:val="000E7FFD"/>
    <w:rsid w:val="000F0066"/>
    <w:rsid w:val="000F032F"/>
    <w:rsid w:val="000F0877"/>
    <w:rsid w:val="000F094C"/>
    <w:rsid w:val="000F109B"/>
    <w:rsid w:val="000F1F2E"/>
    <w:rsid w:val="000F222A"/>
    <w:rsid w:val="000F24E2"/>
    <w:rsid w:val="000F2ED8"/>
    <w:rsid w:val="000F3256"/>
    <w:rsid w:val="000F3D5D"/>
    <w:rsid w:val="000F3EBA"/>
    <w:rsid w:val="000F4A83"/>
    <w:rsid w:val="000F4FEC"/>
    <w:rsid w:val="000F5910"/>
    <w:rsid w:val="000F5A0B"/>
    <w:rsid w:val="000F62B5"/>
    <w:rsid w:val="000F6D9E"/>
    <w:rsid w:val="000F7EDE"/>
    <w:rsid w:val="00100E06"/>
    <w:rsid w:val="00101260"/>
    <w:rsid w:val="00101518"/>
    <w:rsid w:val="001016B1"/>
    <w:rsid w:val="001016B8"/>
    <w:rsid w:val="00101707"/>
    <w:rsid w:val="00101836"/>
    <w:rsid w:val="00102405"/>
    <w:rsid w:val="00103136"/>
    <w:rsid w:val="0010327A"/>
    <w:rsid w:val="001035E7"/>
    <w:rsid w:val="001042CE"/>
    <w:rsid w:val="00104785"/>
    <w:rsid w:val="001053D7"/>
    <w:rsid w:val="00106038"/>
    <w:rsid w:val="001068F1"/>
    <w:rsid w:val="00106A90"/>
    <w:rsid w:val="00106C72"/>
    <w:rsid w:val="00106F7F"/>
    <w:rsid w:val="001072CF"/>
    <w:rsid w:val="00111709"/>
    <w:rsid w:val="00111BF5"/>
    <w:rsid w:val="00113A76"/>
    <w:rsid w:val="00113FAF"/>
    <w:rsid w:val="00114071"/>
    <w:rsid w:val="001147B6"/>
    <w:rsid w:val="0011542D"/>
    <w:rsid w:val="00115992"/>
    <w:rsid w:val="00116F96"/>
    <w:rsid w:val="00117133"/>
    <w:rsid w:val="00117924"/>
    <w:rsid w:val="00117E7F"/>
    <w:rsid w:val="001201FF"/>
    <w:rsid w:val="00120522"/>
    <w:rsid w:val="001207DC"/>
    <w:rsid w:val="00120FCC"/>
    <w:rsid w:val="001210F5"/>
    <w:rsid w:val="00121438"/>
    <w:rsid w:val="00121516"/>
    <w:rsid w:val="00121AA5"/>
    <w:rsid w:val="00121BD9"/>
    <w:rsid w:val="00122383"/>
    <w:rsid w:val="001228FB"/>
    <w:rsid w:val="00122F00"/>
    <w:rsid w:val="001230A8"/>
    <w:rsid w:val="001241C2"/>
    <w:rsid w:val="0012430F"/>
    <w:rsid w:val="0012538C"/>
    <w:rsid w:val="00125597"/>
    <w:rsid w:val="00125854"/>
    <w:rsid w:val="0012666A"/>
    <w:rsid w:val="00126764"/>
    <w:rsid w:val="00126C44"/>
    <w:rsid w:val="00127044"/>
    <w:rsid w:val="00127255"/>
    <w:rsid w:val="00127CB4"/>
    <w:rsid w:val="00130EFA"/>
    <w:rsid w:val="00131340"/>
    <w:rsid w:val="0013201F"/>
    <w:rsid w:val="00132668"/>
    <w:rsid w:val="00132B0B"/>
    <w:rsid w:val="001341A4"/>
    <w:rsid w:val="001341D9"/>
    <w:rsid w:val="001346A6"/>
    <w:rsid w:val="00134A7C"/>
    <w:rsid w:val="00134F13"/>
    <w:rsid w:val="0013500A"/>
    <w:rsid w:val="00135498"/>
    <w:rsid w:val="00137D58"/>
    <w:rsid w:val="00140553"/>
    <w:rsid w:val="00140B88"/>
    <w:rsid w:val="00143351"/>
    <w:rsid w:val="00143563"/>
    <w:rsid w:val="0014393C"/>
    <w:rsid w:val="001441C9"/>
    <w:rsid w:val="0014482E"/>
    <w:rsid w:val="00144B4C"/>
    <w:rsid w:val="00145042"/>
    <w:rsid w:val="00145783"/>
    <w:rsid w:val="00145F07"/>
    <w:rsid w:val="0014716C"/>
    <w:rsid w:val="00147EAC"/>
    <w:rsid w:val="0015070E"/>
    <w:rsid w:val="00150F52"/>
    <w:rsid w:val="001510FD"/>
    <w:rsid w:val="00151F5C"/>
    <w:rsid w:val="00152300"/>
    <w:rsid w:val="001524A4"/>
    <w:rsid w:val="00152911"/>
    <w:rsid w:val="00154650"/>
    <w:rsid w:val="0015471C"/>
    <w:rsid w:val="0015482E"/>
    <w:rsid w:val="00155A28"/>
    <w:rsid w:val="00155CB5"/>
    <w:rsid w:val="00155EE6"/>
    <w:rsid w:val="00156B21"/>
    <w:rsid w:val="00156F26"/>
    <w:rsid w:val="00157013"/>
    <w:rsid w:val="00157448"/>
    <w:rsid w:val="00157A0A"/>
    <w:rsid w:val="00157CC9"/>
    <w:rsid w:val="00160443"/>
    <w:rsid w:val="0016071A"/>
    <w:rsid w:val="00160F66"/>
    <w:rsid w:val="00161882"/>
    <w:rsid w:val="00161CA5"/>
    <w:rsid w:val="0016268B"/>
    <w:rsid w:val="00163898"/>
    <w:rsid w:val="00163E78"/>
    <w:rsid w:val="001644C8"/>
    <w:rsid w:val="00164B08"/>
    <w:rsid w:val="001650BD"/>
    <w:rsid w:val="0016533A"/>
    <w:rsid w:val="00165B8B"/>
    <w:rsid w:val="00166755"/>
    <w:rsid w:val="00166924"/>
    <w:rsid w:val="00166E6C"/>
    <w:rsid w:val="00167059"/>
    <w:rsid w:val="00167528"/>
    <w:rsid w:val="00167897"/>
    <w:rsid w:val="00170A45"/>
    <w:rsid w:val="00171172"/>
    <w:rsid w:val="0017134E"/>
    <w:rsid w:val="00171A25"/>
    <w:rsid w:val="00172002"/>
    <w:rsid w:val="00172202"/>
    <w:rsid w:val="001728FC"/>
    <w:rsid w:val="00172FC0"/>
    <w:rsid w:val="001731B2"/>
    <w:rsid w:val="00173A28"/>
    <w:rsid w:val="00174DE4"/>
    <w:rsid w:val="00174F05"/>
    <w:rsid w:val="00175600"/>
    <w:rsid w:val="00175B00"/>
    <w:rsid w:val="0017656B"/>
    <w:rsid w:val="001767D2"/>
    <w:rsid w:val="00177131"/>
    <w:rsid w:val="00177C23"/>
    <w:rsid w:val="00177D3D"/>
    <w:rsid w:val="001803A2"/>
    <w:rsid w:val="0018114E"/>
    <w:rsid w:val="00181C80"/>
    <w:rsid w:val="00181DAA"/>
    <w:rsid w:val="00182B8D"/>
    <w:rsid w:val="00182F8D"/>
    <w:rsid w:val="00183725"/>
    <w:rsid w:val="00183E8E"/>
    <w:rsid w:val="00184839"/>
    <w:rsid w:val="00184DB4"/>
    <w:rsid w:val="00185525"/>
    <w:rsid w:val="00185990"/>
    <w:rsid w:val="0018650C"/>
    <w:rsid w:val="00186C89"/>
    <w:rsid w:val="001876EF"/>
    <w:rsid w:val="00190D41"/>
    <w:rsid w:val="00192957"/>
    <w:rsid w:val="00192F96"/>
    <w:rsid w:val="001930A0"/>
    <w:rsid w:val="00193641"/>
    <w:rsid w:val="00193E5C"/>
    <w:rsid w:val="00193E92"/>
    <w:rsid w:val="00194154"/>
    <w:rsid w:val="001945C8"/>
    <w:rsid w:val="0019559A"/>
    <w:rsid w:val="00195F93"/>
    <w:rsid w:val="0019633E"/>
    <w:rsid w:val="00197076"/>
    <w:rsid w:val="0019751E"/>
    <w:rsid w:val="00197828"/>
    <w:rsid w:val="001978F3"/>
    <w:rsid w:val="00197C40"/>
    <w:rsid w:val="00197E10"/>
    <w:rsid w:val="00197F4F"/>
    <w:rsid w:val="001A0C2A"/>
    <w:rsid w:val="001A0C3E"/>
    <w:rsid w:val="001A19C2"/>
    <w:rsid w:val="001A1A99"/>
    <w:rsid w:val="001A1E43"/>
    <w:rsid w:val="001A2238"/>
    <w:rsid w:val="001A2613"/>
    <w:rsid w:val="001A357C"/>
    <w:rsid w:val="001A42AC"/>
    <w:rsid w:val="001A458B"/>
    <w:rsid w:val="001A49B8"/>
    <w:rsid w:val="001A4C1F"/>
    <w:rsid w:val="001A4F35"/>
    <w:rsid w:val="001A50AB"/>
    <w:rsid w:val="001A50E0"/>
    <w:rsid w:val="001A5E57"/>
    <w:rsid w:val="001A600B"/>
    <w:rsid w:val="001A6168"/>
    <w:rsid w:val="001A672B"/>
    <w:rsid w:val="001A6A61"/>
    <w:rsid w:val="001A7A25"/>
    <w:rsid w:val="001A7DC4"/>
    <w:rsid w:val="001B13B6"/>
    <w:rsid w:val="001B1F22"/>
    <w:rsid w:val="001B212B"/>
    <w:rsid w:val="001B2344"/>
    <w:rsid w:val="001B27C4"/>
    <w:rsid w:val="001B350E"/>
    <w:rsid w:val="001B352D"/>
    <w:rsid w:val="001B359F"/>
    <w:rsid w:val="001B41DF"/>
    <w:rsid w:val="001B6366"/>
    <w:rsid w:val="001B67EC"/>
    <w:rsid w:val="001B6B2B"/>
    <w:rsid w:val="001B6F76"/>
    <w:rsid w:val="001B720A"/>
    <w:rsid w:val="001B7422"/>
    <w:rsid w:val="001B7D06"/>
    <w:rsid w:val="001B7D6D"/>
    <w:rsid w:val="001C0795"/>
    <w:rsid w:val="001C0802"/>
    <w:rsid w:val="001C0EFA"/>
    <w:rsid w:val="001C1435"/>
    <w:rsid w:val="001C1B9B"/>
    <w:rsid w:val="001C1D69"/>
    <w:rsid w:val="001C1EE9"/>
    <w:rsid w:val="001C23F0"/>
    <w:rsid w:val="001C3244"/>
    <w:rsid w:val="001C3390"/>
    <w:rsid w:val="001C3990"/>
    <w:rsid w:val="001C3C2E"/>
    <w:rsid w:val="001C40A1"/>
    <w:rsid w:val="001C419F"/>
    <w:rsid w:val="001C4221"/>
    <w:rsid w:val="001C5C97"/>
    <w:rsid w:val="001C5E58"/>
    <w:rsid w:val="001C655A"/>
    <w:rsid w:val="001C6B36"/>
    <w:rsid w:val="001C6D2A"/>
    <w:rsid w:val="001C7761"/>
    <w:rsid w:val="001C7A07"/>
    <w:rsid w:val="001C7A22"/>
    <w:rsid w:val="001D0173"/>
    <w:rsid w:val="001D0429"/>
    <w:rsid w:val="001D0C95"/>
    <w:rsid w:val="001D2477"/>
    <w:rsid w:val="001D2A3D"/>
    <w:rsid w:val="001D3448"/>
    <w:rsid w:val="001D3AE7"/>
    <w:rsid w:val="001D4CBC"/>
    <w:rsid w:val="001D510C"/>
    <w:rsid w:val="001D653D"/>
    <w:rsid w:val="001E052E"/>
    <w:rsid w:val="001E1229"/>
    <w:rsid w:val="001E16F0"/>
    <w:rsid w:val="001E1E9D"/>
    <w:rsid w:val="001E294C"/>
    <w:rsid w:val="001E2C30"/>
    <w:rsid w:val="001E3279"/>
    <w:rsid w:val="001E33C7"/>
    <w:rsid w:val="001E362C"/>
    <w:rsid w:val="001E39C4"/>
    <w:rsid w:val="001E4426"/>
    <w:rsid w:val="001E4CE0"/>
    <w:rsid w:val="001E51BC"/>
    <w:rsid w:val="001E57A6"/>
    <w:rsid w:val="001E5D04"/>
    <w:rsid w:val="001E5FB6"/>
    <w:rsid w:val="001E69E4"/>
    <w:rsid w:val="001E6C9F"/>
    <w:rsid w:val="001E750F"/>
    <w:rsid w:val="001E773D"/>
    <w:rsid w:val="001E7C96"/>
    <w:rsid w:val="001F06A0"/>
    <w:rsid w:val="001F0994"/>
    <w:rsid w:val="001F0C6B"/>
    <w:rsid w:val="001F2A4C"/>
    <w:rsid w:val="001F2C29"/>
    <w:rsid w:val="001F2E05"/>
    <w:rsid w:val="001F3DB8"/>
    <w:rsid w:val="001F406D"/>
    <w:rsid w:val="001F4B76"/>
    <w:rsid w:val="001F5081"/>
    <w:rsid w:val="001F5A78"/>
    <w:rsid w:val="001F5D33"/>
    <w:rsid w:val="001F63DA"/>
    <w:rsid w:val="001F68FE"/>
    <w:rsid w:val="001F6A69"/>
    <w:rsid w:val="001F6A7B"/>
    <w:rsid w:val="001F7702"/>
    <w:rsid w:val="00200153"/>
    <w:rsid w:val="00200924"/>
    <w:rsid w:val="00201CFE"/>
    <w:rsid w:val="00201E66"/>
    <w:rsid w:val="00202987"/>
    <w:rsid w:val="00202C0C"/>
    <w:rsid w:val="00202C25"/>
    <w:rsid w:val="00202CED"/>
    <w:rsid w:val="00203435"/>
    <w:rsid w:val="00203D44"/>
    <w:rsid w:val="00204316"/>
    <w:rsid w:val="0020460E"/>
    <w:rsid w:val="00204996"/>
    <w:rsid w:val="00205464"/>
    <w:rsid w:val="002062F9"/>
    <w:rsid w:val="00206996"/>
    <w:rsid w:val="00206DD2"/>
    <w:rsid w:val="00207015"/>
    <w:rsid w:val="002070AB"/>
    <w:rsid w:val="002071BD"/>
    <w:rsid w:val="002103C6"/>
    <w:rsid w:val="00210763"/>
    <w:rsid w:val="00210879"/>
    <w:rsid w:val="0021248C"/>
    <w:rsid w:val="00213288"/>
    <w:rsid w:val="00213A3B"/>
    <w:rsid w:val="00213F29"/>
    <w:rsid w:val="002143A9"/>
    <w:rsid w:val="00214EF0"/>
    <w:rsid w:val="00214F5C"/>
    <w:rsid w:val="00215C1C"/>
    <w:rsid w:val="00215C4D"/>
    <w:rsid w:val="00216775"/>
    <w:rsid w:val="00217441"/>
    <w:rsid w:val="00217608"/>
    <w:rsid w:val="00217C85"/>
    <w:rsid w:val="002212F5"/>
    <w:rsid w:val="002217A5"/>
    <w:rsid w:val="00222118"/>
    <w:rsid w:val="002240DA"/>
    <w:rsid w:val="00224328"/>
    <w:rsid w:val="00224527"/>
    <w:rsid w:val="002253C7"/>
    <w:rsid w:val="00225A9C"/>
    <w:rsid w:val="00226B28"/>
    <w:rsid w:val="00227B68"/>
    <w:rsid w:val="0023013D"/>
    <w:rsid w:val="0023052A"/>
    <w:rsid w:val="00230891"/>
    <w:rsid w:val="00230F6B"/>
    <w:rsid w:val="0023102F"/>
    <w:rsid w:val="00232338"/>
    <w:rsid w:val="00232E5E"/>
    <w:rsid w:val="002334C9"/>
    <w:rsid w:val="002337D7"/>
    <w:rsid w:val="00233BCE"/>
    <w:rsid w:val="002344C6"/>
    <w:rsid w:val="00234E5E"/>
    <w:rsid w:val="00235507"/>
    <w:rsid w:val="0023571E"/>
    <w:rsid w:val="00235E39"/>
    <w:rsid w:val="00235EF0"/>
    <w:rsid w:val="00236A8D"/>
    <w:rsid w:val="00237462"/>
    <w:rsid w:val="002375D4"/>
    <w:rsid w:val="002377DC"/>
    <w:rsid w:val="00240387"/>
    <w:rsid w:val="00241A8A"/>
    <w:rsid w:val="00241ABE"/>
    <w:rsid w:val="00241B33"/>
    <w:rsid w:val="00242005"/>
    <w:rsid w:val="00242479"/>
    <w:rsid w:val="0024252B"/>
    <w:rsid w:val="00244470"/>
    <w:rsid w:val="0024544F"/>
    <w:rsid w:val="002468DB"/>
    <w:rsid w:val="00246BFA"/>
    <w:rsid w:val="00246EF2"/>
    <w:rsid w:val="00247C1F"/>
    <w:rsid w:val="00250690"/>
    <w:rsid w:val="002508DE"/>
    <w:rsid w:val="00250985"/>
    <w:rsid w:val="00251119"/>
    <w:rsid w:val="00251329"/>
    <w:rsid w:val="00251B6F"/>
    <w:rsid w:val="0025238E"/>
    <w:rsid w:val="00252CE9"/>
    <w:rsid w:val="00252E6D"/>
    <w:rsid w:val="002530AF"/>
    <w:rsid w:val="002531D1"/>
    <w:rsid w:val="00254AC3"/>
    <w:rsid w:val="00254C55"/>
    <w:rsid w:val="00256317"/>
    <w:rsid w:val="0025647A"/>
    <w:rsid w:val="00256730"/>
    <w:rsid w:val="00256954"/>
    <w:rsid w:val="00257221"/>
    <w:rsid w:val="002573C9"/>
    <w:rsid w:val="00257B9B"/>
    <w:rsid w:val="00260036"/>
    <w:rsid w:val="002600EE"/>
    <w:rsid w:val="00260465"/>
    <w:rsid w:val="00260598"/>
    <w:rsid w:val="002614C0"/>
    <w:rsid w:val="00261E32"/>
    <w:rsid w:val="00264414"/>
    <w:rsid w:val="00266E75"/>
    <w:rsid w:val="00267891"/>
    <w:rsid w:val="00270631"/>
    <w:rsid w:val="00270D30"/>
    <w:rsid w:val="002711EB"/>
    <w:rsid w:val="00271248"/>
    <w:rsid w:val="0027179F"/>
    <w:rsid w:val="002717C5"/>
    <w:rsid w:val="00271DF2"/>
    <w:rsid w:val="00271FD6"/>
    <w:rsid w:val="002727BD"/>
    <w:rsid w:val="002735FE"/>
    <w:rsid w:val="00273917"/>
    <w:rsid w:val="002740AD"/>
    <w:rsid w:val="0027431D"/>
    <w:rsid w:val="00274E87"/>
    <w:rsid w:val="0027517C"/>
    <w:rsid w:val="002753A0"/>
    <w:rsid w:val="00275B91"/>
    <w:rsid w:val="0027681C"/>
    <w:rsid w:val="00277073"/>
    <w:rsid w:val="0027714B"/>
    <w:rsid w:val="00277B80"/>
    <w:rsid w:val="0028089B"/>
    <w:rsid w:val="002808EC"/>
    <w:rsid w:val="0028103D"/>
    <w:rsid w:val="00281831"/>
    <w:rsid w:val="002818BB"/>
    <w:rsid w:val="00281BAA"/>
    <w:rsid w:val="002823D4"/>
    <w:rsid w:val="00283925"/>
    <w:rsid w:val="00283BF9"/>
    <w:rsid w:val="002841D3"/>
    <w:rsid w:val="0028420D"/>
    <w:rsid w:val="00284243"/>
    <w:rsid w:val="0028469B"/>
    <w:rsid w:val="002849A1"/>
    <w:rsid w:val="0028523A"/>
    <w:rsid w:val="00285551"/>
    <w:rsid w:val="00286CCB"/>
    <w:rsid w:val="00286F36"/>
    <w:rsid w:val="00287460"/>
    <w:rsid w:val="002907D7"/>
    <w:rsid w:val="00290D4F"/>
    <w:rsid w:val="00290F1C"/>
    <w:rsid w:val="00291639"/>
    <w:rsid w:val="0029187D"/>
    <w:rsid w:val="002919DC"/>
    <w:rsid w:val="00291D06"/>
    <w:rsid w:val="0029290C"/>
    <w:rsid w:val="002936B6"/>
    <w:rsid w:val="00294981"/>
    <w:rsid w:val="00295027"/>
    <w:rsid w:val="002950A7"/>
    <w:rsid w:val="00295F7B"/>
    <w:rsid w:val="0029626B"/>
    <w:rsid w:val="002962A2"/>
    <w:rsid w:val="002968D5"/>
    <w:rsid w:val="002970BF"/>
    <w:rsid w:val="002A13F7"/>
    <w:rsid w:val="002A16D3"/>
    <w:rsid w:val="002A1CF3"/>
    <w:rsid w:val="002A2194"/>
    <w:rsid w:val="002A21F2"/>
    <w:rsid w:val="002A226D"/>
    <w:rsid w:val="002A2859"/>
    <w:rsid w:val="002A2996"/>
    <w:rsid w:val="002A2F70"/>
    <w:rsid w:val="002A30E4"/>
    <w:rsid w:val="002A52FA"/>
    <w:rsid w:val="002A54B1"/>
    <w:rsid w:val="002A6963"/>
    <w:rsid w:val="002A6E95"/>
    <w:rsid w:val="002A78DE"/>
    <w:rsid w:val="002A7D51"/>
    <w:rsid w:val="002B0914"/>
    <w:rsid w:val="002B0CF0"/>
    <w:rsid w:val="002B0F7A"/>
    <w:rsid w:val="002B2569"/>
    <w:rsid w:val="002B3443"/>
    <w:rsid w:val="002B3777"/>
    <w:rsid w:val="002B39C4"/>
    <w:rsid w:val="002B494E"/>
    <w:rsid w:val="002B5E67"/>
    <w:rsid w:val="002B7604"/>
    <w:rsid w:val="002B7673"/>
    <w:rsid w:val="002B77E0"/>
    <w:rsid w:val="002B7836"/>
    <w:rsid w:val="002B788C"/>
    <w:rsid w:val="002C128C"/>
    <w:rsid w:val="002C1C01"/>
    <w:rsid w:val="002C2941"/>
    <w:rsid w:val="002C2D82"/>
    <w:rsid w:val="002C36A4"/>
    <w:rsid w:val="002C3897"/>
    <w:rsid w:val="002C3CC3"/>
    <w:rsid w:val="002C486F"/>
    <w:rsid w:val="002C4C7C"/>
    <w:rsid w:val="002C4D60"/>
    <w:rsid w:val="002C4DBD"/>
    <w:rsid w:val="002C4FE1"/>
    <w:rsid w:val="002C534A"/>
    <w:rsid w:val="002C53AC"/>
    <w:rsid w:val="002C54A7"/>
    <w:rsid w:val="002C7171"/>
    <w:rsid w:val="002C77B6"/>
    <w:rsid w:val="002C7EDA"/>
    <w:rsid w:val="002D1002"/>
    <w:rsid w:val="002D176D"/>
    <w:rsid w:val="002D23EF"/>
    <w:rsid w:val="002D2572"/>
    <w:rsid w:val="002D2996"/>
    <w:rsid w:val="002D3A03"/>
    <w:rsid w:val="002D3A4D"/>
    <w:rsid w:val="002D3E25"/>
    <w:rsid w:val="002D48B8"/>
    <w:rsid w:val="002D4BC9"/>
    <w:rsid w:val="002D4F87"/>
    <w:rsid w:val="002D5AEB"/>
    <w:rsid w:val="002D5BD3"/>
    <w:rsid w:val="002D62F8"/>
    <w:rsid w:val="002D66DB"/>
    <w:rsid w:val="002D6848"/>
    <w:rsid w:val="002D70F4"/>
    <w:rsid w:val="002D77B0"/>
    <w:rsid w:val="002E045D"/>
    <w:rsid w:val="002E0C80"/>
    <w:rsid w:val="002E1503"/>
    <w:rsid w:val="002E18E3"/>
    <w:rsid w:val="002E2014"/>
    <w:rsid w:val="002E21A0"/>
    <w:rsid w:val="002E22D8"/>
    <w:rsid w:val="002E23E8"/>
    <w:rsid w:val="002E323B"/>
    <w:rsid w:val="002E3443"/>
    <w:rsid w:val="002E3FC1"/>
    <w:rsid w:val="002E4626"/>
    <w:rsid w:val="002E4649"/>
    <w:rsid w:val="002E48F8"/>
    <w:rsid w:val="002E5785"/>
    <w:rsid w:val="002E5EDB"/>
    <w:rsid w:val="002E6419"/>
    <w:rsid w:val="002E661F"/>
    <w:rsid w:val="002E6884"/>
    <w:rsid w:val="002E6D1A"/>
    <w:rsid w:val="002E7ADC"/>
    <w:rsid w:val="002E7B41"/>
    <w:rsid w:val="002F0304"/>
    <w:rsid w:val="002F0A25"/>
    <w:rsid w:val="002F182D"/>
    <w:rsid w:val="002F1CA0"/>
    <w:rsid w:val="002F2171"/>
    <w:rsid w:val="002F264A"/>
    <w:rsid w:val="002F323F"/>
    <w:rsid w:val="002F36EA"/>
    <w:rsid w:val="002F3DA7"/>
    <w:rsid w:val="002F412C"/>
    <w:rsid w:val="002F41A6"/>
    <w:rsid w:val="002F427B"/>
    <w:rsid w:val="002F4758"/>
    <w:rsid w:val="002F47E4"/>
    <w:rsid w:val="002F4FAD"/>
    <w:rsid w:val="002F5D9B"/>
    <w:rsid w:val="002F61E9"/>
    <w:rsid w:val="002F67F7"/>
    <w:rsid w:val="002F6880"/>
    <w:rsid w:val="002F69C2"/>
    <w:rsid w:val="002F6D5A"/>
    <w:rsid w:val="002F723A"/>
    <w:rsid w:val="002F7516"/>
    <w:rsid w:val="002F7A87"/>
    <w:rsid w:val="002F7FBB"/>
    <w:rsid w:val="00300443"/>
    <w:rsid w:val="00300896"/>
    <w:rsid w:val="00301445"/>
    <w:rsid w:val="00301500"/>
    <w:rsid w:val="00301EA7"/>
    <w:rsid w:val="0030267F"/>
    <w:rsid w:val="00302916"/>
    <w:rsid w:val="00302CCA"/>
    <w:rsid w:val="0030358F"/>
    <w:rsid w:val="00304075"/>
    <w:rsid w:val="00304480"/>
    <w:rsid w:val="00304526"/>
    <w:rsid w:val="00304BC1"/>
    <w:rsid w:val="00304BDD"/>
    <w:rsid w:val="00304D47"/>
    <w:rsid w:val="003052B6"/>
    <w:rsid w:val="00305AEC"/>
    <w:rsid w:val="00305BD1"/>
    <w:rsid w:val="00306155"/>
    <w:rsid w:val="003070AE"/>
    <w:rsid w:val="0030735D"/>
    <w:rsid w:val="00307387"/>
    <w:rsid w:val="00307E33"/>
    <w:rsid w:val="00311917"/>
    <w:rsid w:val="00311B46"/>
    <w:rsid w:val="00311FB6"/>
    <w:rsid w:val="00312475"/>
    <w:rsid w:val="003127E9"/>
    <w:rsid w:val="00312CA7"/>
    <w:rsid w:val="00313903"/>
    <w:rsid w:val="00313ABA"/>
    <w:rsid w:val="00314AF2"/>
    <w:rsid w:val="00315833"/>
    <w:rsid w:val="00315B67"/>
    <w:rsid w:val="00315E3D"/>
    <w:rsid w:val="00315E8A"/>
    <w:rsid w:val="00315FD9"/>
    <w:rsid w:val="00316218"/>
    <w:rsid w:val="00316C04"/>
    <w:rsid w:val="00316DE1"/>
    <w:rsid w:val="00317686"/>
    <w:rsid w:val="0032119E"/>
    <w:rsid w:val="0032145D"/>
    <w:rsid w:val="0032299A"/>
    <w:rsid w:val="00325B8A"/>
    <w:rsid w:val="0032615D"/>
    <w:rsid w:val="00326727"/>
    <w:rsid w:val="003268A9"/>
    <w:rsid w:val="00326BCA"/>
    <w:rsid w:val="00326E61"/>
    <w:rsid w:val="00326F09"/>
    <w:rsid w:val="00327B2D"/>
    <w:rsid w:val="0033000C"/>
    <w:rsid w:val="00330CD8"/>
    <w:rsid w:val="00331039"/>
    <w:rsid w:val="00331084"/>
    <w:rsid w:val="0033108C"/>
    <w:rsid w:val="00331169"/>
    <w:rsid w:val="003316EC"/>
    <w:rsid w:val="00331DB1"/>
    <w:rsid w:val="00332D43"/>
    <w:rsid w:val="00332E61"/>
    <w:rsid w:val="003335AC"/>
    <w:rsid w:val="00334771"/>
    <w:rsid w:val="0033588E"/>
    <w:rsid w:val="00336120"/>
    <w:rsid w:val="0033625E"/>
    <w:rsid w:val="00336B60"/>
    <w:rsid w:val="00336D65"/>
    <w:rsid w:val="00336F32"/>
    <w:rsid w:val="0033725B"/>
    <w:rsid w:val="00340313"/>
    <w:rsid w:val="00340334"/>
    <w:rsid w:val="003421B4"/>
    <w:rsid w:val="00342FD3"/>
    <w:rsid w:val="003432A3"/>
    <w:rsid w:val="00343365"/>
    <w:rsid w:val="0034369C"/>
    <w:rsid w:val="00343E0B"/>
    <w:rsid w:val="00343FC4"/>
    <w:rsid w:val="00344236"/>
    <w:rsid w:val="003450E3"/>
    <w:rsid w:val="003457EB"/>
    <w:rsid w:val="00345DE7"/>
    <w:rsid w:val="0034641B"/>
    <w:rsid w:val="00346A80"/>
    <w:rsid w:val="00347992"/>
    <w:rsid w:val="003500EF"/>
    <w:rsid w:val="003507F8"/>
    <w:rsid w:val="0035099F"/>
    <w:rsid w:val="0035174A"/>
    <w:rsid w:val="00351B0A"/>
    <w:rsid w:val="00351D0D"/>
    <w:rsid w:val="0035213E"/>
    <w:rsid w:val="00352F9D"/>
    <w:rsid w:val="0035366A"/>
    <w:rsid w:val="00353841"/>
    <w:rsid w:val="0035395F"/>
    <w:rsid w:val="00353E85"/>
    <w:rsid w:val="003546D0"/>
    <w:rsid w:val="00354964"/>
    <w:rsid w:val="00354E76"/>
    <w:rsid w:val="00354F74"/>
    <w:rsid w:val="00355004"/>
    <w:rsid w:val="0035513A"/>
    <w:rsid w:val="0035517E"/>
    <w:rsid w:val="00355586"/>
    <w:rsid w:val="0035584A"/>
    <w:rsid w:val="00355B33"/>
    <w:rsid w:val="00356307"/>
    <w:rsid w:val="00356AF7"/>
    <w:rsid w:val="0035700F"/>
    <w:rsid w:val="00357C3E"/>
    <w:rsid w:val="00357D79"/>
    <w:rsid w:val="003605E8"/>
    <w:rsid w:val="00360DE9"/>
    <w:rsid w:val="00360E68"/>
    <w:rsid w:val="00361C31"/>
    <w:rsid w:val="00361E95"/>
    <w:rsid w:val="00361EB2"/>
    <w:rsid w:val="00361F9A"/>
    <w:rsid w:val="00362374"/>
    <w:rsid w:val="00362A95"/>
    <w:rsid w:val="00362CD4"/>
    <w:rsid w:val="00363783"/>
    <w:rsid w:val="0036389A"/>
    <w:rsid w:val="00363930"/>
    <w:rsid w:val="0036399A"/>
    <w:rsid w:val="00363ECC"/>
    <w:rsid w:val="00364941"/>
    <w:rsid w:val="00364E43"/>
    <w:rsid w:val="00364FB4"/>
    <w:rsid w:val="00365205"/>
    <w:rsid w:val="0036542D"/>
    <w:rsid w:val="00365470"/>
    <w:rsid w:val="003658E9"/>
    <w:rsid w:val="00367A48"/>
    <w:rsid w:val="00367A4D"/>
    <w:rsid w:val="00367DC5"/>
    <w:rsid w:val="00367EFF"/>
    <w:rsid w:val="00367FAB"/>
    <w:rsid w:val="00370192"/>
    <w:rsid w:val="00370557"/>
    <w:rsid w:val="003706AF"/>
    <w:rsid w:val="00371410"/>
    <w:rsid w:val="003724E1"/>
    <w:rsid w:val="00372529"/>
    <w:rsid w:val="00373961"/>
    <w:rsid w:val="00373B2C"/>
    <w:rsid w:val="0037435D"/>
    <w:rsid w:val="003747C3"/>
    <w:rsid w:val="003758C7"/>
    <w:rsid w:val="00376AC3"/>
    <w:rsid w:val="00376ADA"/>
    <w:rsid w:val="00376DC4"/>
    <w:rsid w:val="003772C7"/>
    <w:rsid w:val="00377431"/>
    <w:rsid w:val="00377B21"/>
    <w:rsid w:val="00377DB5"/>
    <w:rsid w:val="00380588"/>
    <w:rsid w:val="003809B7"/>
    <w:rsid w:val="00380EED"/>
    <w:rsid w:val="00380FD1"/>
    <w:rsid w:val="00381053"/>
    <w:rsid w:val="00381470"/>
    <w:rsid w:val="003815A7"/>
    <w:rsid w:val="003816E3"/>
    <w:rsid w:val="00382793"/>
    <w:rsid w:val="0038279E"/>
    <w:rsid w:val="00382A7B"/>
    <w:rsid w:val="00383121"/>
    <w:rsid w:val="00383656"/>
    <w:rsid w:val="0038365A"/>
    <w:rsid w:val="00383F32"/>
    <w:rsid w:val="003847E3"/>
    <w:rsid w:val="003849BB"/>
    <w:rsid w:val="003853FA"/>
    <w:rsid w:val="00385846"/>
    <w:rsid w:val="003859D6"/>
    <w:rsid w:val="00385A8B"/>
    <w:rsid w:val="003866BC"/>
    <w:rsid w:val="0038686A"/>
    <w:rsid w:val="00386C5F"/>
    <w:rsid w:val="00386E36"/>
    <w:rsid w:val="0038744B"/>
    <w:rsid w:val="003900D7"/>
    <w:rsid w:val="0039020B"/>
    <w:rsid w:val="003909E1"/>
    <w:rsid w:val="00391091"/>
    <w:rsid w:val="0039118C"/>
    <w:rsid w:val="00391F12"/>
    <w:rsid w:val="00392A8F"/>
    <w:rsid w:val="0039483E"/>
    <w:rsid w:val="00394A2F"/>
    <w:rsid w:val="00394C06"/>
    <w:rsid w:val="00395238"/>
    <w:rsid w:val="00395E50"/>
    <w:rsid w:val="00396537"/>
    <w:rsid w:val="00397812"/>
    <w:rsid w:val="00397C49"/>
    <w:rsid w:val="003A0530"/>
    <w:rsid w:val="003A0A60"/>
    <w:rsid w:val="003A12C9"/>
    <w:rsid w:val="003A1851"/>
    <w:rsid w:val="003A1CC7"/>
    <w:rsid w:val="003A1E84"/>
    <w:rsid w:val="003A3770"/>
    <w:rsid w:val="003A3EF5"/>
    <w:rsid w:val="003A4206"/>
    <w:rsid w:val="003A431F"/>
    <w:rsid w:val="003A45F7"/>
    <w:rsid w:val="003A5661"/>
    <w:rsid w:val="003A574E"/>
    <w:rsid w:val="003A5F46"/>
    <w:rsid w:val="003A6912"/>
    <w:rsid w:val="003A6BEA"/>
    <w:rsid w:val="003A6CBB"/>
    <w:rsid w:val="003A6CCC"/>
    <w:rsid w:val="003A7A7E"/>
    <w:rsid w:val="003B025F"/>
    <w:rsid w:val="003B0282"/>
    <w:rsid w:val="003B0DDD"/>
    <w:rsid w:val="003B2497"/>
    <w:rsid w:val="003B2CA5"/>
    <w:rsid w:val="003B3796"/>
    <w:rsid w:val="003B3E62"/>
    <w:rsid w:val="003B40C0"/>
    <w:rsid w:val="003B4513"/>
    <w:rsid w:val="003B4A54"/>
    <w:rsid w:val="003B50D1"/>
    <w:rsid w:val="003B62FC"/>
    <w:rsid w:val="003B6490"/>
    <w:rsid w:val="003B7DF1"/>
    <w:rsid w:val="003C0CDE"/>
    <w:rsid w:val="003C1C68"/>
    <w:rsid w:val="003C1D4F"/>
    <w:rsid w:val="003C38A9"/>
    <w:rsid w:val="003C3C52"/>
    <w:rsid w:val="003C3D35"/>
    <w:rsid w:val="003C57F9"/>
    <w:rsid w:val="003C67FA"/>
    <w:rsid w:val="003C6C2F"/>
    <w:rsid w:val="003C6CB6"/>
    <w:rsid w:val="003C6E04"/>
    <w:rsid w:val="003C7301"/>
    <w:rsid w:val="003D09BC"/>
    <w:rsid w:val="003D0B7C"/>
    <w:rsid w:val="003D1308"/>
    <w:rsid w:val="003D1D31"/>
    <w:rsid w:val="003D2905"/>
    <w:rsid w:val="003D2F59"/>
    <w:rsid w:val="003D35E7"/>
    <w:rsid w:val="003D36FB"/>
    <w:rsid w:val="003D4ED2"/>
    <w:rsid w:val="003D571C"/>
    <w:rsid w:val="003D5BEB"/>
    <w:rsid w:val="003D60A3"/>
    <w:rsid w:val="003D6459"/>
    <w:rsid w:val="003D688D"/>
    <w:rsid w:val="003D69A1"/>
    <w:rsid w:val="003D7469"/>
    <w:rsid w:val="003D7EEE"/>
    <w:rsid w:val="003E053F"/>
    <w:rsid w:val="003E223E"/>
    <w:rsid w:val="003E395E"/>
    <w:rsid w:val="003E4376"/>
    <w:rsid w:val="003E4CBC"/>
    <w:rsid w:val="003E5876"/>
    <w:rsid w:val="003E69EA"/>
    <w:rsid w:val="003E6CCB"/>
    <w:rsid w:val="003E7A74"/>
    <w:rsid w:val="003F00B3"/>
    <w:rsid w:val="003F010B"/>
    <w:rsid w:val="003F0DCF"/>
    <w:rsid w:val="003F1179"/>
    <w:rsid w:val="003F11DC"/>
    <w:rsid w:val="003F1308"/>
    <w:rsid w:val="003F1659"/>
    <w:rsid w:val="003F1A30"/>
    <w:rsid w:val="003F1CA4"/>
    <w:rsid w:val="003F1D15"/>
    <w:rsid w:val="003F1E31"/>
    <w:rsid w:val="003F24A5"/>
    <w:rsid w:val="003F262E"/>
    <w:rsid w:val="003F32E3"/>
    <w:rsid w:val="003F3B82"/>
    <w:rsid w:val="003F3C3E"/>
    <w:rsid w:val="003F40B5"/>
    <w:rsid w:val="003F492F"/>
    <w:rsid w:val="003F60F4"/>
    <w:rsid w:val="003F68D0"/>
    <w:rsid w:val="003F6B73"/>
    <w:rsid w:val="004002E9"/>
    <w:rsid w:val="00401398"/>
    <w:rsid w:val="00401893"/>
    <w:rsid w:val="00401922"/>
    <w:rsid w:val="00401DFB"/>
    <w:rsid w:val="00401E53"/>
    <w:rsid w:val="0040204D"/>
    <w:rsid w:val="004021CF"/>
    <w:rsid w:val="00402969"/>
    <w:rsid w:val="00403035"/>
    <w:rsid w:val="0040398A"/>
    <w:rsid w:val="00403994"/>
    <w:rsid w:val="00403A3B"/>
    <w:rsid w:val="00404581"/>
    <w:rsid w:val="004047F5"/>
    <w:rsid w:val="004048AB"/>
    <w:rsid w:val="00404CD8"/>
    <w:rsid w:val="00405090"/>
    <w:rsid w:val="004056E3"/>
    <w:rsid w:val="00405BA4"/>
    <w:rsid w:val="00406025"/>
    <w:rsid w:val="00406266"/>
    <w:rsid w:val="00407144"/>
    <w:rsid w:val="00410B1B"/>
    <w:rsid w:val="00410BBE"/>
    <w:rsid w:val="00410DEA"/>
    <w:rsid w:val="00410E67"/>
    <w:rsid w:val="004114C8"/>
    <w:rsid w:val="00411B99"/>
    <w:rsid w:val="00411F42"/>
    <w:rsid w:val="00412676"/>
    <w:rsid w:val="00413061"/>
    <w:rsid w:val="00413352"/>
    <w:rsid w:val="00413808"/>
    <w:rsid w:val="0041400B"/>
    <w:rsid w:val="00414874"/>
    <w:rsid w:val="004149BE"/>
    <w:rsid w:val="0041563C"/>
    <w:rsid w:val="00415B34"/>
    <w:rsid w:val="004162DD"/>
    <w:rsid w:val="004167A9"/>
    <w:rsid w:val="0041744E"/>
    <w:rsid w:val="00417512"/>
    <w:rsid w:val="004175A8"/>
    <w:rsid w:val="00417731"/>
    <w:rsid w:val="0042005A"/>
    <w:rsid w:val="00421404"/>
    <w:rsid w:val="00421649"/>
    <w:rsid w:val="0042165D"/>
    <w:rsid w:val="004224ED"/>
    <w:rsid w:val="00423E0E"/>
    <w:rsid w:val="00424B29"/>
    <w:rsid w:val="004250C1"/>
    <w:rsid w:val="00425CFE"/>
    <w:rsid w:val="0042662C"/>
    <w:rsid w:val="0042693A"/>
    <w:rsid w:val="00427F2A"/>
    <w:rsid w:val="0043026B"/>
    <w:rsid w:val="0043078C"/>
    <w:rsid w:val="00430F55"/>
    <w:rsid w:val="0043139B"/>
    <w:rsid w:val="0043153D"/>
    <w:rsid w:val="0043218F"/>
    <w:rsid w:val="004331D1"/>
    <w:rsid w:val="00433303"/>
    <w:rsid w:val="00433523"/>
    <w:rsid w:val="00433A83"/>
    <w:rsid w:val="00434B11"/>
    <w:rsid w:val="00434D90"/>
    <w:rsid w:val="00435028"/>
    <w:rsid w:val="00435088"/>
    <w:rsid w:val="004353E4"/>
    <w:rsid w:val="0043567C"/>
    <w:rsid w:val="00435C04"/>
    <w:rsid w:val="00436F6A"/>
    <w:rsid w:val="00437EE7"/>
    <w:rsid w:val="00440ACA"/>
    <w:rsid w:val="00440C1D"/>
    <w:rsid w:val="00441331"/>
    <w:rsid w:val="00441941"/>
    <w:rsid w:val="0044223F"/>
    <w:rsid w:val="004423B3"/>
    <w:rsid w:val="0044281A"/>
    <w:rsid w:val="004438CE"/>
    <w:rsid w:val="00443A53"/>
    <w:rsid w:val="00443AAB"/>
    <w:rsid w:val="00443D66"/>
    <w:rsid w:val="00444484"/>
    <w:rsid w:val="00444D57"/>
    <w:rsid w:val="00444E3C"/>
    <w:rsid w:val="00445404"/>
    <w:rsid w:val="00445A2B"/>
    <w:rsid w:val="00445FCD"/>
    <w:rsid w:val="0044619C"/>
    <w:rsid w:val="004465E1"/>
    <w:rsid w:val="00446DE6"/>
    <w:rsid w:val="00447B71"/>
    <w:rsid w:val="004502D5"/>
    <w:rsid w:val="00451061"/>
    <w:rsid w:val="00451466"/>
    <w:rsid w:val="00451D8E"/>
    <w:rsid w:val="0045205E"/>
    <w:rsid w:val="00452F31"/>
    <w:rsid w:val="0045382F"/>
    <w:rsid w:val="00453C3F"/>
    <w:rsid w:val="00453F6F"/>
    <w:rsid w:val="00454A48"/>
    <w:rsid w:val="00454D2C"/>
    <w:rsid w:val="0045586C"/>
    <w:rsid w:val="00455C02"/>
    <w:rsid w:val="00455C89"/>
    <w:rsid w:val="0045643B"/>
    <w:rsid w:val="00457E1B"/>
    <w:rsid w:val="00457F73"/>
    <w:rsid w:val="0046035C"/>
    <w:rsid w:val="00461B1D"/>
    <w:rsid w:val="00461DF2"/>
    <w:rsid w:val="00462739"/>
    <w:rsid w:val="00462B74"/>
    <w:rsid w:val="00462C4D"/>
    <w:rsid w:val="004632DF"/>
    <w:rsid w:val="00463761"/>
    <w:rsid w:val="004644B4"/>
    <w:rsid w:val="0046473E"/>
    <w:rsid w:val="004652A8"/>
    <w:rsid w:val="004678D4"/>
    <w:rsid w:val="0047007E"/>
    <w:rsid w:val="00470C31"/>
    <w:rsid w:val="00470FB1"/>
    <w:rsid w:val="0047128F"/>
    <w:rsid w:val="00471570"/>
    <w:rsid w:val="0047173E"/>
    <w:rsid w:val="004717D8"/>
    <w:rsid w:val="00471B1F"/>
    <w:rsid w:val="00473089"/>
    <w:rsid w:val="0047355D"/>
    <w:rsid w:val="00474FF7"/>
    <w:rsid w:val="0047614D"/>
    <w:rsid w:val="0047676C"/>
    <w:rsid w:val="004769AA"/>
    <w:rsid w:val="00476B64"/>
    <w:rsid w:val="00477171"/>
    <w:rsid w:val="004779BE"/>
    <w:rsid w:val="00480EB3"/>
    <w:rsid w:val="00480FF6"/>
    <w:rsid w:val="00481566"/>
    <w:rsid w:val="00481773"/>
    <w:rsid w:val="004818E4"/>
    <w:rsid w:val="00482242"/>
    <w:rsid w:val="00482443"/>
    <w:rsid w:val="00482CFE"/>
    <w:rsid w:val="00482D97"/>
    <w:rsid w:val="004837D9"/>
    <w:rsid w:val="00483BD6"/>
    <w:rsid w:val="00483C38"/>
    <w:rsid w:val="00485A99"/>
    <w:rsid w:val="0048664F"/>
    <w:rsid w:val="0048676E"/>
    <w:rsid w:val="00486D0C"/>
    <w:rsid w:val="00487408"/>
    <w:rsid w:val="0049026B"/>
    <w:rsid w:val="00490380"/>
    <w:rsid w:val="00490561"/>
    <w:rsid w:val="0049070B"/>
    <w:rsid w:val="00491096"/>
    <w:rsid w:val="0049144C"/>
    <w:rsid w:val="0049174F"/>
    <w:rsid w:val="004919A1"/>
    <w:rsid w:val="00491DEE"/>
    <w:rsid w:val="004929B1"/>
    <w:rsid w:val="00492D95"/>
    <w:rsid w:val="0049366D"/>
    <w:rsid w:val="00493783"/>
    <w:rsid w:val="00493C1D"/>
    <w:rsid w:val="00493D27"/>
    <w:rsid w:val="00493E7D"/>
    <w:rsid w:val="0049443E"/>
    <w:rsid w:val="004947C9"/>
    <w:rsid w:val="0049483E"/>
    <w:rsid w:val="004964D5"/>
    <w:rsid w:val="004968A5"/>
    <w:rsid w:val="0049694D"/>
    <w:rsid w:val="00497176"/>
    <w:rsid w:val="00497E75"/>
    <w:rsid w:val="004A019F"/>
    <w:rsid w:val="004A2313"/>
    <w:rsid w:val="004A23E6"/>
    <w:rsid w:val="004A27F7"/>
    <w:rsid w:val="004A2BD0"/>
    <w:rsid w:val="004A3514"/>
    <w:rsid w:val="004A49C3"/>
    <w:rsid w:val="004A4D7A"/>
    <w:rsid w:val="004A4E80"/>
    <w:rsid w:val="004A557E"/>
    <w:rsid w:val="004A5F77"/>
    <w:rsid w:val="004A6042"/>
    <w:rsid w:val="004A7662"/>
    <w:rsid w:val="004A7EB5"/>
    <w:rsid w:val="004B006C"/>
    <w:rsid w:val="004B045C"/>
    <w:rsid w:val="004B04CF"/>
    <w:rsid w:val="004B0B79"/>
    <w:rsid w:val="004B1369"/>
    <w:rsid w:val="004B299E"/>
    <w:rsid w:val="004B2AB6"/>
    <w:rsid w:val="004B306E"/>
    <w:rsid w:val="004B3936"/>
    <w:rsid w:val="004B3C95"/>
    <w:rsid w:val="004B434A"/>
    <w:rsid w:val="004B4D4E"/>
    <w:rsid w:val="004B518A"/>
    <w:rsid w:val="004B54F2"/>
    <w:rsid w:val="004B66C0"/>
    <w:rsid w:val="004B6706"/>
    <w:rsid w:val="004B712E"/>
    <w:rsid w:val="004C0801"/>
    <w:rsid w:val="004C158B"/>
    <w:rsid w:val="004C1718"/>
    <w:rsid w:val="004C1CC3"/>
    <w:rsid w:val="004C1DB1"/>
    <w:rsid w:val="004C2294"/>
    <w:rsid w:val="004C23AD"/>
    <w:rsid w:val="004C2598"/>
    <w:rsid w:val="004C26F7"/>
    <w:rsid w:val="004C2C6E"/>
    <w:rsid w:val="004C33AE"/>
    <w:rsid w:val="004C377C"/>
    <w:rsid w:val="004C3BC8"/>
    <w:rsid w:val="004C3C4C"/>
    <w:rsid w:val="004C3D11"/>
    <w:rsid w:val="004C46C5"/>
    <w:rsid w:val="004C4CBB"/>
    <w:rsid w:val="004C574E"/>
    <w:rsid w:val="004C61D4"/>
    <w:rsid w:val="004C69CC"/>
    <w:rsid w:val="004C6F9D"/>
    <w:rsid w:val="004C7706"/>
    <w:rsid w:val="004D0F54"/>
    <w:rsid w:val="004D1299"/>
    <w:rsid w:val="004D1C79"/>
    <w:rsid w:val="004D1FE8"/>
    <w:rsid w:val="004D21E9"/>
    <w:rsid w:val="004D21F9"/>
    <w:rsid w:val="004D2469"/>
    <w:rsid w:val="004D2587"/>
    <w:rsid w:val="004D2635"/>
    <w:rsid w:val="004D293E"/>
    <w:rsid w:val="004D2B66"/>
    <w:rsid w:val="004D2CC4"/>
    <w:rsid w:val="004D2D5A"/>
    <w:rsid w:val="004D33F3"/>
    <w:rsid w:val="004D42BE"/>
    <w:rsid w:val="004D48E7"/>
    <w:rsid w:val="004D4F95"/>
    <w:rsid w:val="004D5B70"/>
    <w:rsid w:val="004D5CAC"/>
    <w:rsid w:val="004D78ED"/>
    <w:rsid w:val="004E0189"/>
    <w:rsid w:val="004E2117"/>
    <w:rsid w:val="004E21EE"/>
    <w:rsid w:val="004E2AB2"/>
    <w:rsid w:val="004E2DA2"/>
    <w:rsid w:val="004E340D"/>
    <w:rsid w:val="004E34D8"/>
    <w:rsid w:val="004E3D1F"/>
    <w:rsid w:val="004E3D2B"/>
    <w:rsid w:val="004E3FBA"/>
    <w:rsid w:val="004E42BD"/>
    <w:rsid w:val="004E42F0"/>
    <w:rsid w:val="004E4D14"/>
    <w:rsid w:val="004E5C33"/>
    <w:rsid w:val="004E6124"/>
    <w:rsid w:val="004E68EB"/>
    <w:rsid w:val="004E7019"/>
    <w:rsid w:val="004E71A2"/>
    <w:rsid w:val="004E7FB1"/>
    <w:rsid w:val="004F061F"/>
    <w:rsid w:val="004F0EB7"/>
    <w:rsid w:val="004F1465"/>
    <w:rsid w:val="004F1B9A"/>
    <w:rsid w:val="004F1C69"/>
    <w:rsid w:val="004F1EF3"/>
    <w:rsid w:val="004F243A"/>
    <w:rsid w:val="004F2C33"/>
    <w:rsid w:val="004F36AB"/>
    <w:rsid w:val="004F4543"/>
    <w:rsid w:val="004F4645"/>
    <w:rsid w:val="004F4FB5"/>
    <w:rsid w:val="004F5560"/>
    <w:rsid w:val="004F5DC7"/>
    <w:rsid w:val="004F60F1"/>
    <w:rsid w:val="004F75D7"/>
    <w:rsid w:val="004F775A"/>
    <w:rsid w:val="004F7E46"/>
    <w:rsid w:val="00500262"/>
    <w:rsid w:val="005003A9"/>
    <w:rsid w:val="005006A9"/>
    <w:rsid w:val="00500800"/>
    <w:rsid w:val="00500A89"/>
    <w:rsid w:val="00500DD0"/>
    <w:rsid w:val="00500F35"/>
    <w:rsid w:val="00501001"/>
    <w:rsid w:val="0050108C"/>
    <w:rsid w:val="00501586"/>
    <w:rsid w:val="00501B03"/>
    <w:rsid w:val="00502A08"/>
    <w:rsid w:val="00502DE3"/>
    <w:rsid w:val="00504287"/>
    <w:rsid w:val="00504D7C"/>
    <w:rsid w:val="00504ECE"/>
    <w:rsid w:val="0050540E"/>
    <w:rsid w:val="00505783"/>
    <w:rsid w:val="005058A4"/>
    <w:rsid w:val="005068DC"/>
    <w:rsid w:val="00506AF5"/>
    <w:rsid w:val="00506EAB"/>
    <w:rsid w:val="00506F8A"/>
    <w:rsid w:val="00506FCA"/>
    <w:rsid w:val="00507F4B"/>
    <w:rsid w:val="005104C3"/>
    <w:rsid w:val="00510570"/>
    <w:rsid w:val="00510A56"/>
    <w:rsid w:val="00510B90"/>
    <w:rsid w:val="00510FB0"/>
    <w:rsid w:val="0051127F"/>
    <w:rsid w:val="00512752"/>
    <w:rsid w:val="005127E5"/>
    <w:rsid w:val="00512DD4"/>
    <w:rsid w:val="005132DE"/>
    <w:rsid w:val="00513658"/>
    <w:rsid w:val="0051441F"/>
    <w:rsid w:val="00514693"/>
    <w:rsid w:val="005146A7"/>
    <w:rsid w:val="00514904"/>
    <w:rsid w:val="00514E61"/>
    <w:rsid w:val="00515D49"/>
    <w:rsid w:val="005160AC"/>
    <w:rsid w:val="00516EA6"/>
    <w:rsid w:val="0052053D"/>
    <w:rsid w:val="00520AEA"/>
    <w:rsid w:val="00521B02"/>
    <w:rsid w:val="005229B0"/>
    <w:rsid w:val="00523ACE"/>
    <w:rsid w:val="00523AF4"/>
    <w:rsid w:val="005241E4"/>
    <w:rsid w:val="005244DB"/>
    <w:rsid w:val="0052497A"/>
    <w:rsid w:val="00524A69"/>
    <w:rsid w:val="00524C13"/>
    <w:rsid w:val="005250F0"/>
    <w:rsid w:val="00525A0D"/>
    <w:rsid w:val="00525CA1"/>
    <w:rsid w:val="005264BD"/>
    <w:rsid w:val="0052667B"/>
    <w:rsid w:val="0052681E"/>
    <w:rsid w:val="0052788A"/>
    <w:rsid w:val="00530495"/>
    <w:rsid w:val="00530636"/>
    <w:rsid w:val="0053071A"/>
    <w:rsid w:val="00530CFF"/>
    <w:rsid w:val="00532396"/>
    <w:rsid w:val="0053386A"/>
    <w:rsid w:val="005351D2"/>
    <w:rsid w:val="00535BB3"/>
    <w:rsid w:val="00535CCF"/>
    <w:rsid w:val="005363E1"/>
    <w:rsid w:val="00536843"/>
    <w:rsid w:val="00536EBA"/>
    <w:rsid w:val="0053703F"/>
    <w:rsid w:val="00537863"/>
    <w:rsid w:val="00537AF6"/>
    <w:rsid w:val="005400E8"/>
    <w:rsid w:val="005402C1"/>
    <w:rsid w:val="0054031C"/>
    <w:rsid w:val="00541089"/>
    <w:rsid w:val="00541E23"/>
    <w:rsid w:val="0054233F"/>
    <w:rsid w:val="00542508"/>
    <w:rsid w:val="00542694"/>
    <w:rsid w:val="00542DBE"/>
    <w:rsid w:val="005433C2"/>
    <w:rsid w:val="0054389A"/>
    <w:rsid w:val="005439E0"/>
    <w:rsid w:val="00544567"/>
    <w:rsid w:val="00544C6C"/>
    <w:rsid w:val="005460BC"/>
    <w:rsid w:val="0054660E"/>
    <w:rsid w:val="00546761"/>
    <w:rsid w:val="00546987"/>
    <w:rsid w:val="00546BAC"/>
    <w:rsid w:val="005505AB"/>
    <w:rsid w:val="00551003"/>
    <w:rsid w:val="00551218"/>
    <w:rsid w:val="00551887"/>
    <w:rsid w:val="00552358"/>
    <w:rsid w:val="00552A15"/>
    <w:rsid w:val="005538FA"/>
    <w:rsid w:val="00553A0E"/>
    <w:rsid w:val="005545E6"/>
    <w:rsid w:val="0055468B"/>
    <w:rsid w:val="005546AD"/>
    <w:rsid w:val="00555097"/>
    <w:rsid w:val="005559B4"/>
    <w:rsid w:val="00555CD2"/>
    <w:rsid w:val="00555E1D"/>
    <w:rsid w:val="005560D3"/>
    <w:rsid w:val="0055687B"/>
    <w:rsid w:val="00556D65"/>
    <w:rsid w:val="0055727A"/>
    <w:rsid w:val="005573C5"/>
    <w:rsid w:val="00557986"/>
    <w:rsid w:val="00557C36"/>
    <w:rsid w:val="0056027A"/>
    <w:rsid w:val="005603B4"/>
    <w:rsid w:val="00560AF7"/>
    <w:rsid w:val="00560CAD"/>
    <w:rsid w:val="00560D4F"/>
    <w:rsid w:val="00561A84"/>
    <w:rsid w:val="00561F7A"/>
    <w:rsid w:val="00561FAD"/>
    <w:rsid w:val="00565142"/>
    <w:rsid w:val="00565221"/>
    <w:rsid w:val="00565DE0"/>
    <w:rsid w:val="005663F3"/>
    <w:rsid w:val="00566D94"/>
    <w:rsid w:val="00567FB2"/>
    <w:rsid w:val="005700F3"/>
    <w:rsid w:val="0057175C"/>
    <w:rsid w:val="005717BA"/>
    <w:rsid w:val="00571C66"/>
    <w:rsid w:val="005720BE"/>
    <w:rsid w:val="00572814"/>
    <w:rsid w:val="00572CD0"/>
    <w:rsid w:val="00572CFD"/>
    <w:rsid w:val="00572D88"/>
    <w:rsid w:val="00572EE1"/>
    <w:rsid w:val="00573AB9"/>
    <w:rsid w:val="00573CEF"/>
    <w:rsid w:val="00574233"/>
    <w:rsid w:val="00574A6F"/>
    <w:rsid w:val="00575729"/>
    <w:rsid w:val="00575A77"/>
    <w:rsid w:val="00576016"/>
    <w:rsid w:val="00576555"/>
    <w:rsid w:val="005769B4"/>
    <w:rsid w:val="00576BA4"/>
    <w:rsid w:val="0057752D"/>
    <w:rsid w:val="0058057B"/>
    <w:rsid w:val="00580977"/>
    <w:rsid w:val="00580C7B"/>
    <w:rsid w:val="005812C6"/>
    <w:rsid w:val="0058172B"/>
    <w:rsid w:val="00583274"/>
    <w:rsid w:val="00584286"/>
    <w:rsid w:val="00584BBF"/>
    <w:rsid w:val="00584E9E"/>
    <w:rsid w:val="0058603F"/>
    <w:rsid w:val="00586948"/>
    <w:rsid w:val="00586A20"/>
    <w:rsid w:val="00586DD4"/>
    <w:rsid w:val="00586F66"/>
    <w:rsid w:val="00587A34"/>
    <w:rsid w:val="00587E4B"/>
    <w:rsid w:val="00590372"/>
    <w:rsid w:val="0059089C"/>
    <w:rsid w:val="00590AF3"/>
    <w:rsid w:val="00590DF1"/>
    <w:rsid w:val="005914BA"/>
    <w:rsid w:val="00591A50"/>
    <w:rsid w:val="00591A57"/>
    <w:rsid w:val="00591CA2"/>
    <w:rsid w:val="005920E0"/>
    <w:rsid w:val="00593264"/>
    <w:rsid w:val="00593A60"/>
    <w:rsid w:val="00593D72"/>
    <w:rsid w:val="00593E12"/>
    <w:rsid w:val="00594142"/>
    <w:rsid w:val="00594D1B"/>
    <w:rsid w:val="00594D9A"/>
    <w:rsid w:val="00595F0B"/>
    <w:rsid w:val="005A0470"/>
    <w:rsid w:val="005A0CB9"/>
    <w:rsid w:val="005A1939"/>
    <w:rsid w:val="005A1D57"/>
    <w:rsid w:val="005A242C"/>
    <w:rsid w:val="005A2843"/>
    <w:rsid w:val="005A2D6C"/>
    <w:rsid w:val="005A3753"/>
    <w:rsid w:val="005A398A"/>
    <w:rsid w:val="005A3A67"/>
    <w:rsid w:val="005A51DC"/>
    <w:rsid w:val="005A5978"/>
    <w:rsid w:val="005A5BA7"/>
    <w:rsid w:val="005A64E0"/>
    <w:rsid w:val="005B00B9"/>
    <w:rsid w:val="005B044C"/>
    <w:rsid w:val="005B0AB5"/>
    <w:rsid w:val="005B26E0"/>
    <w:rsid w:val="005B272E"/>
    <w:rsid w:val="005B2C4D"/>
    <w:rsid w:val="005B2DCB"/>
    <w:rsid w:val="005B2EC8"/>
    <w:rsid w:val="005B30E1"/>
    <w:rsid w:val="005B3638"/>
    <w:rsid w:val="005B3853"/>
    <w:rsid w:val="005B3FF0"/>
    <w:rsid w:val="005B51A9"/>
    <w:rsid w:val="005B543A"/>
    <w:rsid w:val="005B5451"/>
    <w:rsid w:val="005B5F8C"/>
    <w:rsid w:val="005B6FD0"/>
    <w:rsid w:val="005B7190"/>
    <w:rsid w:val="005B77D8"/>
    <w:rsid w:val="005B7B25"/>
    <w:rsid w:val="005B7BA3"/>
    <w:rsid w:val="005C0776"/>
    <w:rsid w:val="005C1243"/>
    <w:rsid w:val="005C14E3"/>
    <w:rsid w:val="005C171B"/>
    <w:rsid w:val="005C184E"/>
    <w:rsid w:val="005C1863"/>
    <w:rsid w:val="005C1DD2"/>
    <w:rsid w:val="005C25D7"/>
    <w:rsid w:val="005C2F47"/>
    <w:rsid w:val="005C3018"/>
    <w:rsid w:val="005C391D"/>
    <w:rsid w:val="005C4021"/>
    <w:rsid w:val="005C419D"/>
    <w:rsid w:val="005C44C0"/>
    <w:rsid w:val="005C44D6"/>
    <w:rsid w:val="005C462F"/>
    <w:rsid w:val="005C5271"/>
    <w:rsid w:val="005C5BFB"/>
    <w:rsid w:val="005C6569"/>
    <w:rsid w:val="005C6977"/>
    <w:rsid w:val="005C6D69"/>
    <w:rsid w:val="005C6E56"/>
    <w:rsid w:val="005C7298"/>
    <w:rsid w:val="005C7A2E"/>
    <w:rsid w:val="005D1227"/>
    <w:rsid w:val="005D227F"/>
    <w:rsid w:val="005D24D5"/>
    <w:rsid w:val="005D2BF7"/>
    <w:rsid w:val="005D3E08"/>
    <w:rsid w:val="005D4447"/>
    <w:rsid w:val="005D46FA"/>
    <w:rsid w:val="005D4768"/>
    <w:rsid w:val="005D4A4D"/>
    <w:rsid w:val="005D4F74"/>
    <w:rsid w:val="005D614E"/>
    <w:rsid w:val="005D6A59"/>
    <w:rsid w:val="005D6C71"/>
    <w:rsid w:val="005D6FC6"/>
    <w:rsid w:val="005D7587"/>
    <w:rsid w:val="005D76A7"/>
    <w:rsid w:val="005D7840"/>
    <w:rsid w:val="005E03E9"/>
    <w:rsid w:val="005E0DB6"/>
    <w:rsid w:val="005E190E"/>
    <w:rsid w:val="005E1DB2"/>
    <w:rsid w:val="005E1DFD"/>
    <w:rsid w:val="005E2016"/>
    <w:rsid w:val="005E22C9"/>
    <w:rsid w:val="005E2324"/>
    <w:rsid w:val="005E259D"/>
    <w:rsid w:val="005E2E7C"/>
    <w:rsid w:val="005E31AC"/>
    <w:rsid w:val="005E3BEE"/>
    <w:rsid w:val="005E3D48"/>
    <w:rsid w:val="005E4198"/>
    <w:rsid w:val="005E4226"/>
    <w:rsid w:val="005E4916"/>
    <w:rsid w:val="005E4D4F"/>
    <w:rsid w:val="005E51B0"/>
    <w:rsid w:val="005E5719"/>
    <w:rsid w:val="005E5CDD"/>
    <w:rsid w:val="005E5D6C"/>
    <w:rsid w:val="005E693C"/>
    <w:rsid w:val="005E7B17"/>
    <w:rsid w:val="005F02A2"/>
    <w:rsid w:val="005F13ED"/>
    <w:rsid w:val="005F1705"/>
    <w:rsid w:val="005F261E"/>
    <w:rsid w:val="005F2FC8"/>
    <w:rsid w:val="005F32CC"/>
    <w:rsid w:val="005F32F4"/>
    <w:rsid w:val="005F33E8"/>
    <w:rsid w:val="005F3D86"/>
    <w:rsid w:val="005F3DB9"/>
    <w:rsid w:val="005F458C"/>
    <w:rsid w:val="005F4716"/>
    <w:rsid w:val="005F4B86"/>
    <w:rsid w:val="005F4F05"/>
    <w:rsid w:val="005F535F"/>
    <w:rsid w:val="005F5628"/>
    <w:rsid w:val="005F5CC3"/>
    <w:rsid w:val="005F5E75"/>
    <w:rsid w:val="005F681B"/>
    <w:rsid w:val="005F69AB"/>
    <w:rsid w:val="005F69CF"/>
    <w:rsid w:val="005F6F49"/>
    <w:rsid w:val="005F7230"/>
    <w:rsid w:val="005F7ABE"/>
    <w:rsid w:val="005F7D03"/>
    <w:rsid w:val="006004B5"/>
    <w:rsid w:val="00600FB4"/>
    <w:rsid w:val="006011E9"/>
    <w:rsid w:val="00601C19"/>
    <w:rsid w:val="006020BE"/>
    <w:rsid w:val="006021B0"/>
    <w:rsid w:val="0060298B"/>
    <w:rsid w:val="006034FF"/>
    <w:rsid w:val="00603702"/>
    <w:rsid w:val="00603B87"/>
    <w:rsid w:val="006045D2"/>
    <w:rsid w:val="006046E9"/>
    <w:rsid w:val="00604B60"/>
    <w:rsid w:val="00605EE4"/>
    <w:rsid w:val="006061ED"/>
    <w:rsid w:val="00606326"/>
    <w:rsid w:val="006071F2"/>
    <w:rsid w:val="006076B0"/>
    <w:rsid w:val="00607CF8"/>
    <w:rsid w:val="00610833"/>
    <w:rsid w:val="00610CFD"/>
    <w:rsid w:val="00611A41"/>
    <w:rsid w:val="00611B43"/>
    <w:rsid w:val="00612436"/>
    <w:rsid w:val="00613B9F"/>
    <w:rsid w:val="00614928"/>
    <w:rsid w:val="00614DA3"/>
    <w:rsid w:val="00614E85"/>
    <w:rsid w:val="00614FCC"/>
    <w:rsid w:val="00615439"/>
    <w:rsid w:val="0061575E"/>
    <w:rsid w:val="006159CF"/>
    <w:rsid w:val="00615DDB"/>
    <w:rsid w:val="0061729A"/>
    <w:rsid w:val="00620AD3"/>
    <w:rsid w:val="00621223"/>
    <w:rsid w:val="00621362"/>
    <w:rsid w:val="0062146C"/>
    <w:rsid w:val="00621B5D"/>
    <w:rsid w:val="00621FBF"/>
    <w:rsid w:val="00622188"/>
    <w:rsid w:val="00624795"/>
    <w:rsid w:val="00624D97"/>
    <w:rsid w:val="006253E4"/>
    <w:rsid w:val="00626A42"/>
    <w:rsid w:val="00627527"/>
    <w:rsid w:val="0062764E"/>
    <w:rsid w:val="0062776A"/>
    <w:rsid w:val="00627970"/>
    <w:rsid w:val="006309D3"/>
    <w:rsid w:val="00631290"/>
    <w:rsid w:val="00631703"/>
    <w:rsid w:val="006328D2"/>
    <w:rsid w:val="00632AB0"/>
    <w:rsid w:val="00633812"/>
    <w:rsid w:val="00633951"/>
    <w:rsid w:val="00633A49"/>
    <w:rsid w:val="00634248"/>
    <w:rsid w:val="00634E88"/>
    <w:rsid w:val="00635A63"/>
    <w:rsid w:val="00636F5A"/>
    <w:rsid w:val="0064019A"/>
    <w:rsid w:val="0064030C"/>
    <w:rsid w:val="00640E35"/>
    <w:rsid w:val="00640FE1"/>
    <w:rsid w:val="0064119C"/>
    <w:rsid w:val="00641279"/>
    <w:rsid w:val="00641A1D"/>
    <w:rsid w:val="00642045"/>
    <w:rsid w:val="006420AB"/>
    <w:rsid w:val="0064218C"/>
    <w:rsid w:val="00642313"/>
    <w:rsid w:val="00642BE0"/>
    <w:rsid w:val="00642BED"/>
    <w:rsid w:val="00642C25"/>
    <w:rsid w:val="00642EAA"/>
    <w:rsid w:val="00643322"/>
    <w:rsid w:val="006441F7"/>
    <w:rsid w:val="006442F3"/>
    <w:rsid w:val="006447A3"/>
    <w:rsid w:val="00644B6E"/>
    <w:rsid w:val="00645790"/>
    <w:rsid w:val="0064649E"/>
    <w:rsid w:val="006464B1"/>
    <w:rsid w:val="00646F15"/>
    <w:rsid w:val="006473C2"/>
    <w:rsid w:val="00650585"/>
    <w:rsid w:val="00650CC3"/>
    <w:rsid w:val="00651075"/>
    <w:rsid w:val="00651D06"/>
    <w:rsid w:val="00652AAC"/>
    <w:rsid w:val="00652CB7"/>
    <w:rsid w:val="00652EE8"/>
    <w:rsid w:val="0065333D"/>
    <w:rsid w:val="00653AB5"/>
    <w:rsid w:val="00653B5D"/>
    <w:rsid w:val="00653E89"/>
    <w:rsid w:val="00653FC0"/>
    <w:rsid w:val="00654811"/>
    <w:rsid w:val="006562C4"/>
    <w:rsid w:val="00656716"/>
    <w:rsid w:val="00656AAC"/>
    <w:rsid w:val="00656D17"/>
    <w:rsid w:val="00657016"/>
    <w:rsid w:val="006572AB"/>
    <w:rsid w:val="0065789D"/>
    <w:rsid w:val="00657F22"/>
    <w:rsid w:val="006601CA"/>
    <w:rsid w:val="00660607"/>
    <w:rsid w:val="00660D58"/>
    <w:rsid w:val="006613CF"/>
    <w:rsid w:val="0066165E"/>
    <w:rsid w:val="00661FC8"/>
    <w:rsid w:val="006620E7"/>
    <w:rsid w:val="00664852"/>
    <w:rsid w:val="00664920"/>
    <w:rsid w:val="00664F2E"/>
    <w:rsid w:val="0066589B"/>
    <w:rsid w:val="00665D11"/>
    <w:rsid w:val="00665E27"/>
    <w:rsid w:val="00666705"/>
    <w:rsid w:val="00666791"/>
    <w:rsid w:val="0066703E"/>
    <w:rsid w:val="0066715F"/>
    <w:rsid w:val="006674EB"/>
    <w:rsid w:val="00670163"/>
    <w:rsid w:val="006705A9"/>
    <w:rsid w:val="00671A51"/>
    <w:rsid w:val="0067224E"/>
    <w:rsid w:val="006723DC"/>
    <w:rsid w:val="0067282F"/>
    <w:rsid w:val="00672A07"/>
    <w:rsid w:val="00672B1A"/>
    <w:rsid w:val="00673556"/>
    <w:rsid w:val="00673DCA"/>
    <w:rsid w:val="0067451D"/>
    <w:rsid w:val="00674E05"/>
    <w:rsid w:val="006751A8"/>
    <w:rsid w:val="00675544"/>
    <w:rsid w:val="00675E2B"/>
    <w:rsid w:val="00676213"/>
    <w:rsid w:val="006768E3"/>
    <w:rsid w:val="00676B3E"/>
    <w:rsid w:val="00676D01"/>
    <w:rsid w:val="00677301"/>
    <w:rsid w:val="0067742B"/>
    <w:rsid w:val="006777FB"/>
    <w:rsid w:val="006804BD"/>
    <w:rsid w:val="00680B16"/>
    <w:rsid w:val="00680FA6"/>
    <w:rsid w:val="00682C46"/>
    <w:rsid w:val="006830C8"/>
    <w:rsid w:val="0068395E"/>
    <w:rsid w:val="00683CD4"/>
    <w:rsid w:val="00684BDE"/>
    <w:rsid w:val="0068556D"/>
    <w:rsid w:val="00686473"/>
    <w:rsid w:val="00686BAA"/>
    <w:rsid w:val="00687209"/>
    <w:rsid w:val="00687262"/>
    <w:rsid w:val="00690053"/>
    <w:rsid w:val="00690782"/>
    <w:rsid w:val="00690D22"/>
    <w:rsid w:val="00690EA1"/>
    <w:rsid w:val="00691732"/>
    <w:rsid w:val="006918E3"/>
    <w:rsid w:val="00691AC6"/>
    <w:rsid w:val="00691B3E"/>
    <w:rsid w:val="00691C64"/>
    <w:rsid w:val="00692235"/>
    <w:rsid w:val="00692514"/>
    <w:rsid w:val="00692CD0"/>
    <w:rsid w:val="006936FE"/>
    <w:rsid w:val="0069404C"/>
    <w:rsid w:val="006943DF"/>
    <w:rsid w:val="00694658"/>
    <w:rsid w:val="00694740"/>
    <w:rsid w:val="0069529F"/>
    <w:rsid w:val="006955FE"/>
    <w:rsid w:val="00695B26"/>
    <w:rsid w:val="006964A6"/>
    <w:rsid w:val="006975C0"/>
    <w:rsid w:val="00697D63"/>
    <w:rsid w:val="006A0388"/>
    <w:rsid w:val="006A08D0"/>
    <w:rsid w:val="006A0988"/>
    <w:rsid w:val="006A0D1D"/>
    <w:rsid w:val="006A0F5F"/>
    <w:rsid w:val="006A23A5"/>
    <w:rsid w:val="006A243D"/>
    <w:rsid w:val="006A27A6"/>
    <w:rsid w:val="006A2AB4"/>
    <w:rsid w:val="006A3BF8"/>
    <w:rsid w:val="006A3E67"/>
    <w:rsid w:val="006A4511"/>
    <w:rsid w:val="006A499E"/>
    <w:rsid w:val="006A4BC4"/>
    <w:rsid w:val="006A5227"/>
    <w:rsid w:val="006A5C20"/>
    <w:rsid w:val="006A5D55"/>
    <w:rsid w:val="006A63F1"/>
    <w:rsid w:val="006A6622"/>
    <w:rsid w:val="006A6B17"/>
    <w:rsid w:val="006A6F33"/>
    <w:rsid w:val="006A7B22"/>
    <w:rsid w:val="006A7FF4"/>
    <w:rsid w:val="006B0D94"/>
    <w:rsid w:val="006B0DFE"/>
    <w:rsid w:val="006B0E02"/>
    <w:rsid w:val="006B1A1A"/>
    <w:rsid w:val="006B2F15"/>
    <w:rsid w:val="006B3A71"/>
    <w:rsid w:val="006B3B6B"/>
    <w:rsid w:val="006B3CE0"/>
    <w:rsid w:val="006B4F9B"/>
    <w:rsid w:val="006B542F"/>
    <w:rsid w:val="006B56C2"/>
    <w:rsid w:val="006B5ED2"/>
    <w:rsid w:val="006B5F3C"/>
    <w:rsid w:val="006B67A1"/>
    <w:rsid w:val="006B7337"/>
    <w:rsid w:val="006B75B0"/>
    <w:rsid w:val="006B7DC5"/>
    <w:rsid w:val="006C0833"/>
    <w:rsid w:val="006C0EC7"/>
    <w:rsid w:val="006C14A5"/>
    <w:rsid w:val="006C1A9E"/>
    <w:rsid w:val="006C1C44"/>
    <w:rsid w:val="006C1C75"/>
    <w:rsid w:val="006C23D9"/>
    <w:rsid w:val="006C2FA7"/>
    <w:rsid w:val="006C304A"/>
    <w:rsid w:val="006C3459"/>
    <w:rsid w:val="006C3D95"/>
    <w:rsid w:val="006C44D3"/>
    <w:rsid w:val="006C459E"/>
    <w:rsid w:val="006C4815"/>
    <w:rsid w:val="006C4C53"/>
    <w:rsid w:val="006C5F38"/>
    <w:rsid w:val="006C61AA"/>
    <w:rsid w:val="006C6221"/>
    <w:rsid w:val="006C62D3"/>
    <w:rsid w:val="006C6557"/>
    <w:rsid w:val="006C6813"/>
    <w:rsid w:val="006C6ABF"/>
    <w:rsid w:val="006C6C9C"/>
    <w:rsid w:val="006C7336"/>
    <w:rsid w:val="006C79E6"/>
    <w:rsid w:val="006D003E"/>
    <w:rsid w:val="006D0F7F"/>
    <w:rsid w:val="006D1277"/>
    <w:rsid w:val="006D132A"/>
    <w:rsid w:val="006D1DD6"/>
    <w:rsid w:val="006D2837"/>
    <w:rsid w:val="006D3500"/>
    <w:rsid w:val="006D42B8"/>
    <w:rsid w:val="006D42DA"/>
    <w:rsid w:val="006D5565"/>
    <w:rsid w:val="006D571E"/>
    <w:rsid w:val="006D68C0"/>
    <w:rsid w:val="006D6E18"/>
    <w:rsid w:val="006D6F0B"/>
    <w:rsid w:val="006D770D"/>
    <w:rsid w:val="006D7BFB"/>
    <w:rsid w:val="006E0D3B"/>
    <w:rsid w:val="006E14FF"/>
    <w:rsid w:val="006E285F"/>
    <w:rsid w:val="006E2F0D"/>
    <w:rsid w:val="006E2F1D"/>
    <w:rsid w:val="006E30D3"/>
    <w:rsid w:val="006E3868"/>
    <w:rsid w:val="006E3B13"/>
    <w:rsid w:val="006E3C44"/>
    <w:rsid w:val="006E421A"/>
    <w:rsid w:val="006E4E7E"/>
    <w:rsid w:val="006E4EC4"/>
    <w:rsid w:val="006E4F37"/>
    <w:rsid w:val="006E5C6B"/>
    <w:rsid w:val="006E6027"/>
    <w:rsid w:val="006E6686"/>
    <w:rsid w:val="006E723E"/>
    <w:rsid w:val="006E76F9"/>
    <w:rsid w:val="006E7A5E"/>
    <w:rsid w:val="006E7D46"/>
    <w:rsid w:val="006E7DA3"/>
    <w:rsid w:val="006F01CF"/>
    <w:rsid w:val="006F0328"/>
    <w:rsid w:val="006F0C38"/>
    <w:rsid w:val="006F0E03"/>
    <w:rsid w:val="006F2133"/>
    <w:rsid w:val="006F2969"/>
    <w:rsid w:val="006F2EE1"/>
    <w:rsid w:val="006F3201"/>
    <w:rsid w:val="006F3D05"/>
    <w:rsid w:val="006F405C"/>
    <w:rsid w:val="006F5171"/>
    <w:rsid w:val="006F5804"/>
    <w:rsid w:val="006F5B02"/>
    <w:rsid w:val="006F6626"/>
    <w:rsid w:val="006F6673"/>
    <w:rsid w:val="006F6AED"/>
    <w:rsid w:val="006F6E40"/>
    <w:rsid w:val="006F6EE0"/>
    <w:rsid w:val="006F6EFB"/>
    <w:rsid w:val="006F76C0"/>
    <w:rsid w:val="006F78EF"/>
    <w:rsid w:val="007010DB"/>
    <w:rsid w:val="007010E6"/>
    <w:rsid w:val="00701617"/>
    <w:rsid w:val="00702727"/>
    <w:rsid w:val="00702A78"/>
    <w:rsid w:val="00702AB0"/>
    <w:rsid w:val="007035D2"/>
    <w:rsid w:val="00703ACD"/>
    <w:rsid w:val="00703BE5"/>
    <w:rsid w:val="00703EE8"/>
    <w:rsid w:val="007044D4"/>
    <w:rsid w:val="00704620"/>
    <w:rsid w:val="007054A1"/>
    <w:rsid w:val="007060B5"/>
    <w:rsid w:val="00706DF3"/>
    <w:rsid w:val="0070789A"/>
    <w:rsid w:val="00707B59"/>
    <w:rsid w:val="00707CF0"/>
    <w:rsid w:val="00710F7A"/>
    <w:rsid w:val="00711092"/>
    <w:rsid w:val="00711328"/>
    <w:rsid w:val="007117DD"/>
    <w:rsid w:val="00711CC2"/>
    <w:rsid w:val="0071252D"/>
    <w:rsid w:val="00713285"/>
    <w:rsid w:val="007135A6"/>
    <w:rsid w:val="0071455E"/>
    <w:rsid w:val="00714573"/>
    <w:rsid w:val="00714856"/>
    <w:rsid w:val="00714C0B"/>
    <w:rsid w:val="0071580F"/>
    <w:rsid w:val="0071632D"/>
    <w:rsid w:val="007165CC"/>
    <w:rsid w:val="0071662F"/>
    <w:rsid w:val="007169BB"/>
    <w:rsid w:val="00716F1F"/>
    <w:rsid w:val="007174E7"/>
    <w:rsid w:val="00717DCF"/>
    <w:rsid w:val="00717FD7"/>
    <w:rsid w:val="00720194"/>
    <w:rsid w:val="00720287"/>
    <w:rsid w:val="007206BD"/>
    <w:rsid w:val="007213CD"/>
    <w:rsid w:val="00721661"/>
    <w:rsid w:val="00721F40"/>
    <w:rsid w:val="00722ADB"/>
    <w:rsid w:val="00722FE9"/>
    <w:rsid w:val="0072340B"/>
    <w:rsid w:val="00723473"/>
    <w:rsid w:val="00723D46"/>
    <w:rsid w:val="00723E7C"/>
    <w:rsid w:val="007241D3"/>
    <w:rsid w:val="0072527E"/>
    <w:rsid w:val="00725E78"/>
    <w:rsid w:val="00726752"/>
    <w:rsid w:val="00726D0E"/>
    <w:rsid w:val="007273BA"/>
    <w:rsid w:val="00727506"/>
    <w:rsid w:val="00730219"/>
    <w:rsid w:val="007308B2"/>
    <w:rsid w:val="00730935"/>
    <w:rsid w:val="0073095C"/>
    <w:rsid w:val="00730DF6"/>
    <w:rsid w:val="00730F1D"/>
    <w:rsid w:val="00731976"/>
    <w:rsid w:val="00731DD7"/>
    <w:rsid w:val="00731E14"/>
    <w:rsid w:val="00732C72"/>
    <w:rsid w:val="007333BB"/>
    <w:rsid w:val="007339B1"/>
    <w:rsid w:val="007339F6"/>
    <w:rsid w:val="00734AED"/>
    <w:rsid w:val="00735E27"/>
    <w:rsid w:val="007364B3"/>
    <w:rsid w:val="007366CD"/>
    <w:rsid w:val="007372BA"/>
    <w:rsid w:val="0073788C"/>
    <w:rsid w:val="00737C15"/>
    <w:rsid w:val="00740256"/>
    <w:rsid w:val="007406D6"/>
    <w:rsid w:val="00741018"/>
    <w:rsid w:val="007410C6"/>
    <w:rsid w:val="007413F1"/>
    <w:rsid w:val="007418AE"/>
    <w:rsid w:val="00741D6F"/>
    <w:rsid w:val="0074229B"/>
    <w:rsid w:val="00742A03"/>
    <w:rsid w:val="007437A9"/>
    <w:rsid w:val="007437B4"/>
    <w:rsid w:val="00743BEF"/>
    <w:rsid w:val="0074464A"/>
    <w:rsid w:val="00744EEE"/>
    <w:rsid w:val="00744F12"/>
    <w:rsid w:val="007453FE"/>
    <w:rsid w:val="00745C7D"/>
    <w:rsid w:val="00745FA6"/>
    <w:rsid w:val="00745FEF"/>
    <w:rsid w:val="00746D7B"/>
    <w:rsid w:val="00746DFF"/>
    <w:rsid w:val="00747811"/>
    <w:rsid w:val="00747CE6"/>
    <w:rsid w:val="00747E32"/>
    <w:rsid w:val="00750A03"/>
    <w:rsid w:val="00751A51"/>
    <w:rsid w:val="00751DDB"/>
    <w:rsid w:val="0075213E"/>
    <w:rsid w:val="00752A2A"/>
    <w:rsid w:val="00753217"/>
    <w:rsid w:val="00753474"/>
    <w:rsid w:val="00754560"/>
    <w:rsid w:val="0075499B"/>
    <w:rsid w:val="00754E75"/>
    <w:rsid w:val="007551A5"/>
    <w:rsid w:val="007551E9"/>
    <w:rsid w:val="00755353"/>
    <w:rsid w:val="00755815"/>
    <w:rsid w:val="007569D4"/>
    <w:rsid w:val="00756AD6"/>
    <w:rsid w:val="00756E7F"/>
    <w:rsid w:val="00756F85"/>
    <w:rsid w:val="007579E4"/>
    <w:rsid w:val="00757B40"/>
    <w:rsid w:val="00757DC3"/>
    <w:rsid w:val="00760649"/>
    <w:rsid w:val="00760B8C"/>
    <w:rsid w:val="00761F87"/>
    <w:rsid w:val="00762139"/>
    <w:rsid w:val="00762C94"/>
    <w:rsid w:val="00762FC7"/>
    <w:rsid w:val="007631D0"/>
    <w:rsid w:val="00763468"/>
    <w:rsid w:val="00763CD3"/>
    <w:rsid w:val="00764388"/>
    <w:rsid w:val="00764742"/>
    <w:rsid w:val="00764F58"/>
    <w:rsid w:val="007657B3"/>
    <w:rsid w:val="00766843"/>
    <w:rsid w:val="00767FDB"/>
    <w:rsid w:val="007700BA"/>
    <w:rsid w:val="00770754"/>
    <w:rsid w:val="0077222F"/>
    <w:rsid w:val="00772A63"/>
    <w:rsid w:val="00773327"/>
    <w:rsid w:val="007733ED"/>
    <w:rsid w:val="00773990"/>
    <w:rsid w:val="007740E1"/>
    <w:rsid w:val="00774622"/>
    <w:rsid w:val="00774652"/>
    <w:rsid w:val="007747F8"/>
    <w:rsid w:val="00774D56"/>
    <w:rsid w:val="007750EC"/>
    <w:rsid w:val="007756A8"/>
    <w:rsid w:val="00775AD9"/>
    <w:rsid w:val="00775C75"/>
    <w:rsid w:val="00776084"/>
    <w:rsid w:val="007765AF"/>
    <w:rsid w:val="0077707C"/>
    <w:rsid w:val="007779AE"/>
    <w:rsid w:val="00780065"/>
    <w:rsid w:val="0078019C"/>
    <w:rsid w:val="007804ED"/>
    <w:rsid w:val="00780613"/>
    <w:rsid w:val="007809BF"/>
    <w:rsid w:val="00780D24"/>
    <w:rsid w:val="00780D2C"/>
    <w:rsid w:val="00782232"/>
    <w:rsid w:val="00782881"/>
    <w:rsid w:val="00782B65"/>
    <w:rsid w:val="00782D5F"/>
    <w:rsid w:val="00783023"/>
    <w:rsid w:val="007832B8"/>
    <w:rsid w:val="00783443"/>
    <w:rsid w:val="00783F37"/>
    <w:rsid w:val="00784B0D"/>
    <w:rsid w:val="00784CF4"/>
    <w:rsid w:val="00785113"/>
    <w:rsid w:val="00785B0E"/>
    <w:rsid w:val="007866F2"/>
    <w:rsid w:val="007910D3"/>
    <w:rsid w:val="00791551"/>
    <w:rsid w:val="00792E45"/>
    <w:rsid w:val="007939A8"/>
    <w:rsid w:val="007942D8"/>
    <w:rsid w:val="00795098"/>
    <w:rsid w:val="00795169"/>
    <w:rsid w:val="00795278"/>
    <w:rsid w:val="007958EE"/>
    <w:rsid w:val="00795A63"/>
    <w:rsid w:val="007964F7"/>
    <w:rsid w:val="00796630"/>
    <w:rsid w:val="00796E52"/>
    <w:rsid w:val="00797096"/>
    <w:rsid w:val="00797E3A"/>
    <w:rsid w:val="00797FF2"/>
    <w:rsid w:val="007A0E55"/>
    <w:rsid w:val="007A1BC9"/>
    <w:rsid w:val="007A1D61"/>
    <w:rsid w:val="007A2CC8"/>
    <w:rsid w:val="007A42E4"/>
    <w:rsid w:val="007A4581"/>
    <w:rsid w:val="007A45D5"/>
    <w:rsid w:val="007A513E"/>
    <w:rsid w:val="007A57FF"/>
    <w:rsid w:val="007A665C"/>
    <w:rsid w:val="007A6A3A"/>
    <w:rsid w:val="007A75AA"/>
    <w:rsid w:val="007A771B"/>
    <w:rsid w:val="007A7A88"/>
    <w:rsid w:val="007A7DEE"/>
    <w:rsid w:val="007B1E7A"/>
    <w:rsid w:val="007B25CE"/>
    <w:rsid w:val="007B2783"/>
    <w:rsid w:val="007B3DA3"/>
    <w:rsid w:val="007B58A5"/>
    <w:rsid w:val="007B5E60"/>
    <w:rsid w:val="007B617A"/>
    <w:rsid w:val="007B6E34"/>
    <w:rsid w:val="007B7717"/>
    <w:rsid w:val="007C01F2"/>
    <w:rsid w:val="007C048D"/>
    <w:rsid w:val="007C0B9C"/>
    <w:rsid w:val="007C112F"/>
    <w:rsid w:val="007C1898"/>
    <w:rsid w:val="007C1E73"/>
    <w:rsid w:val="007C248F"/>
    <w:rsid w:val="007C2C5A"/>
    <w:rsid w:val="007C2C9E"/>
    <w:rsid w:val="007C33B9"/>
    <w:rsid w:val="007C36A8"/>
    <w:rsid w:val="007C3F29"/>
    <w:rsid w:val="007C40FD"/>
    <w:rsid w:val="007C49F1"/>
    <w:rsid w:val="007C5064"/>
    <w:rsid w:val="007C508E"/>
    <w:rsid w:val="007C5285"/>
    <w:rsid w:val="007C59CB"/>
    <w:rsid w:val="007C600B"/>
    <w:rsid w:val="007C7111"/>
    <w:rsid w:val="007C7553"/>
    <w:rsid w:val="007C7729"/>
    <w:rsid w:val="007C7D81"/>
    <w:rsid w:val="007D005B"/>
    <w:rsid w:val="007D0492"/>
    <w:rsid w:val="007D04A6"/>
    <w:rsid w:val="007D04BE"/>
    <w:rsid w:val="007D0C1A"/>
    <w:rsid w:val="007D234D"/>
    <w:rsid w:val="007D3968"/>
    <w:rsid w:val="007D4A19"/>
    <w:rsid w:val="007D4BC2"/>
    <w:rsid w:val="007D524F"/>
    <w:rsid w:val="007D5537"/>
    <w:rsid w:val="007D7087"/>
    <w:rsid w:val="007D79FC"/>
    <w:rsid w:val="007E0A07"/>
    <w:rsid w:val="007E0ED1"/>
    <w:rsid w:val="007E15E0"/>
    <w:rsid w:val="007E1617"/>
    <w:rsid w:val="007E2111"/>
    <w:rsid w:val="007E2C3E"/>
    <w:rsid w:val="007E3648"/>
    <w:rsid w:val="007E40CA"/>
    <w:rsid w:val="007E50B1"/>
    <w:rsid w:val="007E51F3"/>
    <w:rsid w:val="007E53E8"/>
    <w:rsid w:val="007E6CC9"/>
    <w:rsid w:val="007E6F53"/>
    <w:rsid w:val="007E77DC"/>
    <w:rsid w:val="007E7AA1"/>
    <w:rsid w:val="007E7EDC"/>
    <w:rsid w:val="007F05B6"/>
    <w:rsid w:val="007F0D0C"/>
    <w:rsid w:val="007F116E"/>
    <w:rsid w:val="007F1182"/>
    <w:rsid w:val="007F202C"/>
    <w:rsid w:val="007F23F0"/>
    <w:rsid w:val="007F2C40"/>
    <w:rsid w:val="007F2E58"/>
    <w:rsid w:val="007F3469"/>
    <w:rsid w:val="007F361A"/>
    <w:rsid w:val="007F3720"/>
    <w:rsid w:val="007F3F29"/>
    <w:rsid w:val="007F410C"/>
    <w:rsid w:val="007F4421"/>
    <w:rsid w:val="007F4786"/>
    <w:rsid w:val="007F4BB0"/>
    <w:rsid w:val="007F64F2"/>
    <w:rsid w:val="007F7496"/>
    <w:rsid w:val="007F788C"/>
    <w:rsid w:val="008000DE"/>
    <w:rsid w:val="0080029D"/>
    <w:rsid w:val="00800626"/>
    <w:rsid w:val="0080084B"/>
    <w:rsid w:val="00800A2D"/>
    <w:rsid w:val="00800AB0"/>
    <w:rsid w:val="00800D61"/>
    <w:rsid w:val="00801781"/>
    <w:rsid w:val="008024EE"/>
    <w:rsid w:val="00803068"/>
    <w:rsid w:val="00803DC9"/>
    <w:rsid w:val="00804089"/>
    <w:rsid w:val="00804B1B"/>
    <w:rsid w:val="00806849"/>
    <w:rsid w:val="00806CF8"/>
    <w:rsid w:val="00806E04"/>
    <w:rsid w:val="00806EE1"/>
    <w:rsid w:val="00806EF6"/>
    <w:rsid w:val="008072DE"/>
    <w:rsid w:val="00807304"/>
    <w:rsid w:val="00807312"/>
    <w:rsid w:val="00807466"/>
    <w:rsid w:val="0080757F"/>
    <w:rsid w:val="00807F38"/>
    <w:rsid w:val="00811E6E"/>
    <w:rsid w:val="008125F8"/>
    <w:rsid w:val="0081291D"/>
    <w:rsid w:val="00812A66"/>
    <w:rsid w:val="00812EE3"/>
    <w:rsid w:val="00813A33"/>
    <w:rsid w:val="00813F55"/>
    <w:rsid w:val="00815DAF"/>
    <w:rsid w:val="00816022"/>
    <w:rsid w:val="008160AA"/>
    <w:rsid w:val="008160B4"/>
    <w:rsid w:val="00816406"/>
    <w:rsid w:val="00816D0A"/>
    <w:rsid w:val="0081703B"/>
    <w:rsid w:val="0081778B"/>
    <w:rsid w:val="00820176"/>
    <w:rsid w:val="00820207"/>
    <w:rsid w:val="00820339"/>
    <w:rsid w:val="00820C53"/>
    <w:rsid w:val="00820E88"/>
    <w:rsid w:val="00821A7C"/>
    <w:rsid w:val="00821BBB"/>
    <w:rsid w:val="0082201D"/>
    <w:rsid w:val="008220E8"/>
    <w:rsid w:val="008222A9"/>
    <w:rsid w:val="008225F9"/>
    <w:rsid w:val="008230D9"/>
    <w:rsid w:val="0082339C"/>
    <w:rsid w:val="008237D7"/>
    <w:rsid w:val="008239E5"/>
    <w:rsid w:val="00823D74"/>
    <w:rsid w:val="00823FBD"/>
    <w:rsid w:val="00823FC2"/>
    <w:rsid w:val="00823FD6"/>
    <w:rsid w:val="00824214"/>
    <w:rsid w:val="00824796"/>
    <w:rsid w:val="00824B28"/>
    <w:rsid w:val="00824CA7"/>
    <w:rsid w:val="00824EA5"/>
    <w:rsid w:val="00825276"/>
    <w:rsid w:val="00825348"/>
    <w:rsid w:val="0082599F"/>
    <w:rsid w:val="00825B34"/>
    <w:rsid w:val="00826206"/>
    <w:rsid w:val="0082622D"/>
    <w:rsid w:val="008267B4"/>
    <w:rsid w:val="00826E64"/>
    <w:rsid w:val="00827AA1"/>
    <w:rsid w:val="00827BE7"/>
    <w:rsid w:val="00830ABD"/>
    <w:rsid w:val="00830BC9"/>
    <w:rsid w:val="00831746"/>
    <w:rsid w:val="00832E19"/>
    <w:rsid w:val="00833680"/>
    <w:rsid w:val="00833EFB"/>
    <w:rsid w:val="00834067"/>
    <w:rsid w:val="00834DD1"/>
    <w:rsid w:val="00835BB3"/>
    <w:rsid w:val="00836DD7"/>
    <w:rsid w:val="00837111"/>
    <w:rsid w:val="00837B24"/>
    <w:rsid w:val="00837CE6"/>
    <w:rsid w:val="00837D66"/>
    <w:rsid w:val="008407F8"/>
    <w:rsid w:val="00840A8F"/>
    <w:rsid w:val="00840B0D"/>
    <w:rsid w:val="00841BC1"/>
    <w:rsid w:val="008423E3"/>
    <w:rsid w:val="008432F0"/>
    <w:rsid w:val="00843499"/>
    <w:rsid w:val="008439A2"/>
    <w:rsid w:val="00843B03"/>
    <w:rsid w:val="00843D70"/>
    <w:rsid w:val="00844758"/>
    <w:rsid w:val="00844800"/>
    <w:rsid w:val="00844A5D"/>
    <w:rsid w:val="008452B2"/>
    <w:rsid w:val="0084589A"/>
    <w:rsid w:val="00845A03"/>
    <w:rsid w:val="00845EAB"/>
    <w:rsid w:val="00846966"/>
    <w:rsid w:val="00850AB5"/>
    <w:rsid w:val="00850BCE"/>
    <w:rsid w:val="008525F6"/>
    <w:rsid w:val="00852A7A"/>
    <w:rsid w:val="00854DEE"/>
    <w:rsid w:val="00855697"/>
    <w:rsid w:val="0085592A"/>
    <w:rsid w:val="00855EE0"/>
    <w:rsid w:val="0085611A"/>
    <w:rsid w:val="008562AB"/>
    <w:rsid w:val="008572A2"/>
    <w:rsid w:val="008575FB"/>
    <w:rsid w:val="008577A6"/>
    <w:rsid w:val="00857824"/>
    <w:rsid w:val="008602EF"/>
    <w:rsid w:val="00860A76"/>
    <w:rsid w:val="00860DE3"/>
    <w:rsid w:val="008610F4"/>
    <w:rsid w:val="00861489"/>
    <w:rsid w:val="00861AA4"/>
    <w:rsid w:val="008633CA"/>
    <w:rsid w:val="0086345D"/>
    <w:rsid w:val="00863A48"/>
    <w:rsid w:val="00863DBA"/>
    <w:rsid w:val="00863E84"/>
    <w:rsid w:val="0086461F"/>
    <w:rsid w:val="00864645"/>
    <w:rsid w:val="00864FB5"/>
    <w:rsid w:val="0086557A"/>
    <w:rsid w:val="008658E7"/>
    <w:rsid w:val="00865F6B"/>
    <w:rsid w:val="0086680F"/>
    <w:rsid w:val="00867E08"/>
    <w:rsid w:val="00867E91"/>
    <w:rsid w:val="00870280"/>
    <w:rsid w:val="00870AA4"/>
    <w:rsid w:val="0087161D"/>
    <w:rsid w:val="008716E0"/>
    <w:rsid w:val="008718CC"/>
    <w:rsid w:val="00873208"/>
    <w:rsid w:val="0087378F"/>
    <w:rsid w:val="00873987"/>
    <w:rsid w:val="00874362"/>
    <w:rsid w:val="00874EFC"/>
    <w:rsid w:val="008751F3"/>
    <w:rsid w:val="00875E7B"/>
    <w:rsid w:val="008768DA"/>
    <w:rsid w:val="008777AD"/>
    <w:rsid w:val="00877F8B"/>
    <w:rsid w:val="00880590"/>
    <w:rsid w:val="0088083E"/>
    <w:rsid w:val="00880B04"/>
    <w:rsid w:val="00880F0A"/>
    <w:rsid w:val="00881608"/>
    <w:rsid w:val="0088176B"/>
    <w:rsid w:val="00881799"/>
    <w:rsid w:val="00881C61"/>
    <w:rsid w:val="00882762"/>
    <w:rsid w:val="00882878"/>
    <w:rsid w:val="00882A7A"/>
    <w:rsid w:val="00882A89"/>
    <w:rsid w:val="00884708"/>
    <w:rsid w:val="00885186"/>
    <w:rsid w:val="008856F6"/>
    <w:rsid w:val="00885964"/>
    <w:rsid w:val="00886827"/>
    <w:rsid w:val="00886C86"/>
    <w:rsid w:val="00886CFD"/>
    <w:rsid w:val="00887B31"/>
    <w:rsid w:val="00887F50"/>
    <w:rsid w:val="008909B8"/>
    <w:rsid w:val="00890D36"/>
    <w:rsid w:val="008910A5"/>
    <w:rsid w:val="008914CC"/>
    <w:rsid w:val="008918D3"/>
    <w:rsid w:val="0089196E"/>
    <w:rsid w:val="00891CFA"/>
    <w:rsid w:val="00892229"/>
    <w:rsid w:val="00892402"/>
    <w:rsid w:val="00894006"/>
    <w:rsid w:val="0089433A"/>
    <w:rsid w:val="00894DCD"/>
    <w:rsid w:val="00895129"/>
    <w:rsid w:val="008953F2"/>
    <w:rsid w:val="008965BB"/>
    <w:rsid w:val="00896BB5"/>
    <w:rsid w:val="00896C30"/>
    <w:rsid w:val="00896D31"/>
    <w:rsid w:val="008973B6"/>
    <w:rsid w:val="00897639"/>
    <w:rsid w:val="008978C6"/>
    <w:rsid w:val="00897AF5"/>
    <w:rsid w:val="00897E8D"/>
    <w:rsid w:val="008A01DF"/>
    <w:rsid w:val="008A03F1"/>
    <w:rsid w:val="008A0E8D"/>
    <w:rsid w:val="008A1044"/>
    <w:rsid w:val="008A17F0"/>
    <w:rsid w:val="008A2270"/>
    <w:rsid w:val="008A3275"/>
    <w:rsid w:val="008A33D1"/>
    <w:rsid w:val="008A3562"/>
    <w:rsid w:val="008A393A"/>
    <w:rsid w:val="008A3A9A"/>
    <w:rsid w:val="008A459D"/>
    <w:rsid w:val="008A5107"/>
    <w:rsid w:val="008A6FD8"/>
    <w:rsid w:val="008A766A"/>
    <w:rsid w:val="008B083D"/>
    <w:rsid w:val="008B0E19"/>
    <w:rsid w:val="008B109D"/>
    <w:rsid w:val="008B1750"/>
    <w:rsid w:val="008B19C6"/>
    <w:rsid w:val="008B2C02"/>
    <w:rsid w:val="008B30C0"/>
    <w:rsid w:val="008B36D0"/>
    <w:rsid w:val="008B3B5A"/>
    <w:rsid w:val="008B44B8"/>
    <w:rsid w:val="008B4F27"/>
    <w:rsid w:val="008B513B"/>
    <w:rsid w:val="008B5297"/>
    <w:rsid w:val="008B54EA"/>
    <w:rsid w:val="008B55A1"/>
    <w:rsid w:val="008B5F5C"/>
    <w:rsid w:val="008B6322"/>
    <w:rsid w:val="008B6564"/>
    <w:rsid w:val="008B689B"/>
    <w:rsid w:val="008B69D9"/>
    <w:rsid w:val="008B7264"/>
    <w:rsid w:val="008B762F"/>
    <w:rsid w:val="008B7800"/>
    <w:rsid w:val="008C023E"/>
    <w:rsid w:val="008C079D"/>
    <w:rsid w:val="008C0FE6"/>
    <w:rsid w:val="008C0FF1"/>
    <w:rsid w:val="008C147E"/>
    <w:rsid w:val="008C14A7"/>
    <w:rsid w:val="008C341E"/>
    <w:rsid w:val="008C3EB9"/>
    <w:rsid w:val="008C47C4"/>
    <w:rsid w:val="008C54E1"/>
    <w:rsid w:val="008C553A"/>
    <w:rsid w:val="008C5C68"/>
    <w:rsid w:val="008C742B"/>
    <w:rsid w:val="008C7ACF"/>
    <w:rsid w:val="008C7C52"/>
    <w:rsid w:val="008D0115"/>
    <w:rsid w:val="008D0743"/>
    <w:rsid w:val="008D1CCC"/>
    <w:rsid w:val="008D1D49"/>
    <w:rsid w:val="008D1E64"/>
    <w:rsid w:val="008D44F0"/>
    <w:rsid w:val="008D44F9"/>
    <w:rsid w:val="008D49D3"/>
    <w:rsid w:val="008D6707"/>
    <w:rsid w:val="008D6BE8"/>
    <w:rsid w:val="008D7306"/>
    <w:rsid w:val="008D78BA"/>
    <w:rsid w:val="008D7F1D"/>
    <w:rsid w:val="008D7FB5"/>
    <w:rsid w:val="008E11FB"/>
    <w:rsid w:val="008E13B8"/>
    <w:rsid w:val="008E1617"/>
    <w:rsid w:val="008E16B8"/>
    <w:rsid w:val="008E1889"/>
    <w:rsid w:val="008E1EEE"/>
    <w:rsid w:val="008E2703"/>
    <w:rsid w:val="008E271A"/>
    <w:rsid w:val="008E2822"/>
    <w:rsid w:val="008E3A51"/>
    <w:rsid w:val="008E411F"/>
    <w:rsid w:val="008E4270"/>
    <w:rsid w:val="008E4373"/>
    <w:rsid w:val="008E46FE"/>
    <w:rsid w:val="008E4768"/>
    <w:rsid w:val="008E535E"/>
    <w:rsid w:val="008E5807"/>
    <w:rsid w:val="008E5D44"/>
    <w:rsid w:val="008E5EEA"/>
    <w:rsid w:val="008E6943"/>
    <w:rsid w:val="008E79B8"/>
    <w:rsid w:val="008E7E2D"/>
    <w:rsid w:val="008F159B"/>
    <w:rsid w:val="008F1EF5"/>
    <w:rsid w:val="008F2769"/>
    <w:rsid w:val="008F292C"/>
    <w:rsid w:val="008F2CFD"/>
    <w:rsid w:val="008F30C8"/>
    <w:rsid w:val="008F335A"/>
    <w:rsid w:val="008F45D7"/>
    <w:rsid w:val="008F46F7"/>
    <w:rsid w:val="008F5FCF"/>
    <w:rsid w:val="008F61B7"/>
    <w:rsid w:val="008F6864"/>
    <w:rsid w:val="008F74C3"/>
    <w:rsid w:val="00901124"/>
    <w:rsid w:val="00901ABF"/>
    <w:rsid w:val="0090242D"/>
    <w:rsid w:val="0090297D"/>
    <w:rsid w:val="00902DE2"/>
    <w:rsid w:val="00902F28"/>
    <w:rsid w:val="0090309A"/>
    <w:rsid w:val="00903B70"/>
    <w:rsid w:val="00903F80"/>
    <w:rsid w:val="00904396"/>
    <w:rsid w:val="0090469A"/>
    <w:rsid w:val="009047C6"/>
    <w:rsid w:val="00904861"/>
    <w:rsid w:val="00904A29"/>
    <w:rsid w:val="00904CD9"/>
    <w:rsid w:val="00904D33"/>
    <w:rsid w:val="009050C8"/>
    <w:rsid w:val="00905AD2"/>
    <w:rsid w:val="00905D6A"/>
    <w:rsid w:val="00906098"/>
    <w:rsid w:val="009065D1"/>
    <w:rsid w:val="00906866"/>
    <w:rsid w:val="00906933"/>
    <w:rsid w:val="00907EF3"/>
    <w:rsid w:val="009100E7"/>
    <w:rsid w:val="009105C0"/>
    <w:rsid w:val="0091084F"/>
    <w:rsid w:val="00911171"/>
    <w:rsid w:val="00911394"/>
    <w:rsid w:val="00911486"/>
    <w:rsid w:val="009114C9"/>
    <w:rsid w:val="0091315D"/>
    <w:rsid w:val="00913271"/>
    <w:rsid w:val="00913E4B"/>
    <w:rsid w:val="00914D21"/>
    <w:rsid w:val="00915084"/>
    <w:rsid w:val="00915577"/>
    <w:rsid w:val="009156F7"/>
    <w:rsid w:val="00915CCE"/>
    <w:rsid w:val="00916229"/>
    <w:rsid w:val="00917463"/>
    <w:rsid w:val="009174BA"/>
    <w:rsid w:val="00920742"/>
    <w:rsid w:val="0092156D"/>
    <w:rsid w:val="00921CCF"/>
    <w:rsid w:val="00921E26"/>
    <w:rsid w:val="00922399"/>
    <w:rsid w:val="00922C3F"/>
    <w:rsid w:val="00923127"/>
    <w:rsid w:val="00923F7C"/>
    <w:rsid w:val="0092502F"/>
    <w:rsid w:val="0092537A"/>
    <w:rsid w:val="009257F6"/>
    <w:rsid w:val="00926A56"/>
    <w:rsid w:val="009272B2"/>
    <w:rsid w:val="009273F5"/>
    <w:rsid w:val="009275C3"/>
    <w:rsid w:val="00931032"/>
    <w:rsid w:val="009311A9"/>
    <w:rsid w:val="0093147C"/>
    <w:rsid w:val="00931A38"/>
    <w:rsid w:val="009333A0"/>
    <w:rsid w:val="00933503"/>
    <w:rsid w:val="0093360A"/>
    <w:rsid w:val="00933AFB"/>
    <w:rsid w:val="0093442E"/>
    <w:rsid w:val="00934B6D"/>
    <w:rsid w:val="00935014"/>
    <w:rsid w:val="00936F21"/>
    <w:rsid w:val="00937338"/>
    <w:rsid w:val="00940293"/>
    <w:rsid w:val="00940A19"/>
    <w:rsid w:val="00940D3C"/>
    <w:rsid w:val="0094154D"/>
    <w:rsid w:val="00941C9C"/>
    <w:rsid w:val="00941CB7"/>
    <w:rsid w:val="00942AFB"/>
    <w:rsid w:val="00943E6A"/>
    <w:rsid w:val="009443A4"/>
    <w:rsid w:val="00944A58"/>
    <w:rsid w:val="0094520F"/>
    <w:rsid w:val="009453E7"/>
    <w:rsid w:val="00945E50"/>
    <w:rsid w:val="009471DD"/>
    <w:rsid w:val="009476FB"/>
    <w:rsid w:val="009477C8"/>
    <w:rsid w:val="009500B7"/>
    <w:rsid w:val="00950A64"/>
    <w:rsid w:val="00950A6E"/>
    <w:rsid w:val="00951130"/>
    <w:rsid w:val="00951192"/>
    <w:rsid w:val="00951476"/>
    <w:rsid w:val="0095154D"/>
    <w:rsid w:val="009517DF"/>
    <w:rsid w:val="009518CC"/>
    <w:rsid w:val="0095198A"/>
    <w:rsid w:val="00951B1A"/>
    <w:rsid w:val="00952357"/>
    <w:rsid w:val="00952B4D"/>
    <w:rsid w:val="00952B76"/>
    <w:rsid w:val="0095361A"/>
    <w:rsid w:val="00953C4D"/>
    <w:rsid w:val="00953D6F"/>
    <w:rsid w:val="00954A52"/>
    <w:rsid w:val="00954D04"/>
    <w:rsid w:val="00955BAE"/>
    <w:rsid w:val="0095652D"/>
    <w:rsid w:val="009610D0"/>
    <w:rsid w:val="00961609"/>
    <w:rsid w:val="00961F9B"/>
    <w:rsid w:val="00962A5B"/>
    <w:rsid w:val="00962ED3"/>
    <w:rsid w:val="0096345A"/>
    <w:rsid w:val="0096362A"/>
    <w:rsid w:val="00963643"/>
    <w:rsid w:val="00963C1C"/>
    <w:rsid w:val="00963D12"/>
    <w:rsid w:val="00963FF2"/>
    <w:rsid w:val="00964113"/>
    <w:rsid w:val="009651B9"/>
    <w:rsid w:val="009658A2"/>
    <w:rsid w:val="00965E2F"/>
    <w:rsid w:val="0096622D"/>
    <w:rsid w:val="00966420"/>
    <w:rsid w:val="00966818"/>
    <w:rsid w:val="00967574"/>
    <w:rsid w:val="009711F4"/>
    <w:rsid w:val="0097218D"/>
    <w:rsid w:val="00972516"/>
    <w:rsid w:val="00972896"/>
    <w:rsid w:val="00972B88"/>
    <w:rsid w:val="00972D8A"/>
    <w:rsid w:val="00974105"/>
    <w:rsid w:val="00974CEA"/>
    <w:rsid w:val="00976B74"/>
    <w:rsid w:val="0097713B"/>
    <w:rsid w:val="00977B6E"/>
    <w:rsid w:val="00980E33"/>
    <w:rsid w:val="0098163F"/>
    <w:rsid w:val="00981DAF"/>
    <w:rsid w:val="00981E56"/>
    <w:rsid w:val="00981F6E"/>
    <w:rsid w:val="00981F96"/>
    <w:rsid w:val="0098260E"/>
    <w:rsid w:val="009826F9"/>
    <w:rsid w:val="00983D1F"/>
    <w:rsid w:val="00983E04"/>
    <w:rsid w:val="009841F4"/>
    <w:rsid w:val="00984612"/>
    <w:rsid w:val="0098481A"/>
    <w:rsid w:val="009851C3"/>
    <w:rsid w:val="009859D8"/>
    <w:rsid w:val="00986063"/>
    <w:rsid w:val="009868FF"/>
    <w:rsid w:val="00986904"/>
    <w:rsid w:val="00986B98"/>
    <w:rsid w:val="00986DC8"/>
    <w:rsid w:val="00987B90"/>
    <w:rsid w:val="00987D4D"/>
    <w:rsid w:val="00987ED4"/>
    <w:rsid w:val="00987ED7"/>
    <w:rsid w:val="0099025F"/>
    <w:rsid w:val="0099129E"/>
    <w:rsid w:val="009917FD"/>
    <w:rsid w:val="00991A79"/>
    <w:rsid w:val="00991FE8"/>
    <w:rsid w:val="009920A9"/>
    <w:rsid w:val="00992424"/>
    <w:rsid w:val="00992736"/>
    <w:rsid w:val="00992857"/>
    <w:rsid w:val="00993282"/>
    <w:rsid w:val="00994289"/>
    <w:rsid w:val="009943FE"/>
    <w:rsid w:val="009948A8"/>
    <w:rsid w:val="00994D7C"/>
    <w:rsid w:val="0099555F"/>
    <w:rsid w:val="00995A9B"/>
    <w:rsid w:val="00995D33"/>
    <w:rsid w:val="00995D39"/>
    <w:rsid w:val="00995D94"/>
    <w:rsid w:val="00996260"/>
    <w:rsid w:val="0099662B"/>
    <w:rsid w:val="00996639"/>
    <w:rsid w:val="009968E2"/>
    <w:rsid w:val="0099787F"/>
    <w:rsid w:val="009A098C"/>
    <w:rsid w:val="009A0A82"/>
    <w:rsid w:val="009A1164"/>
    <w:rsid w:val="009A1949"/>
    <w:rsid w:val="009A21F5"/>
    <w:rsid w:val="009A37F2"/>
    <w:rsid w:val="009A39A6"/>
    <w:rsid w:val="009A3F7B"/>
    <w:rsid w:val="009A57F4"/>
    <w:rsid w:val="009A6554"/>
    <w:rsid w:val="009A793F"/>
    <w:rsid w:val="009B0515"/>
    <w:rsid w:val="009B0BD2"/>
    <w:rsid w:val="009B0FC9"/>
    <w:rsid w:val="009B18C6"/>
    <w:rsid w:val="009B1906"/>
    <w:rsid w:val="009B284D"/>
    <w:rsid w:val="009B292F"/>
    <w:rsid w:val="009B30B6"/>
    <w:rsid w:val="009B4494"/>
    <w:rsid w:val="009B4C3E"/>
    <w:rsid w:val="009B5B6B"/>
    <w:rsid w:val="009B7198"/>
    <w:rsid w:val="009B78D3"/>
    <w:rsid w:val="009B7955"/>
    <w:rsid w:val="009B79B9"/>
    <w:rsid w:val="009C012E"/>
    <w:rsid w:val="009C05A8"/>
    <w:rsid w:val="009C07F6"/>
    <w:rsid w:val="009C0CEA"/>
    <w:rsid w:val="009C23DB"/>
    <w:rsid w:val="009C2A38"/>
    <w:rsid w:val="009C2E2C"/>
    <w:rsid w:val="009C2E51"/>
    <w:rsid w:val="009C30AA"/>
    <w:rsid w:val="009C3790"/>
    <w:rsid w:val="009C4671"/>
    <w:rsid w:val="009C47BF"/>
    <w:rsid w:val="009C49A3"/>
    <w:rsid w:val="009C4AD0"/>
    <w:rsid w:val="009C4D89"/>
    <w:rsid w:val="009C4E14"/>
    <w:rsid w:val="009C571E"/>
    <w:rsid w:val="009C5CE2"/>
    <w:rsid w:val="009C5E0C"/>
    <w:rsid w:val="009C5F03"/>
    <w:rsid w:val="009C65F3"/>
    <w:rsid w:val="009C6686"/>
    <w:rsid w:val="009C66C7"/>
    <w:rsid w:val="009C6920"/>
    <w:rsid w:val="009C6E5F"/>
    <w:rsid w:val="009C794A"/>
    <w:rsid w:val="009D00D6"/>
    <w:rsid w:val="009D030D"/>
    <w:rsid w:val="009D0400"/>
    <w:rsid w:val="009D1152"/>
    <w:rsid w:val="009D11F7"/>
    <w:rsid w:val="009D1C69"/>
    <w:rsid w:val="009D24E4"/>
    <w:rsid w:val="009D2F1D"/>
    <w:rsid w:val="009D2FFC"/>
    <w:rsid w:val="009D4271"/>
    <w:rsid w:val="009D43DD"/>
    <w:rsid w:val="009D506A"/>
    <w:rsid w:val="009D5D3B"/>
    <w:rsid w:val="009D67C4"/>
    <w:rsid w:val="009D6AA9"/>
    <w:rsid w:val="009D6DE4"/>
    <w:rsid w:val="009E0020"/>
    <w:rsid w:val="009E0B7F"/>
    <w:rsid w:val="009E1860"/>
    <w:rsid w:val="009E2021"/>
    <w:rsid w:val="009E2983"/>
    <w:rsid w:val="009E6349"/>
    <w:rsid w:val="009E6547"/>
    <w:rsid w:val="009E65E4"/>
    <w:rsid w:val="009E694F"/>
    <w:rsid w:val="009E6CEB"/>
    <w:rsid w:val="009E7DD8"/>
    <w:rsid w:val="009E7F8A"/>
    <w:rsid w:val="009F03A6"/>
    <w:rsid w:val="009F0984"/>
    <w:rsid w:val="009F0C1C"/>
    <w:rsid w:val="009F0C1D"/>
    <w:rsid w:val="009F1D22"/>
    <w:rsid w:val="009F2B4E"/>
    <w:rsid w:val="009F2F18"/>
    <w:rsid w:val="009F3990"/>
    <w:rsid w:val="009F39A4"/>
    <w:rsid w:val="009F3CA7"/>
    <w:rsid w:val="009F4583"/>
    <w:rsid w:val="009F471F"/>
    <w:rsid w:val="009F4910"/>
    <w:rsid w:val="009F4BAF"/>
    <w:rsid w:val="009F4DB5"/>
    <w:rsid w:val="009F5BF2"/>
    <w:rsid w:val="009F74D0"/>
    <w:rsid w:val="009F7E30"/>
    <w:rsid w:val="00A0006B"/>
    <w:rsid w:val="00A00A56"/>
    <w:rsid w:val="00A00A93"/>
    <w:rsid w:val="00A00B6F"/>
    <w:rsid w:val="00A04D91"/>
    <w:rsid w:val="00A04ECE"/>
    <w:rsid w:val="00A04F60"/>
    <w:rsid w:val="00A0539E"/>
    <w:rsid w:val="00A05539"/>
    <w:rsid w:val="00A05BBB"/>
    <w:rsid w:val="00A05D3C"/>
    <w:rsid w:val="00A060DF"/>
    <w:rsid w:val="00A0653D"/>
    <w:rsid w:val="00A066F9"/>
    <w:rsid w:val="00A06F8C"/>
    <w:rsid w:val="00A11B1B"/>
    <w:rsid w:val="00A135FD"/>
    <w:rsid w:val="00A13C0D"/>
    <w:rsid w:val="00A13CEF"/>
    <w:rsid w:val="00A13FAE"/>
    <w:rsid w:val="00A140E7"/>
    <w:rsid w:val="00A1468D"/>
    <w:rsid w:val="00A15601"/>
    <w:rsid w:val="00A164F7"/>
    <w:rsid w:val="00A16714"/>
    <w:rsid w:val="00A16BFC"/>
    <w:rsid w:val="00A16F30"/>
    <w:rsid w:val="00A2073D"/>
    <w:rsid w:val="00A2073F"/>
    <w:rsid w:val="00A21938"/>
    <w:rsid w:val="00A21F0A"/>
    <w:rsid w:val="00A22320"/>
    <w:rsid w:val="00A2285B"/>
    <w:rsid w:val="00A23C89"/>
    <w:rsid w:val="00A246F1"/>
    <w:rsid w:val="00A247B5"/>
    <w:rsid w:val="00A25243"/>
    <w:rsid w:val="00A2579A"/>
    <w:rsid w:val="00A25AB8"/>
    <w:rsid w:val="00A25DAE"/>
    <w:rsid w:val="00A25FC6"/>
    <w:rsid w:val="00A2698B"/>
    <w:rsid w:val="00A2721B"/>
    <w:rsid w:val="00A27938"/>
    <w:rsid w:val="00A27F35"/>
    <w:rsid w:val="00A30E78"/>
    <w:rsid w:val="00A3251C"/>
    <w:rsid w:val="00A325E3"/>
    <w:rsid w:val="00A32757"/>
    <w:rsid w:val="00A32E7F"/>
    <w:rsid w:val="00A33B2C"/>
    <w:rsid w:val="00A33F82"/>
    <w:rsid w:val="00A34EFF"/>
    <w:rsid w:val="00A3512C"/>
    <w:rsid w:val="00A35988"/>
    <w:rsid w:val="00A36EA3"/>
    <w:rsid w:val="00A4005D"/>
    <w:rsid w:val="00A4026C"/>
    <w:rsid w:val="00A407A6"/>
    <w:rsid w:val="00A40BC5"/>
    <w:rsid w:val="00A40CD4"/>
    <w:rsid w:val="00A41CEF"/>
    <w:rsid w:val="00A42EE1"/>
    <w:rsid w:val="00A4310F"/>
    <w:rsid w:val="00A43561"/>
    <w:rsid w:val="00A43879"/>
    <w:rsid w:val="00A43C15"/>
    <w:rsid w:val="00A45F20"/>
    <w:rsid w:val="00A46DD9"/>
    <w:rsid w:val="00A474BB"/>
    <w:rsid w:val="00A47770"/>
    <w:rsid w:val="00A4781E"/>
    <w:rsid w:val="00A500BA"/>
    <w:rsid w:val="00A50646"/>
    <w:rsid w:val="00A5077B"/>
    <w:rsid w:val="00A50C23"/>
    <w:rsid w:val="00A50F97"/>
    <w:rsid w:val="00A513B8"/>
    <w:rsid w:val="00A51639"/>
    <w:rsid w:val="00A5166A"/>
    <w:rsid w:val="00A5183C"/>
    <w:rsid w:val="00A518F8"/>
    <w:rsid w:val="00A51BF3"/>
    <w:rsid w:val="00A51FC9"/>
    <w:rsid w:val="00A5251F"/>
    <w:rsid w:val="00A52ED3"/>
    <w:rsid w:val="00A52F59"/>
    <w:rsid w:val="00A537A3"/>
    <w:rsid w:val="00A53F93"/>
    <w:rsid w:val="00A5409B"/>
    <w:rsid w:val="00A54A30"/>
    <w:rsid w:val="00A54B7D"/>
    <w:rsid w:val="00A54E12"/>
    <w:rsid w:val="00A54E67"/>
    <w:rsid w:val="00A55057"/>
    <w:rsid w:val="00A559A6"/>
    <w:rsid w:val="00A568A8"/>
    <w:rsid w:val="00A569C7"/>
    <w:rsid w:val="00A57247"/>
    <w:rsid w:val="00A57F93"/>
    <w:rsid w:val="00A60180"/>
    <w:rsid w:val="00A6086C"/>
    <w:rsid w:val="00A608AC"/>
    <w:rsid w:val="00A617CC"/>
    <w:rsid w:val="00A6240E"/>
    <w:rsid w:val="00A62914"/>
    <w:rsid w:val="00A6295E"/>
    <w:rsid w:val="00A62B4D"/>
    <w:rsid w:val="00A63690"/>
    <w:rsid w:val="00A63C13"/>
    <w:rsid w:val="00A64348"/>
    <w:rsid w:val="00A648BD"/>
    <w:rsid w:val="00A64CBD"/>
    <w:rsid w:val="00A64E68"/>
    <w:rsid w:val="00A6568D"/>
    <w:rsid w:val="00A656C1"/>
    <w:rsid w:val="00A657ED"/>
    <w:rsid w:val="00A660EA"/>
    <w:rsid w:val="00A66DCA"/>
    <w:rsid w:val="00A674EC"/>
    <w:rsid w:val="00A67A91"/>
    <w:rsid w:val="00A67AB7"/>
    <w:rsid w:val="00A70822"/>
    <w:rsid w:val="00A70965"/>
    <w:rsid w:val="00A7104F"/>
    <w:rsid w:val="00A722B2"/>
    <w:rsid w:val="00A7331A"/>
    <w:rsid w:val="00A73956"/>
    <w:rsid w:val="00A73C6B"/>
    <w:rsid w:val="00A740E9"/>
    <w:rsid w:val="00A75F8B"/>
    <w:rsid w:val="00A75F9D"/>
    <w:rsid w:val="00A76126"/>
    <w:rsid w:val="00A767D8"/>
    <w:rsid w:val="00A76EF2"/>
    <w:rsid w:val="00A772D2"/>
    <w:rsid w:val="00A77823"/>
    <w:rsid w:val="00A77FFC"/>
    <w:rsid w:val="00A801C5"/>
    <w:rsid w:val="00A83688"/>
    <w:rsid w:val="00A83D1E"/>
    <w:rsid w:val="00A83FAE"/>
    <w:rsid w:val="00A8474B"/>
    <w:rsid w:val="00A84E6E"/>
    <w:rsid w:val="00A85845"/>
    <w:rsid w:val="00A85B27"/>
    <w:rsid w:val="00A86E92"/>
    <w:rsid w:val="00A87193"/>
    <w:rsid w:val="00A90581"/>
    <w:rsid w:val="00A9074C"/>
    <w:rsid w:val="00A90CF7"/>
    <w:rsid w:val="00A90DC9"/>
    <w:rsid w:val="00A916CF"/>
    <w:rsid w:val="00A918DA"/>
    <w:rsid w:val="00A91955"/>
    <w:rsid w:val="00A91CD6"/>
    <w:rsid w:val="00A92373"/>
    <w:rsid w:val="00A923FE"/>
    <w:rsid w:val="00A92527"/>
    <w:rsid w:val="00A92738"/>
    <w:rsid w:val="00A93873"/>
    <w:rsid w:val="00A94F48"/>
    <w:rsid w:val="00A959F0"/>
    <w:rsid w:val="00A95BA3"/>
    <w:rsid w:val="00A966EA"/>
    <w:rsid w:val="00AA0661"/>
    <w:rsid w:val="00AA0C64"/>
    <w:rsid w:val="00AA0FD4"/>
    <w:rsid w:val="00AA113C"/>
    <w:rsid w:val="00AA1499"/>
    <w:rsid w:val="00AA16E4"/>
    <w:rsid w:val="00AA19AD"/>
    <w:rsid w:val="00AA1E3F"/>
    <w:rsid w:val="00AA209C"/>
    <w:rsid w:val="00AA2592"/>
    <w:rsid w:val="00AA2602"/>
    <w:rsid w:val="00AA2FC3"/>
    <w:rsid w:val="00AA461F"/>
    <w:rsid w:val="00AA47C7"/>
    <w:rsid w:val="00AA48F2"/>
    <w:rsid w:val="00AA4A0A"/>
    <w:rsid w:val="00AA4AFD"/>
    <w:rsid w:val="00AA4D1F"/>
    <w:rsid w:val="00AA51F3"/>
    <w:rsid w:val="00AA583A"/>
    <w:rsid w:val="00AA617A"/>
    <w:rsid w:val="00AA626E"/>
    <w:rsid w:val="00AA6ADC"/>
    <w:rsid w:val="00AA713D"/>
    <w:rsid w:val="00AB072A"/>
    <w:rsid w:val="00AB0EC1"/>
    <w:rsid w:val="00AB10F6"/>
    <w:rsid w:val="00AB27E9"/>
    <w:rsid w:val="00AB2B80"/>
    <w:rsid w:val="00AB3112"/>
    <w:rsid w:val="00AB3701"/>
    <w:rsid w:val="00AB53AF"/>
    <w:rsid w:val="00AB54A9"/>
    <w:rsid w:val="00AB6232"/>
    <w:rsid w:val="00AB664A"/>
    <w:rsid w:val="00AB7770"/>
    <w:rsid w:val="00AC012C"/>
    <w:rsid w:val="00AC0853"/>
    <w:rsid w:val="00AC21AC"/>
    <w:rsid w:val="00AC2EA9"/>
    <w:rsid w:val="00AC3501"/>
    <w:rsid w:val="00AC3C08"/>
    <w:rsid w:val="00AC4075"/>
    <w:rsid w:val="00AC4D1A"/>
    <w:rsid w:val="00AC5D0F"/>
    <w:rsid w:val="00AC62A3"/>
    <w:rsid w:val="00AC63D9"/>
    <w:rsid w:val="00AC64FE"/>
    <w:rsid w:val="00AC6710"/>
    <w:rsid w:val="00AC7CFA"/>
    <w:rsid w:val="00AD0051"/>
    <w:rsid w:val="00AD03AC"/>
    <w:rsid w:val="00AD0C94"/>
    <w:rsid w:val="00AD0FE1"/>
    <w:rsid w:val="00AD1244"/>
    <w:rsid w:val="00AD2A30"/>
    <w:rsid w:val="00AD3FDE"/>
    <w:rsid w:val="00AD44AF"/>
    <w:rsid w:val="00AD5ED1"/>
    <w:rsid w:val="00AD5F5B"/>
    <w:rsid w:val="00AD73E6"/>
    <w:rsid w:val="00AD7708"/>
    <w:rsid w:val="00AD7B36"/>
    <w:rsid w:val="00AE023A"/>
    <w:rsid w:val="00AE0B75"/>
    <w:rsid w:val="00AE0D4B"/>
    <w:rsid w:val="00AE0E0A"/>
    <w:rsid w:val="00AE0EB0"/>
    <w:rsid w:val="00AE1846"/>
    <w:rsid w:val="00AE19C8"/>
    <w:rsid w:val="00AE22C9"/>
    <w:rsid w:val="00AE3183"/>
    <w:rsid w:val="00AE37AF"/>
    <w:rsid w:val="00AE3CE4"/>
    <w:rsid w:val="00AE4056"/>
    <w:rsid w:val="00AE4D9A"/>
    <w:rsid w:val="00AE5199"/>
    <w:rsid w:val="00AE5721"/>
    <w:rsid w:val="00AE580B"/>
    <w:rsid w:val="00AE5D97"/>
    <w:rsid w:val="00AE712A"/>
    <w:rsid w:val="00AE7C14"/>
    <w:rsid w:val="00AE7E5A"/>
    <w:rsid w:val="00AF0309"/>
    <w:rsid w:val="00AF0C61"/>
    <w:rsid w:val="00AF0D82"/>
    <w:rsid w:val="00AF1838"/>
    <w:rsid w:val="00AF18A8"/>
    <w:rsid w:val="00AF204F"/>
    <w:rsid w:val="00AF242F"/>
    <w:rsid w:val="00AF27EF"/>
    <w:rsid w:val="00AF2B20"/>
    <w:rsid w:val="00AF325E"/>
    <w:rsid w:val="00AF32B3"/>
    <w:rsid w:val="00AF3372"/>
    <w:rsid w:val="00AF34EB"/>
    <w:rsid w:val="00AF47AF"/>
    <w:rsid w:val="00AF49EC"/>
    <w:rsid w:val="00AF4D6F"/>
    <w:rsid w:val="00AF5CA3"/>
    <w:rsid w:val="00AF5F3B"/>
    <w:rsid w:val="00AF6015"/>
    <w:rsid w:val="00AF65D9"/>
    <w:rsid w:val="00AF66E4"/>
    <w:rsid w:val="00AF74D9"/>
    <w:rsid w:val="00AF7DB8"/>
    <w:rsid w:val="00AF7E22"/>
    <w:rsid w:val="00B000BA"/>
    <w:rsid w:val="00B00BD1"/>
    <w:rsid w:val="00B0147B"/>
    <w:rsid w:val="00B015A0"/>
    <w:rsid w:val="00B01B38"/>
    <w:rsid w:val="00B0301F"/>
    <w:rsid w:val="00B031E7"/>
    <w:rsid w:val="00B049FE"/>
    <w:rsid w:val="00B04A6F"/>
    <w:rsid w:val="00B05AD0"/>
    <w:rsid w:val="00B05C92"/>
    <w:rsid w:val="00B05ECD"/>
    <w:rsid w:val="00B067DC"/>
    <w:rsid w:val="00B0705D"/>
    <w:rsid w:val="00B0757A"/>
    <w:rsid w:val="00B076BB"/>
    <w:rsid w:val="00B07739"/>
    <w:rsid w:val="00B07781"/>
    <w:rsid w:val="00B07C49"/>
    <w:rsid w:val="00B07C88"/>
    <w:rsid w:val="00B1074F"/>
    <w:rsid w:val="00B112F7"/>
    <w:rsid w:val="00B11C24"/>
    <w:rsid w:val="00B121DB"/>
    <w:rsid w:val="00B14289"/>
    <w:rsid w:val="00B15188"/>
    <w:rsid w:val="00B15AFD"/>
    <w:rsid w:val="00B15E94"/>
    <w:rsid w:val="00B176ED"/>
    <w:rsid w:val="00B1799D"/>
    <w:rsid w:val="00B17C44"/>
    <w:rsid w:val="00B17DEE"/>
    <w:rsid w:val="00B20B10"/>
    <w:rsid w:val="00B2148C"/>
    <w:rsid w:val="00B215CD"/>
    <w:rsid w:val="00B229CB"/>
    <w:rsid w:val="00B2319A"/>
    <w:rsid w:val="00B2354A"/>
    <w:rsid w:val="00B237DD"/>
    <w:rsid w:val="00B23C6F"/>
    <w:rsid w:val="00B23FBF"/>
    <w:rsid w:val="00B2463D"/>
    <w:rsid w:val="00B24815"/>
    <w:rsid w:val="00B24C35"/>
    <w:rsid w:val="00B2577F"/>
    <w:rsid w:val="00B259E9"/>
    <w:rsid w:val="00B2730B"/>
    <w:rsid w:val="00B3081A"/>
    <w:rsid w:val="00B30AED"/>
    <w:rsid w:val="00B30EB6"/>
    <w:rsid w:val="00B31888"/>
    <w:rsid w:val="00B31BB4"/>
    <w:rsid w:val="00B32C82"/>
    <w:rsid w:val="00B32E57"/>
    <w:rsid w:val="00B33BC6"/>
    <w:rsid w:val="00B34525"/>
    <w:rsid w:val="00B3564B"/>
    <w:rsid w:val="00B36094"/>
    <w:rsid w:val="00B36661"/>
    <w:rsid w:val="00B377A7"/>
    <w:rsid w:val="00B37D37"/>
    <w:rsid w:val="00B37E4D"/>
    <w:rsid w:val="00B37FF6"/>
    <w:rsid w:val="00B4141F"/>
    <w:rsid w:val="00B415C4"/>
    <w:rsid w:val="00B42039"/>
    <w:rsid w:val="00B42AAA"/>
    <w:rsid w:val="00B4482A"/>
    <w:rsid w:val="00B4517F"/>
    <w:rsid w:val="00B462A7"/>
    <w:rsid w:val="00B47F08"/>
    <w:rsid w:val="00B501B0"/>
    <w:rsid w:val="00B503AB"/>
    <w:rsid w:val="00B50EB5"/>
    <w:rsid w:val="00B5288E"/>
    <w:rsid w:val="00B530C5"/>
    <w:rsid w:val="00B53128"/>
    <w:rsid w:val="00B533E7"/>
    <w:rsid w:val="00B536EC"/>
    <w:rsid w:val="00B54311"/>
    <w:rsid w:val="00B545E1"/>
    <w:rsid w:val="00B549E1"/>
    <w:rsid w:val="00B54B1C"/>
    <w:rsid w:val="00B5502D"/>
    <w:rsid w:val="00B552E2"/>
    <w:rsid w:val="00B55838"/>
    <w:rsid w:val="00B55F6B"/>
    <w:rsid w:val="00B56324"/>
    <w:rsid w:val="00B56356"/>
    <w:rsid w:val="00B56712"/>
    <w:rsid w:val="00B56794"/>
    <w:rsid w:val="00B571B2"/>
    <w:rsid w:val="00B57238"/>
    <w:rsid w:val="00B57370"/>
    <w:rsid w:val="00B5773B"/>
    <w:rsid w:val="00B577CD"/>
    <w:rsid w:val="00B60023"/>
    <w:rsid w:val="00B60160"/>
    <w:rsid w:val="00B604D7"/>
    <w:rsid w:val="00B62B56"/>
    <w:rsid w:val="00B62C17"/>
    <w:rsid w:val="00B62E0C"/>
    <w:rsid w:val="00B62FE2"/>
    <w:rsid w:val="00B6345B"/>
    <w:rsid w:val="00B65145"/>
    <w:rsid w:val="00B652A2"/>
    <w:rsid w:val="00B65AEF"/>
    <w:rsid w:val="00B66212"/>
    <w:rsid w:val="00B664D2"/>
    <w:rsid w:val="00B6695A"/>
    <w:rsid w:val="00B670D2"/>
    <w:rsid w:val="00B700DC"/>
    <w:rsid w:val="00B7019A"/>
    <w:rsid w:val="00B7080C"/>
    <w:rsid w:val="00B710B7"/>
    <w:rsid w:val="00B71455"/>
    <w:rsid w:val="00B71A52"/>
    <w:rsid w:val="00B71BB8"/>
    <w:rsid w:val="00B7219D"/>
    <w:rsid w:val="00B72528"/>
    <w:rsid w:val="00B73132"/>
    <w:rsid w:val="00B74238"/>
    <w:rsid w:val="00B7629C"/>
    <w:rsid w:val="00B76968"/>
    <w:rsid w:val="00B77D22"/>
    <w:rsid w:val="00B828AE"/>
    <w:rsid w:val="00B82C06"/>
    <w:rsid w:val="00B83F33"/>
    <w:rsid w:val="00B85953"/>
    <w:rsid w:val="00B85FFF"/>
    <w:rsid w:val="00B86200"/>
    <w:rsid w:val="00B876BB"/>
    <w:rsid w:val="00B9053A"/>
    <w:rsid w:val="00B90924"/>
    <w:rsid w:val="00B910E9"/>
    <w:rsid w:val="00B92BE1"/>
    <w:rsid w:val="00B934AB"/>
    <w:rsid w:val="00B93B72"/>
    <w:rsid w:val="00B9406E"/>
    <w:rsid w:val="00B9438A"/>
    <w:rsid w:val="00B950EA"/>
    <w:rsid w:val="00B9528B"/>
    <w:rsid w:val="00B95553"/>
    <w:rsid w:val="00B95CA6"/>
    <w:rsid w:val="00B9680D"/>
    <w:rsid w:val="00B96A5D"/>
    <w:rsid w:val="00B97093"/>
    <w:rsid w:val="00BA02EA"/>
    <w:rsid w:val="00BA03DD"/>
    <w:rsid w:val="00BA0490"/>
    <w:rsid w:val="00BA1255"/>
    <w:rsid w:val="00BA1484"/>
    <w:rsid w:val="00BA19BF"/>
    <w:rsid w:val="00BA19CA"/>
    <w:rsid w:val="00BA2736"/>
    <w:rsid w:val="00BA2FEF"/>
    <w:rsid w:val="00BA3232"/>
    <w:rsid w:val="00BA3CC7"/>
    <w:rsid w:val="00BA3D26"/>
    <w:rsid w:val="00BA3FE9"/>
    <w:rsid w:val="00BA40BC"/>
    <w:rsid w:val="00BA4CF8"/>
    <w:rsid w:val="00BA5492"/>
    <w:rsid w:val="00BA5E0B"/>
    <w:rsid w:val="00BA6528"/>
    <w:rsid w:val="00BA6F97"/>
    <w:rsid w:val="00BA7074"/>
    <w:rsid w:val="00BA70B8"/>
    <w:rsid w:val="00BA72AA"/>
    <w:rsid w:val="00BA7356"/>
    <w:rsid w:val="00BA7C54"/>
    <w:rsid w:val="00BA7DC9"/>
    <w:rsid w:val="00BA7FDB"/>
    <w:rsid w:val="00BB018C"/>
    <w:rsid w:val="00BB0AE7"/>
    <w:rsid w:val="00BB1BEB"/>
    <w:rsid w:val="00BB266B"/>
    <w:rsid w:val="00BB28B0"/>
    <w:rsid w:val="00BB2AA1"/>
    <w:rsid w:val="00BB3051"/>
    <w:rsid w:val="00BB35F4"/>
    <w:rsid w:val="00BB3934"/>
    <w:rsid w:val="00BB404C"/>
    <w:rsid w:val="00BB4743"/>
    <w:rsid w:val="00BB5581"/>
    <w:rsid w:val="00BB62E0"/>
    <w:rsid w:val="00BB68BF"/>
    <w:rsid w:val="00BB7206"/>
    <w:rsid w:val="00BC124D"/>
    <w:rsid w:val="00BC1847"/>
    <w:rsid w:val="00BC1EF8"/>
    <w:rsid w:val="00BC25F1"/>
    <w:rsid w:val="00BC26DB"/>
    <w:rsid w:val="00BC28E1"/>
    <w:rsid w:val="00BC2B43"/>
    <w:rsid w:val="00BC4777"/>
    <w:rsid w:val="00BC4BF0"/>
    <w:rsid w:val="00BC5066"/>
    <w:rsid w:val="00BC5267"/>
    <w:rsid w:val="00BC52B7"/>
    <w:rsid w:val="00BC596E"/>
    <w:rsid w:val="00BC6023"/>
    <w:rsid w:val="00BC6155"/>
    <w:rsid w:val="00BC62BB"/>
    <w:rsid w:val="00BC63B3"/>
    <w:rsid w:val="00BC7A89"/>
    <w:rsid w:val="00BD07DB"/>
    <w:rsid w:val="00BD0C38"/>
    <w:rsid w:val="00BD0D4D"/>
    <w:rsid w:val="00BD0E6E"/>
    <w:rsid w:val="00BD15D6"/>
    <w:rsid w:val="00BD27C5"/>
    <w:rsid w:val="00BD37E1"/>
    <w:rsid w:val="00BD3D98"/>
    <w:rsid w:val="00BD4026"/>
    <w:rsid w:val="00BD46FA"/>
    <w:rsid w:val="00BD4728"/>
    <w:rsid w:val="00BD5108"/>
    <w:rsid w:val="00BD5A6E"/>
    <w:rsid w:val="00BD724A"/>
    <w:rsid w:val="00BD778B"/>
    <w:rsid w:val="00BD7B38"/>
    <w:rsid w:val="00BE01A7"/>
    <w:rsid w:val="00BE0D85"/>
    <w:rsid w:val="00BE0D96"/>
    <w:rsid w:val="00BE111F"/>
    <w:rsid w:val="00BE156B"/>
    <w:rsid w:val="00BE2407"/>
    <w:rsid w:val="00BE3F38"/>
    <w:rsid w:val="00BE4B78"/>
    <w:rsid w:val="00BE586D"/>
    <w:rsid w:val="00BE5917"/>
    <w:rsid w:val="00BE68A5"/>
    <w:rsid w:val="00BE7500"/>
    <w:rsid w:val="00BE7A77"/>
    <w:rsid w:val="00BE7EE7"/>
    <w:rsid w:val="00BF0944"/>
    <w:rsid w:val="00BF0976"/>
    <w:rsid w:val="00BF0E2C"/>
    <w:rsid w:val="00BF19C3"/>
    <w:rsid w:val="00BF1E4C"/>
    <w:rsid w:val="00BF237B"/>
    <w:rsid w:val="00BF24CB"/>
    <w:rsid w:val="00BF405F"/>
    <w:rsid w:val="00BF4A0C"/>
    <w:rsid w:val="00BF5438"/>
    <w:rsid w:val="00BF5AB9"/>
    <w:rsid w:val="00BF5D00"/>
    <w:rsid w:val="00BF6339"/>
    <w:rsid w:val="00BF6699"/>
    <w:rsid w:val="00BF6FFD"/>
    <w:rsid w:val="00BF7078"/>
    <w:rsid w:val="00BF78B4"/>
    <w:rsid w:val="00BF7A2A"/>
    <w:rsid w:val="00BF7BC7"/>
    <w:rsid w:val="00C00140"/>
    <w:rsid w:val="00C008EE"/>
    <w:rsid w:val="00C009C0"/>
    <w:rsid w:val="00C00FCC"/>
    <w:rsid w:val="00C01962"/>
    <w:rsid w:val="00C01AC8"/>
    <w:rsid w:val="00C01B21"/>
    <w:rsid w:val="00C01FAF"/>
    <w:rsid w:val="00C021D8"/>
    <w:rsid w:val="00C02C2C"/>
    <w:rsid w:val="00C02E1F"/>
    <w:rsid w:val="00C02F0B"/>
    <w:rsid w:val="00C0372F"/>
    <w:rsid w:val="00C0441E"/>
    <w:rsid w:val="00C0498A"/>
    <w:rsid w:val="00C053A7"/>
    <w:rsid w:val="00C068AD"/>
    <w:rsid w:val="00C0707B"/>
    <w:rsid w:val="00C07923"/>
    <w:rsid w:val="00C079D4"/>
    <w:rsid w:val="00C07D51"/>
    <w:rsid w:val="00C10666"/>
    <w:rsid w:val="00C11DF4"/>
    <w:rsid w:val="00C12A7A"/>
    <w:rsid w:val="00C12E2D"/>
    <w:rsid w:val="00C1444D"/>
    <w:rsid w:val="00C14DAB"/>
    <w:rsid w:val="00C15009"/>
    <w:rsid w:val="00C15103"/>
    <w:rsid w:val="00C155A4"/>
    <w:rsid w:val="00C15CA0"/>
    <w:rsid w:val="00C15D65"/>
    <w:rsid w:val="00C176A0"/>
    <w:rsid w:val="00C17EF6"/>
    <w:rsid w:val="00C20031"/>
    <w:rsid w:val="00C207AE"/>
    <w:rsid w:val="00C20F8F"/>
    <w:rsid w:val="00C22210"/>
    <w:rsid w:val="00C222F3"/>
    <w:rsid w:val="00C22881"/>
    <w:rsid w:val="00C22CDC"/>
    <w:rsid w:val="00C2306E"/>
    <w:rsid w:val="00C23BF4"/>
    <w:rsid w:val="00C23F8C"/>
    <w:rsid w:val="00C24DB5"/>
    <w:rsid w:val="00C25A7F"/>
    <w:rsid w:val="00C25AE2"/>
    <w:rsid w:val="00C2636C"/>
    <w:rsid w:val="00C265F7"/>
    <w:rsid w:val="00C2687D"/>
    <w:rsid w:val="00C271F3"/>
    <w:rsid w:val="00C27505"/>
    <w:rsid w:val="00C27641"/>
    <w:rsid w:val="00C27B27"/>
    <w:rsid w:val="00C314C8"/>
    <w:rsid w:val="00C31DFD"/>
    <w:rsid w:val="00C31F8A"/>
    <w:rsid w:val="00C32822"/>
    <w:rsid w:val="00C32ACE"/>
    <w:rsid w:val="00C32D38"/>
    <w:rsid w:val="00C32FEE"/>
    <w:rsid w:val="00C331F0"/>
    <w:rsid w:val="00C33583"/>
    <w:rsid w:val="00C33905"/>
    <w:rsid w:val="00C34500"/>
    <w:rsid w:val="00C34D1C"/>
    <w:rsid w:val="00C34FE7"/>
    <w:rsid w:val="00C35787"/>
    <w:rsid w:val="00C36CEC"/>
    <w:rsid w:val="00C40DE4"/>
    <w:rsid w:val="00C40E79"/>
    <w:rsid w:val="00C413DA"/>
    <w:rsid w:val="00C41505"/>
    <w:rsid w:val="00C42178"/>
    <w:rsid w:val="00C42F50"/>
    <w:rsid w:val="00C43B1E"/>
    <w:rsid w:val="00C43E77"/>
    <w:rsid w:val="00C45079"/>
    <w:rsid w:val="00C4520E"/>
    <w:rsid w:val="00C45E17"/>
    <w:rsid w:val="00C47216"/>
    <w:rsid w:val="00C472FC"/>
    <w:rsid w:val="00C478C4"/>
    <w:rsid w:val="00C47A38"/>
    <w:rsid w:val="00C50657"/>
    <w:rsid w:val="00C50B49"/>
    <w:rsid w:val="00C5194B"/>
    <w:rsid w:val="00C5207D"/>
    <w:rsid w:val="00C525C0"/>
    <w:rsid w:val="00C528DA"/>
    <w:rsid w:val="00C53E9A"/>
    <w:rsid w:val="00C54314"/>
    <w:rsid w:val="00C543B0"/>
    <w:rsid w:val="00C54818"/>
    <w:rsid w:val="00C55CC6"/>
    <w:rsid w:val="00C563A5"/>
    <w:rsid w:val="00C56C13"/>
    <w:rsid w:val="00C56CCA"/>
    <w:rsid w:val="00C5723D"/>
    <w:rsid w:val="00C57A3B"/>
    <w:rsid w:val="00C607AF"/>
    <w:rsid w:val="00C607E8"/>
    <w:rsid w:val="00C608CA"/>
    <w:rsid w:val="00C60B14"/>
    <w:rsid w:val="00C60D56"/>
    <w:rsid w:val="00C614F1"/>
    <w:rsid w:val="00C619B5"/>
    <w:rsid w:val="00C625A6"/>
    <w:rsid w:val="00C62634"/>
    <w:rsid w:val="00C63DCB"/>
    <w:rsid w:val="00C64AD7"/>
    <w:rsid w:val="00C64B7B"/>
    <w:rsid w:val="00C64C85"/>
    <w:rsid w:val="00C66627"/>
    <w:rsid w:val="00C66895"/>
    <w:rsid w:val="00C6798B"/>
    <w:rsid w:val="00C67D3E"/>
    <w:rsid w:val="00C70518"/>
    <w:rsid w:val="00C7064E"/>
    <w:rsid w:val="00C70AB5"/>
    <w:rsid w:val="00C70EC9"/>
    <w:rsid w:val="00C70FF4"/>
    <w:rsid w:val="00C720B4"/>
    <w:rsid w:val="00C7255D"/>
    <w:rsid w:val="00C72659"/>
    <w:rsid w:val="00C7330E"/>
    <w:rsid w:val="00C737FD"/>
    <w:rsid w:val="00C74A99"/>
    <w:rsid w:val="00C74BF8"/>
    <w:rsid w:val="00C75D08"/>
    <w:rsid w:val="00C76720"/>
    <w:rsid w:val="00C7672B"/>
    <w:rsid w:val="00C76B84"/>
    <w:rsid w:val="00C76C2D"/>
    <w:rsid w:val="00C77D86"/>
    <w:rsid w:val="00C809F6"/>
    <w:rsid w:val="00C80C0B"/>
    <w:rsid w:val="00C80E3F"/>
    <w:rsid w:val="00C810E9"/>
    <w:rsid w:val="00C816E8"/>
    <w:rsid w:val="00C82AFD"/>
    <w:rsid w:val="00C835B9"/>
    <w:rsid w:val="00C83A5F"/>
    <w:rsid w:val="00C844BE"/>
    <w:rsid w:val="00C8473F"/>
    <w:rsid w:val="00C84A8C"/>
    <w:rsid w:val="00C84B30"/>
    <w:rsid w:val="00C85987"/>
    <w:rsid w:val="00C85AAD"/>
    <w:rsid w:val="00C85FE0"/>
    <w:rsid w:val="00C86580"/>
    <w:rsid w:val="00C8669F"/>
    <w:rsid w:val="00C8673C"/>
    <w:rsid w:val="00C86E20"/>
    <w:rsid w:val="00C87419"/>
    <w:rsid w:val="00C875BC"/>
    <w:rsid w:val="00C907ED"/>
    <w:rsid w:val="00C918C0"/>
    <w:rsid w:val="00C91ACA"/>
    <w:rsid w:val="00C91E89"/>
    <w:rsid w:val="00C91EDF"/>
    <w:rsid w:val="00C932FC"/>
    <w:rsid w:val="00C93500"/>
    <w:rsid w:val="00C93788"/>
    <w:rsid w:val="00C940FD"/>
    <w:rsid w:val="00C9448E"/>
    <w:rsid w:val="00C945C9"/>
    <w:rsid w:val="00C949B8"/>
    <w:rsid w:val="00C94B35"/>
    <w:rsid w:val="00C94D37"/>
    <w:rsid w:val="00C94F86"/>
    <w:rsid w:val="00C95D17"/>
    <w:rsid w:val="00C976FF"/>
    <w:rsid w:val="00C97D4F"/>
    <w:rsid w:val="00CA0FBA"/>
    <w:rsid w:val="00CA10DA"/>
    <w:rsid w:val="00CA1784"/>
    <w:rsid w:val="00CA1A93"/>
    <w:rsid w:val="00CA1D90"/>
    <w:rsid w:val="00CA1E59"/>
    <w:rsid w:val="00CA2293"/>
    <w:rsid w:val="00CA25A2"/>
    <w:rsid w:val="00CA30BB"/>
    <w:rsid w:val="00CA3118"/>
    <w:rsid w:val="00CA35F7"/>
    <w:rsid w:val="00CA3FB7"/>
    <w:rsid w:val="00CA4C0E"/>
    <w:rsid w:val="00CA595D"/>
    <w:rsid w:val="00CA6517"/>
    <w:rsid w:val="00CA65F3"/>
    <w:rsid w:val="00CA6FD5"/>
    <w:rsid w:val="00CA7528"/>
    <w:rsid w:val="00CA7718"/>
    <w:rsid w:val="00CB12B6"/>
    <w:rsid w:val="00CB13ED"/>
    <w:rsid w:val="00CB172D"/>
    <w:rsid w:val="00CB1BD8"/>
    <w:rsid w:val="00CB1E16"/>
    <w:rsid w:val="00CB2BE3"/>
    <w:rsid w:val="00CB340B"/>
    <w:rsid w:val="00CB380E"/>
    <w:rsid w:val="00CB3A1F"/>
    <w:rsid w:val="00CB4A5D"/>
    <w:rsid w:val="00CB517F"/>
    <w:rsid w:val="00CB5BDE"/>
    <w:rsid w:val="00CB6265"/>
    <w:rsid w:val="00CB63FF"/>
    <w:rsid w:val="00CB6C39"/>
    <w:rsid w:val="00CB70A5"/>
    <w:rsid w:val="00CB72BB"/>
    <w:rsid w:val="00CB758C"/>
    <w:rsid w:val="00CB7BE8"/>
    <w:rsid w:val="00CC0F2C"/>
    <w:rsid w:val="00CC120E"/>
    <w:rsid w:val="00CC1FB9"/>
    <w:rsid w:val="00CC21A4"/>
    <w:rsid w:val="00CC27AA"/>
    <w:rsid w:val="00CC362B"/>
    <w:rsid w:val="00CC371D"/>
    <w:rsid w:val="00CC39F1"/>
    <w:rsid w:val="00CC3F5A"/>
    <w:rsid w:val="00CC4D5C"/>
    <w:rsid w:val="00CC4F32"/>
    <w:rsid w:val="00CC4F7E"/>
    <w:rsid w:val="00CC53C9"/>
    <w:rsid w:val="00CC5E86"/>
    <w:rsid w:val="00CC69D7"/>
    <w:rsid w:val="00CC7437"/>
    <w:rsid w:val="00CC7A2A"/>
    <w:rsid w:val="00CC7D69"/>
    <w:rsid w:val="00CD013A"/>
    <w:rsid w:val="00CD04E8"/>
    <w:rsid w:val="00CD13DE"/>
    <w:rsid w:val="00CD1C61"/>
    <w:rsid w:val="00CD1D26"/>
    <w:rsid w:val="00CD2545"/>
    <w:rsid w:val="00CD2679"/>
    <w:rsid w:val="00CD2681"/>
    <w:rsid w:val="00CD3FB4"/>
    <w:rsid w:val="00CD430D"/>
    <w:rsid w:val="00CD4C7A"/>
    <w:rsid w:val="00CD4F2D"/>
    <w:rsid w:val="00CD5088"/>
    <w:rsid w:val="00CD55AD"/>
    <w:rsid w:val="00CD5603"/>
    <w:rsid w:val="00CD6250"/>
    <w:rsid w:val="00CD6448"/>
    <w:rsid w:val="00CD6573"/>
    <w:rsid w:val="00CD6AE9"/>
    <w:rsid w:val="00CD74FF"/>
    <w:rsid w:val="00CD7520"/>
    <w:rsid w:val="00CD7570"/>
    <w:rsid w:val="00CD7973"/>
    <w:rsid w:val="00CD7B65"/>
    <w:rsid w:val="00CD7E47"/>
    <w:rsid w:val="00CD7FAD"/>
    <w:rsid w:val="00CE106A"/>
    <w:rsid w:val="00CE127A"/>
    <w:rsid w:val="00CE172C"/>
    <w:rsid w:val="00CE1971"/>
    <w:rsid w:val="00CE28B8"/>
    <w:rsid w:val="00CE3414"/>
    <w:rsid w:val="00CE3C9B"/>
    <w:rsid w:val="00CE6D2C"/>
    <w:rsid w:val="00CE72A5"/>
    <w:rsid w:val="00CE73AF"/>
    <w:rsid w:val="00CE7831"/>
    <w:rsid w:val="00CE79EE"/>
    <w:rsid w:val="00CF0300"/>
    <w:rsid w:val="00CF0387"/>
    <w:rsid w:val="00CF0938"/>
    <w:rsid w:val="00CF1D30"/>
    <w:rsid w:val="00CF222B"/>
    <w:rsid w:val="00CF26AF"/>
    <w:rsid w:val="00CF36F7"/>
    <w:rsid w:val="00CF3711"/>
    <w:rsid w:val="00CF3ABF"/>
    <w:rsid w:val="00CF4069"/>
    <w:rsid w:val="00CF43E8"/>
    <w:rsid w:val="00CF4B6C"/>
    <w:rsid w:val="00CF5422"/>
    <w:rsid w:val="00CF5885"/>
    <w:rsid w:val="00CF5D93"/>
    <w:rsid w:val="00CF64EC"/>
    <w:rsid w:val="00CF716A"/>
    <w:rsid w:val="00CF7C44"/>
    <w:rsid w:val="00CF7D6C"/>
    <w:rsid w:val="00D00A0F"/>
    <w:rsid w:val="00D011FE"/>
    <w:rsid w:val="00D017D2"/>
    <w:rsid w:val="00D02206"/>
    <w:rsid w:val="00D02FAC"/>
    <w:rsid w:val="00D03868"/>
    <w:rsid w:val="00D03DCA"/>
    <w:rsid w:val="00D03DF4"/>
    <w:rsid w:val="00D04786"/>
    <w:rsid w:val="00D04FF8"/>
    <w:rsid w:val="00D053A6"/>
    <w:rsid w:val="00D05E7A"/>
    <w:rsid w:val="00D069BF"/>
    <w:rsid w:val="00D06A17"/>
    <w:rsid w:val="00D06C89"/>
    <w:rsid w:val="00D0759C"/>
    <w:rsid w:val="00D07869"/>
    <w:rsid w:val="00D07CA1"/>
    <w:rsid w:val="00D10180"/>
    <w:rsid w:val="00D10445"/>
    <w:rsid w:val="00D10F06"/>
    <w:rsid w:val="00D1145B"/>
    <w:rsid w:val="00D12E72"/>
    <w:rsid w:val="00D13807"/>
    <w:rsid w:val="00D13C3A"/>
    <w:rsid w:val="00D14694"/>
    <w:rsid w:val="00D14BDF"/>
    <w:rsid w:val="00D15055"/>
    <w:rsid w:val="00D15074"/>
    <w:rsid w:val="00D15BAE"/>
    <w:rsid w:val="00D15FF6"/>
    <w:rsid w:val="00D16648"/>
    <w:rsid w:val="00D1722C"/>
    <w:rsid w:val="00D1727B"/>
    <w:rsid w:val="00D17299"/>
    <w:rsid w:val="00D174C7"/>
    <w:rsid w:val="00D20608"/>
    <w:rsid w:val="00D21A56"/>
    <w:rsid w:val="00D22313"/>
    <w:rsid w:val="00D229E2"/>
    <w:rsid w:val="00D2371F"/>
    <w:rsid w:val="00D23ADC"/>
    <w:rsid w:val="00D23EF3"/>
    <w:rsid w:val="00D242F4"/>
    <w:rsid w:val="00D246B4"/>
    <w:rsid w:val="00D2532A"/>
    <w:rsid w:val="00D2543D"/>
    <w:rsid w:val="00D25A9D"/>
    <w:rsid w:val="00D25E33"/>
    <w:rsid w:val="00D25E66"/>
    <w:rsid w:val="00D26159"/>
    <w:rsid w:val="00D26770"/>
    <w:rsid w:val="00D26899"/>
    <w:rsid w:val="00D2694F"/>
    <w:rsid w:val="00D27A55"/>
    <w:rsid w:val="00D30FB7"/>
    <w:rsid w:val="00D31C76"/>
    <w:rsid w:val="00D329A0"/>
    <w:rsid w:val="00D33164"/>
    <w:rsid w:val="00D33237"/>
    <w:rsid w:val="00D339E6"/>
    <w:rsid w:val="00D34967"/>
    <w:rsid w:val="00D34FFF"/>
    <w:rsid w:val="00D3548E"/>
    <w:rsid w:val="00D359AD"/>
    <w:rsid w:val="00D35B1F"/>
    <w:rsid w:val="00D362AC"/>
    <w:rsid w:val="00D369EE"/>
    <w:rsid w:val="00D37548"/>
    <w:rsid w:val="00D377B8"/>
    <w:rsid w:val="00D37D12"/>
    <w:rsid w:val="00D37E95"/>
    <w:rsid w:val="00D40056"/>
    <w:rsid w:val="00D40C3C"/>
    <w:rsid w:val="00D4121A"/>
    <w:rsid w:val="00D412E0"/>
    <w:rsid w:val="00D418B5"/>
    <w:rsid w:val="00D41F22"/>
    <w:rsid w:val="00D42B37"/>
    <w:rsid w:val="00D43A41"/>
    <w:rsid w:val="00D43D44"/>
    <w:rsid w:val="00D44765"/>
    <w:rsid w:val="00D44845"/>
    <w:rsid w:val="00D449AE"/>
    <w:rsid w:val="00D44F20"/>
    <w:rsid w:val="00D45879"/>
    <w:rsid w:val="00D45C00"/>
    <w:rsid w:val="00D460F8"/>
    <w:rsid w:val="00D4619D"/>
    <w:rsid w:val="00D46337"/>
    <w:rsid w:val="00D47111"/>
    <w:rsid w:val="00D47146"/>
    <w:rsid w:val="00D47A8D"/>
    <w:rsid w:val="00D47BC2"/>
    <w:rsid w:val="00D5094E"/>
    <w:rsid w:val="00D50D49"/>
    <w:rsid w:val="00D511AC"/>
    <w:rsid w:val="00D5145E"/>
    <w:rsid w:val="00D5195F"/>
    <w:rsid w:val="00D51AB4"/>
    <w:rsid w:val="00D52E6E"/>
    <w:rsid w:val="00D5308A"/>
    <w:rsid w:val="00D538A6"/>
    <w:rsid w:val="00D53FCA"/>
    <w:rsid w:val="00D544F7"/>
    <w:rsid w:val="00D5453D"/>
    <w:rsid w:val="00D5472E"/>
    <w:rsid w:val="00D548F1"/>
    <w:rsid w:val="00D54D63"/>
    <w:rsid w:val="00D5544C"/>
    <w:rsid w:val="00D55A9E"/>
    <w:rsid w:val="00D55E08"/>
    <w:rsid w:val="00D56DE2"/>
    <w:rsid w:val="00D57EF3"/>
    <w:rsid w:val="00D6024F"/>
    <w:rsid w:val="00D6103D"/>
    <w:rsid w:val="00D629AB"/>
    <w:rsid w:val="00D63F77"/>
    <w:rsid w:val="00D6444E"/>
    <w:rsid w:val="00D64D60"/>
    <w:rsid w:val="00D6575D"/>
    <w:rsid w:val="00D65EB6"/>
    <w:rsid w:val="00D66722"/>
    <w:rsid w:val="00D67AA0"/>
    <w:rsid w:val="00D67DD7"/>
    <w:rsid w:val="00D70391"/>
    <w:rsid w:val="00D703F0"/>
    <w:rsid w:val="00D70829"/>
    <w:rsid w:val="00D716DE"/>
    <w:rsid w:val="00D7219B"/>
    <w:rsid w:val="00D7229B"/>
    <w:rsid w:val="00D7316E"/>
    <w:rsid w:val="00D7384B"/>
    <w:rsid w:val="00D73C80"/>
    <w:rsid w:val="00D74379"/>
    <w:rsid w:val="00D743BE"/>
    <w:rsid w:val="00D7496E"/>
    <w:rsid w:val="00D74A9E"/>
    <w:rsid w:val="00D758CC"/>
    <w:rsid w:val="00D764B2"/>
    <w:rsid w:val="00D76EC7"/>
    <w:rsid w:val="00D77519"/>
    <w:rsid w:val="00D77D20"/>
    <w:rsid w:val="00D80F51"/>
    <w:rsid w:val="00D81747"/>
    <w:rsid w:val="00D81E0F"/>
    <w:rsid w:val="00D82022"/>
    <w:rsid w:val="00D821CB"/>
    <w:rsid w:val="00D82D02"/>
    <w:rsid w:val="00D83395"/>
    <w:rsid w:val="00D8404F"/>
    <w:rsid w:val="00D8457E"/>
    <w:rsid w:val="00D85D09"/>
    <w:rsid w:val="00D905FC"/>
    <w:rsid w:val="00D907C7"/>
    <w:rsid w:val="00D90C70"/>
    <w:rsid w:val="00D92336"/>
    <w:rsid w:val="00D92B30"/>
    <w:rsid w:val="00D92ED4"/>
    <w:rsid w:val="00D93706"/>
    <w:rsid w:val="00D93F9A"/>
    <w:rsid w:val="00D945A3"/>
    <w:rsid w:val="00D94A3E"/>
    <w:rsid w:val="00D95438"/>
    <w:rsid w:val="00D955DB"/>
    <w:rsid w:val="00D961FE"/>
    <w:rsid w:val="00D96266"/>
    <w:rsid w:val="00D96C71"/>
    <w:rsid w:val="00D96E90"/>
    <w:rsid w:val="00D96EB3"/>
    <w:rsid w:val="00D9797F"/>
    <w:rsid w:val="00D97A31"/>
    <w:rsid w:val="00DA2743"/>
    <w:rsid w:val="00DA2C40"/>
    <w:rsid w:val="00DA30F7"/>
    <w:rsid w:val="00DA3B3F"/>
    <w:rsid w:val="00DA3CF2"/>
    <w:rsid w:val="00DA43D3"/>
    <w:rsid w:val="00DA51B6"/>
    <w:rsid w:val="00DA53FD"/>
    <w:rsid w:val="00DA5640"/>
    <w:rsid w:val="00DA57AF"/>
    <w:rsid w:val="00DA5D47"/>
    <w:rsid w:val="00DA7F13"/>
    <w:rsid w:val="00DB0EBA"/>
    <w:rsid w:val="00DB145D"/>
    <w:rsid w:val="00DB1D8B"/>
    <w:rsid w:val="00DB1F07"/>
    <w:rsid w:val="00DB47BB"/>
    <w:rsid w:val="00DB4C01"/>
    <w:rsid w:val="00DB4C80"/>
    <w:rsid w:val="00DB5B45"/>
    <w:rsid w:val="00DB5D9D"/>
    <w:rsid w:val="00DB5E59"/>
    <w:rsid w:val="00DB5F15"/>
    <w:rsid w:val="00DB60B9"/>
    <w:rsid w:val="00DB64D4"/>
    <w:rsid w:val="00DB65BF"/>
    <w:rsid w:val="00DB6D28"/>
    <w:rsid w:val="00DB76B5"/>
    <w:rsid w:val="00DB772B"/>
    <w:rsid w:val="00DB7B6B"/>
    <w:rsid w:val="00DB7D99"/>
    <w:rsid w:val="00DB7DD4"/>
    <w:rsid w:val="00DC05E3"/>
    <w:rsid w:val="00DC07D8"/>
    <w:rsid w:val="00DC0AEB"/>
    <w:rsid w:val="00DC0C1D"/>
    <w:rsid w:val="00DC0E95"/>
    <w:rsid w:val="00DC0F91"/>
    <w:rsid w:val="00DC1F5D"/>
    <w:rsid w:val="00DC1FAD"/>
    <w:rsid w:val="00DC2392"/>
    <w:rsid w:val="00DC282E"/>
    <w:rsid w:val="00DC3C0C"/>
    <w:rsid w:val="00DC3CAF"/>
    <w:rsid w:val="00DC40E1"/>
    <w:rsid w:val="00DC55CA"/>
    <w:rsid w:val="00DC5CE8"/>
    <w:rsid w:val="00DC63D9"/>
    <w:rsid w:val="00DC7E08"/>
    <w:rsid w:val="00DD0955"/>
    <w:rsid w:val="00DD0CF1"/>
    <w:rsid w:val="00DD0EB7"/>
    <w:rsid w:val="00DD15E8"/>
    <w:rsid w:val="00DD1C51"/>
    <w:rsid w:val="00DD3429"/>
    <w:rsid w:val="00DD3998"/>
    <w:rsid w:val="00DD5339"/>
    <w:rsid w:val="00DD5629"/>
    <w:rsid w:val="00DD5998"/>
    <w:rsid w:val="00DD5C7D"/>
    <w:rsid w:val="00DD5F09"/>
    <w:rsid w:val="00DD6092"/>
    <w:rsid w:val="00DD66A6"/>
    <w:rsid w:val="00DD7098"/>
    <w:rsid w:val="00DD7173"/>
    <w:rsid w:val="00DD7269"/>
    <w:rsid w:val="00DE0188"/>
    <w:rsid w:val="00DE068D"/>
    <w:rsid w:val="00DE07CA"/>
    <w:rsid w:val="00DE09D6"/>
    <w:rsid w:val="00DE266E"/>
    <w:rsid w:val="00DE277A"/>
    <w:rsid w:val="00DE27EC"/>
    <w:rsid w:val="00DE2BF5"/>
    <w:rsid w:val="00DE3353"/>
    <w:rsid w:val="00DE3467"/>
    <w:rsid w:val="00DE44AA"/>
    <w:rsid w:val="00DE4829"/>
    <w:rsid w:val="00DE4AFD"/>
    <w:rsid w:val="00DE5EFF"/>
    <w:rsid w:val="00DE61EB"/>
    <w:rsid w:val="00DE6300"/>
    <w:rsid w:val="00DE63F6"/>
    <w:rsid w:val="00DE6F10"/>
    <w:rsid w:val="00DE7178"/>
    <w:rsid w:val="00DE7514"/>
    <w:rsid w:val="00DE7ECF"/>
    <w:rsid w:val="00DF0835"/>
    <w:rsid w:val="00DF12F8"/>
    <w:rsid w:val="00DF1346"/>
    <w:rsid w:val="00DF14E9"/>
    <w:rsid w:val="00DF203D"/>
    <w:rsid w:val="00DF2399"/>
    <w:rsid w:val="00DF29ED"/>
    <w:rsid w:val="00DF3162"/>
    <w:rsid w:val="00DF3490"/>
    <w:rsid w:val="00DF4DB9"/>
    <w:rsid w:val="00DF5258"/>
    <w:rsid w:val="00DF61EC"/>
    <w:rsid w:val="00DF63C7"/>
    <w:rsid w:val="00DF6DDB"/>
    <w:rsid w:val="00DF7387"/>
    <w:rsid w:val="00DF795C"/>
    <w:rsid w:val="00E0051F"/>
    <w:rsid w:val="00E00C3E"/>
    <w:rsid w:val="00E00E66"/>
    <w:rsid w:val="00E00E9E"/>
    <w:rsid w:val="00E00F4C"/>
    <w:rsid w:val="00E032A9"/>
    <w:rsid w:val="00E03E62"/>
    <w:rsid w:val="00E0421F"/>
    <w:rsid w:val="00E0439F"/>
    <w:rsid w:val="00E060B3"/>
    <w:rsid w:val="00E060C2"/>
    <w:rsid w:val="00E063D9"/>
    <w:rsid w:val="00E06932"/>
    <w:rsid w:val="00E10751"/>
    <w:rsid w:val="00E11060"/>
    <w:rsid w:val="00E1195D"/>
    <w:rsid w:val="00E11A38"/>
    <w:rsid w:val="00E11F66"/>
    <w:rsid w:val="00E12132"/>
    <w:rsid w:val="00E12575"/>
    <w:rsid w:val="00E129D2"/>
    <w:rsid w:val="00E132B8"/>
    <w:rsid w:val="00E14800"/>
    <w:rsid w:val="00E14A80"/>
    <w:rsid w:val="00E14C28"/>
    <w:rsid w:val="00E152F7"/>
    <w:rsid w:val="00E15C8E"/>
    <w:rsid w:val="00E15D8C"/>
    <w:rsid w:val="00E1686D"/>
    <w:rsid w:val="00E169C2"/>
    <w:rsid w:val="00E175D8"/>
    <w:rsid w:val="00E20014"/>
    <w:rsid w:val="00E20938"/>
    <w:rsid w:val="00E213A6"/>
    <w:rsid w:val="00E21643"/>
    <w:rsid w:val="00E21FC5"/>
    <w:rsid w:val="00E236BD"/>
    <w:rsid w:val="00E23D6E"/>
    <w:rsid w:val="00E23E09"/>
    <w:rsid w:val="00E23E79"/>
    <w:rsid w:val="00E24744"/>
    <w:rsid w:val="00E24D4F"/>
    <w:rsid w:val="00E24EC2"/>
    <w:rsid w:val="00E25644"/>
    <w:rsid w:val="00E259D8"/>
    <w:rsid w:val="00E25C24"/>
    <w:rsid w:val="00E26072"/>
    <w:rsid w:val="00E2620B"/>
    <w:rsid w:val="00E26306"/>
    <w:rsid w:val="00E27309"/>
    <w:rsid w:val="00E277E1"/>
    <w:rsid w:val="00E3044C"/>
    <w:rsid w:val="00E30658"/>
    <w:rsid w:val="00E30884"/>
    <w:rsid w:val="00E31D9B"/>
    <w:rsid w:val="00E31F3A"/>
    <w:rsid w:val="00E33FB8"/>
    <w:rsid w:val="00E34048"/>
    <w:rsid w:val="00E341D8"/>
    <w:rsid w:val="00E341F8"/>
    <w:rsid w:val="00E35D69"/>
    <w:rsid w:val="00E368B3"/>
    <w:rsid w:val="00E3691F"/>
    <w:rsid w:val="00E36D5E"/>
    <w:rsid w:val="00E37007"/>
    <w:rsid w:val="00E40C98"/>
    <w:rsid w:val="00E412B3"/>
    <w:rsid w:val="00E41CFC"/>
    <w:rsid w:val="00E41F04"/>
    <w:rsid w:val="00E422B1"/>
    <w:rsid w:val="00E42918"/>
    <w:rsid w:val="00E429AF"/>
    <w:rsid w:val="00E42BAB"/>
    <w:rsid w:val="00E42E29"/>
    <w:rsid w:val="00E42F1C"/>
    <w:rsid w:val="00E434FD"/>
    <w:rsid w:val="00E436C8"/>
    <w:rsid w:val="00E43B81"/>
    <w:rsid w:val="00E43C77"/>
    <w:rsid w:val="00E441C3"/>
    <w:rsid w:val="00E45189"/>
    <w:rsid w:val="00E4538A"/>
    <w:rsid w:val="00E45AE9"/>
    <w:rsid w:val="00E45B0A"/>
    <w:rsid w:val="00E46EAA"/>
    <w:rsid w:val="00E46FD7"/>
    <w:rsid w:val="00E474BC"/>
    <w:rsid w:val="00E47CE2"/>
    <w:rsid w:val="00E501C1"/>
    <w:rsid w:val="00E508B1"/>
    <w:rsid w:val="00E509F3"/>
    <w:rsid w:val="00E52720"/>
    <w:rsid w:val="00E53842"/>
    <w:rsid w:val="00E53980"/>
    <w:rsid w:val="00E53F06"/>
    <w:rsid w:val="00E542DB"/>
    <w:rsid w:val="00E548FB"/>
    <w:rsid w:val="00E550E6"/>
    <w:rsid w:val="00E55412"/>
    <w:rsid w:val="00E556E5"/>
    <w:rsid w:val="00E55CA8"/>
    <w:rsid w:val="00E5642F"/>
    <w:rsid w:val="00E56451"/>
    <w:rsid w:val="00E56561"/>
    <w:rsid w:val="00E566FE"/>
    <w:rsid w:val="00E56CD5"/>
    <w:rsid w:val="00E56D6C"/>
    <w:rsid w:val="00E56E43"/>
    <w:rsid w:val="00E57439"/>
    <w:rsid w:val="00E57B86"/>
    <w:rsid w:val="00E62288"/>
    <w:rsid w:val="00E62ABA"/>
    <w:rsid w:val="00E63253"/>
    <w:rsid w:val="00E63DC4"/>
    <w:rsid w:val="00E64F47"/>
    <w:rsid w:val="00E65FEF"/>
    <w:rsid w:val="00E662AF"/>
    <w:rsid w:val="00E66827"/>
    <w:rsid w:val="00E6732F"/>
    <w:rsid w:val="00E67755"/>
    <w:rsid w:val="00E67BB0"/>
    <w:rsid w:val="00E67FE0"/>
    <w:rsid w:val="00E70388"/>
    <w:rsid w:val="00E70902"/>
    <w:rsid w:val="00E70E8F"/>
    <w:rsid w:val="00E71533"/>
    <w:rsid w:val="00E71B6B"/>
    <w:rsid w:val="00E721EA"/>
    <w:rsid w:val="00E7254D"/>
    <w:rsid w:val="00E72E99"/>
    <w:rsid w:val="00E72EB7"/>
    <w:rsid w:val="00E74629"/>
    <w:rsid w:val="00E75580"/>
    <w:rsid w:val="00E755EF"/>
    <w:rsid w:val="00E75655"/>
    <w:rsid w:val="00E7595B"/>
    <w:rsid w:val="00E75D1C"/>
    <w:rsid w:val="00E75FDE"/>
    <w:rsid w:val="00E76AAF"/>
    <w:rsid w:val="00E76FFE"/>
    <w:rsid w:val="00E77269"/>
    <w:rsid w:val="00E777C3"/>
    <w:rsid w:val="00E80099"/>
    <w:rsid w:val="00E80152"/>
    <w:rsid w:val="00E80DCC"/>
    <w:rsid w:val="00E814F5"/>
    <w:rsid w:val="00E8191C"/>
    <w:rsid w:val="00E8205E"/>
    <w:rsid w:val="00E823A0"/>
    <w:rsid w:val="00E82871"/>
    <w:rsid w:val="00E82911"/>
    <w:rsid w:val="00E829FC"/>
    <w:rsid w:val="00E82A1A"/>
    <w:rsid w:val="00E82D13"/>
    <w:rsid w:val="00E83B71"/>
    <w:rsid w:val="00E84662"/>
    <w:rsid w:val="00E84F61"/>
    <w:rsid w:val="00E85152"/>
    <w:rsid w:val="00E854AE"/>
    <w:rsid w:val="00E860E1"/>
    <w:rsid w:val="00E860FD"/>
    <w:rsid w:val="00E86C55"/>
    <w:rsid w:val="00E87468"/>
    <w:rsid w:val="00E8774C"/>
    <w:rsid w:val="00E87E3E"/>
    <w:rsid w:val="00E90B57"/>
    <w:rsid w:val="00E90EE9"/>
    <w:rsid w:val="00E917A6"/>
    <w:rsid w:val="00E92057"/>
    <w:rsid w:val="00E9212A"/>
    <w:rsid w:val="00E92392"/>
    <w:rsid w:val="00E92F18"/>
    <w:rsid w:val="00E94B1D"/>
    <w:rsid w:val="00E951DF"/>
    <w:rsid w:val="00E95C06"/>
    <w:rsid w:val="00E95C8F"/>
    <w:rsid w:val="00E95F46"/>
    <w:rsid w:val="00E96025"/>
    <w:rsid w:val="00E9671F"/>
    <w:rsid w:val="00E96735"/>
    <w:rsid w:val="00E9734D"/>
    <w:rsid w:val="00EA16B1"/>
    <w:rsid w:val="00EA25DC"/>
    <w:rsid w:val="00EA2765"/>
    <w:rsid w:val="00EA336E"/>
    <w:rsid w:val="00EA3811"/>
    <w:rsid w:val="00EA3B7E"/>
    <w:rsid w:val="00EA5762"/>
    <w:rsid w:val="00EA58CC"/>
    <w:rsid w:val="00EA5921"/>
    <w:rsid w:val="00EA5BA8"/>
    <w:rsid w:val="00EA5FBD"/>
    <w:rsid w:val="00EA6002"/>
    <w:rsid w:val="00EA7140"/>
    <w:rsid w:val="00EA74AD"/>
    <w:rsid w:val="00EA7886"/>
    <w:rsid w:val="00EA7A4C"/>
    <w:rsid w:val="00EB0EFA"/>
    <w:rsid w:val="00EB1B78"/>
    <w:rsid w:val="00EB227E"/>
    <w:rsid w:val="00EB2321"/>
    <w:rsid w:val="00EB2839"/>
    <w:rsid w:val="00EB31FA"/>
    <w:rsid w:val="00EB37D1"/>
    <w:rsid w:val="00EB488E"/>
    <w:rsid w:val="00EB600D"/>
    <w:rsid w:val="00EB62DC"/>
    <w:rsid w:val="00EB6337"/>
    <w:rsid w:val="00EB657E"/>
    <w:rsid w:val="00EB690F"/>
    <w:rsid w:val="00EB705F"/>
    <w:rsid w:val="00EB71C7"/>
    <w:rsid w:val="00EB7A20"/>
    <w:rsid w:val="00EC04CE"/>
    <w:rsid w:val="00EC1665"/>
    <w:rsid w:val="00EC2AB1"/>
    <w:rsid w:val="00EC383A"/>
    <w:rsid w:val="00EC424F"/>
    <w:rsid w:val="00EC4349"/>
    <w:rsid w:val="00EC4446"/>
    <w:rsid w:val="00EC4781"/>
    <w:rsid w:val="00EC557C"/>
    <w:rsid w:val="00EC61A1"/>
    <w:rsid w:val="00EC6CD4"/>
    <w:rsid w:val="00EC6E2E"/>
    <w:rsid w:val="00EC700D"/>
    <w:rsid w:val="00EC70CE"/>
    <w:rsid w:val="00EC7183"/>
    <w:rsid w:val="00EC7635"/>
    <w:rsid w:val="00EC7779"/>
    <w:rsid w:val="00EC784F"/>
    <w:rsid w:val="00EC7C53"/>
    <w:rsid w:val="00ED0AC1"/>
    <w:rsid w:val="00ED0AE5"/>
    <w:rsid w:val="00ED1140"/>
    <w:rsid w:val="00ED1A5A"/>
    <w:rsid w:val="00ED1EEC"/>
    <w:rsid w:val="00ED222C"/>
    <w:rsid w:val="00ED25B4"/>
    <w:rsid w:val="00ED263E"/>
    <w:rsid w:val="00ED2D6E"/>
    <w:rsid w:val="00ED2F4C"/>
    <w:rsid w:val="00ED33F1"/>
    <w:rsid w:val="00ED37A5"/>
    <w:rsid w:val="00ED3C4B"/>
    <w:rsid w:val="00ED44CF"/>
    <w:rsid w:val="00ED4E24"/>
    <w:rsid w:val="00ED5120"/>
    <w:rsid w:val="00ED5432"/>
    <w:rsid w:val="00ED62BD"/>
    <w:rsid w:val="00ED63FF"/>
    <w:rsid w:val="00ED69E0"/>
    <w:rsid w:val="00ED6AE2"/>
    <w:rsid w:val="00ED6D17"/>
    <w:rsid w:val="00ED750F"/>
    <w:rsid w:val="00EE11EE"/>
    <w:rsid w:val="00EE1C00"/>
    <w:rsid w:val="00EE300E"/>
    <w:rsid w:val="00EE337B"/>
    <w:rsid w:val="00EE349B"/>
    <w:rsid w:val="00EE3A7B"/>
    <w:rsid w:val="00EE4046"/>
    <w:rsid w:val="00EE5214"/>
    <w:rsid w:val="00EE5460"/>
    <w:rsid w:val="00EE5783"/>
    <w:rsid w:val="00EE5B06"/>
    <w:rsid w:val="00EE696A"/>
    <w:rsid w:val="00EE769F"/>
    <w:rsid w:val="00EF0828"/>
    <w:rsid w:val="00EF2E3E"/>
    <w:rsid w:val="00EF3285"/>
    <w:rsid w:val="00EF336C"/>
    <w:rsid w:val="00EF50CD"/>
    <w:rsid w:val="00EF52C1"/>
    <w:rsid w:val="00EF58F4"/>
    <w:rsid w:val="00EF5932"/>
    <w:rsid w:val="00EF5B30"/>
    <w:rsid w:val="00EF62E9"/>
    <w:rsid w:val="00EF6537"/>
    <w:rsid w:val="00EF69AF"/>
    <w:rsid w:val="00EF74BF"/>
    <w:rsid w:val="00EF7B9E"/>
    <w:rsid w:val="00EF7C96"/>
    <w:rsid w:val="00EF7CD6"/>
    <w:rsid w:val="00F0003C"/>
    <w:rsid w:val="00F0006A"/>
    <w:rsid w:val="00F0020E"/>
    <w:rsid w:val="00F0042C"/>
    <w:rsid w:val="00F0063B"/>
    <w:rsid w:val="00F014A2"/>
    <w:rsid w:val="00F01BE4"/>
    <w:rsid w:val="00F023BC"/>
    <w:rsid w:val="00F024D6"/>
    <w:rsid w:val="00F02957"/>
    <w:rsid w:val="00F03863"/>
    <w:rsid w:val="00F04C67"/>
    <w:rsid w:val="00F04C7D"/>
    <w:rsid w:val="00F0522A"/>
    <w:rsid w:val="00F0578F"/>
    <w:rsid w:val="00F058F9"/>
    <w:rsid w:val="00F05F29"/>
    <w:rsid w:val="00F062A3"/>
    <w:rsid w:val="00F063B4"/>
    <w:rsid w:val="00F07BBE"/>
    <w:rsid w:val="00F10224"/>
    <w:rsid w:val="00F10BDE"/>
    <w:rsid w:val="00F11366"/>
    <w:rsid w:val="00F1154F"/>
    <w:rsid w:val="00F11C3A"/>
    <w:rsid w:val="00F11F77"/>
    <w:rsid w:val="00F12528"/>
    <w:rsid w:val="00F12EE4"/>
    <w:rsid w:val="00F13120"/>
    <w:rsid w:val="00F133C9"/>
    <w:rsid w:val="00F1349B"/>
    <w:rsid w:val="00F14079"/>
    <w:rsid w:val="00F14AB5"/>
    <w:rsid w:val="00F15131"/>
    <w:rsid w:val="00F15C8D"/>
    <w:rsid w:val="00F15FE4"/>
    <w:rsid w:val="00F16783"/>
    <w:rsid w:val="00F16844"/>
    <w:rsid w:val="00F16CBD"/>
    <w:rsid w:val="00F16E9A"/>
    <w:rsid w:val="00F1741A"/>
    <w:rsid w:val="00F17E64"/>
    <w:rsid w:val="00F21560"/>
    <w:rsid w:val="00F215ED"/>
    <w:rsid w:val="00F225E5"/>
    <w:rsid w:val="00F225FE"/>
    <w:rsid w:val="00F2275D"/>
    <w:rsid w:val="00F22934"/>
    <w:rsid w:val="00F22BA8"/>
    <w:rsid w:val="00F23F72"/>
    <w:rsid w:val="00F240DD"/>
    <w:rsid w:val="00F2453C"/>
    <w:rsid w:val="00F24A14"/>
    <w:rsid w:val="00F24CFF"/>
    <w:rsid w:val="00F24DC8"/>
    <w:rsid w:val="00F25539"/>
    <w:rsid w:val="00F25852"/>
    <w:rsid w:val="00F2592C"/>
    <w:rsid w:val="00F26BD6"/>
    <w:rsid w:val="00F26BE6"/>
    <w:rsid w:val="00F26ED0"/>
    <w:rsid w:val="00F2731E"/>
    <w:rsid w:val="00F27DFB"/>
    <w:rsid w:val="00F30919"/>
    <w:rsid w:val="00F3132A"/>
    <w:rsid w:val="00F31C2D"/>
    <w:rsid w:val="00F32392"/>
    <w:rsid w:val="00F3274F"/>
    <w:rsid w:val="00F32E3D"/>
    <w:rsid w:val="00F33CA6"/>
    <w:rsid w:val="00F341D3"/>
    <w:rsid w:val="00F341F0"/>
    <w:rsid w:val="00F342B6"/>
    <w:rsid w:val="00F34780"/>
    <w:rsid w:val="00F34BE6"/>
    <w:rsid w:val="00F350CE"/>
    <w:rsid w:val="00F35114"/>
    <w:rsid w:val="00F356F0"/>
    <w:rsid w:val="00F35E47"/>
    <w:rsid w:val="00F35EA1"/>
    <w:rsid w:val="00F3739A"/>
    <w:rsid w:val="00F37409"/>
    <w:rsid w:val="00F37C63"/>
    <w:rsid w:val="00F37D6D"/>
    <w:rsid w:val="00F37EAD"/>
    <w:rsid w:val="00F40358"/>
    <w:rsid w:val="00F40609"/>
    <w:rsid w:val="00F40AE2"/>
    <w:rsid w:val="00F40FA4"/>
    <w:rsid w:val="00F410F3"/>
    <w:rsid w:val="00F41C94"/>
    <w:rsid w:val="00F41E11"/>
    <w:rsid w:val="00F4265D"/>
    <w:rsid w:val="00F4289D"/>
    <w:rsid w:val="00F42F3C"/>
    <w:rsid w:val="00F4381F"/>
    <w:rsid w:val="00F43985"/>
    <w:rsid w:val="00F442E6"/>
    <w:rsid w:val="00F44982"/>
    <w:rsid w:val="00F44AC4"/>
    <w:rsid w:val="00F44E3E"/>
    <w:rsid w:val="00F45001"/>
    <w:rsid w:val="00F464D1"/>
    <w:rsid w:val="00F46782"/>
    <w:rsid w:val="00F47A44"/>
    <w:rsid w:val="00F47E73"/>
    <w:rsid w:val="00F5024A"/>
    <w:rsid w:val="00F51050"/>
    <w:rsid w:val="00F513D9"/>
    <w:rsid w:val="00F51744"/>
    <w:rsid w:val="00F51880"/>
    <w:rsid w:val="00F51A7B"/>
    <w:rsid w:val="00F52FEF"/>
    <w:rsid w:val="00F5307A"/>
    <w:rsid w:val="00F532B1"/>
    <w:rsid w:val="00F53312"/>
    <w:rsid w:val="00F536D2"/>
    <w:rsid w:val="00F53B88"/>
    <w:rsid w:val="00F54317"/>
    <w:rsid w:val="00F54976"/>
    <w:rsid w:val="00F55340"/>
    <w:rsid w:val="00F55446"/>
    <w:rsid w:val="00F555E5"/>
    <w:rsid w:val="00F579B7"/>
    <w:rsid w:val="00F57B20"/>
    <w:rsid w:val="00F57FA8"/>
    <w:rsid w:val="00F60914"/>
    <w:rsid w:val="00F620CE"/>
    <w:rsid w:val="00F621B2"/>
    <w:rsid w:val="00F62A7B"/>
    <w:rsid w:val="00F63753"/>
    <w:rsid w:val="00F6383D"/>
    <w:rsid w:val="00F639EC"/>
    <w:rsid w:val="00F640BB"/>
    <w:rsid w:val="00F64A28"/>
    <w:rsid w:val="00F65B37"/>
    <w:rsid w:val="00F65E38"/>
    <w:rsid w:val="00F6610E"/>
    <w:rsid w:val="00F6613C"/>
    <w:rsid w:val="00F665DC"/>
    <w:rsid w:val="00F66E98"/>
    <w:rsid w:val="00F6707D"/>
    <w:rsid w:val="00F671D9"/>
    <w:rsid w:val="00F67685"/>
    <w:rsid w:val="00F67A37"/>
    <w:rsid w:val="00F67C7E"/>
    <w:rsid w:val="00F70955"/>
    <w:rsid w:val="00F70CAD"/>
    <w:rsid w:val="00F70CFA"/>
    <w:rsid w:val="00F70F5C"/>
    <w:rsid w:val="00F7239B"/>
    <w:rsid w:val="00F72642"/>
    <w:rsid w:val="00F728A0"/>
    <w:rsid w:val="00F731D6"/>
    <w:rsid w:val="00F73386"/>
    <w:rsid w:val="00F7343B"/>
    <w:rsid w:val="00F73B65"/>
    <w:rsid w:val="00F73BCC"/>
    <w:rsid w:val="00F73C97"/>
    <w:rsid w:val="00F744EB"/>
    <w:rsid w:val="00F74581"/>
    <w:rsid w:val="00F74DF8"/>
    <w:rsid w:val="00F754BA"/>
    <w:rsid w:val="00F7568C"/>
    <w:rsid w:val="00F767F2"/>
    <w:rsid w:val="00F77D3D"/>
    <w:rsid w:val="00F77F0D"/>
    <w:rsid w:val="00F80468"/>
    <w:rsid w:val="00F80EC7"/>
    <w:rsid w:val="00F80EF3"/>
    <w:rsid w:val="00F8155C"/>
    <w:rsid w:val="00F8162A"/>
    <w:rsid w:val="00F81AB6"/>
    <w:rsid w:val="00F8252E"/>
    <w:rsid w:val="00F8262F"/>
    <w:rsid w:val="00F829B9"/>
    <w:rsid w:val="00F83C1A"/>
    <w:rsid w:val="00F845F0"/>
    <w:rsid w:val="00F84619"/>
    <w:rsid w:val="00F85038"/>
    <w:rsid w:val="00F857D1"/>
    <w:rsid w:val="00F85874"/>
    <w:rsid w:val="00F85A27"/>
    <w:rsid w:val="00F85E00"/>
    <w:rsid w:val="00F863E1"/>
    <w:rsid w:val="00F86590"/>
    <w:rsid w:val="00F8663C"/>
    <w:rsid w:val="00F8716A"/>
    <w:rsid w:val="00F87456"/>
    <w:rsid w:val="00F902A8"/>
    <w:rsid w:val="00F910BC"/>
    <w:rsid w:val="00F912D2"/>
    <w:rsid w:val="00F9213A"/>
    <w:rsid w:val="00F924A3"/>
    <w:rsid w:val="00F928EA"/>
    <w:rsid w:val="00F93674"/>
    <w:rsid w:val="00F93CD0"/>
    <w:rsid w:val="00F9425A"/>
    <w:rsid w:val="00F942D7"/>
    <w:rsid w:val="00F95023"/>
    <w:rsid w:val="00F95042"/>
    <w:rsid w:val="00F9512D"/>
    <w:rsid w:val="00F9617E"/>
    <w:rsid w:val="00F963F0"/>
    <w:rsid w:val="00F964C3"/>
    <w:rsid w:val="00F96F83"/>
    <w:rsid w:val="00F96FB8"/>
    <w:rsid w:val="00FA056B"/>
    <w:rsid w:val="00FA120C"/>
    <w:rsid w:val="00FA23E4"/>
    <w:rsid w:val="00FA2DC7"/>
    <w:rsid w:val="00FA355B"/>
    <w:rsid w:val="00FA3B28"/>
    <w:rsid w:val="00FA3FCD"/>
    <w:rsid w:val="00FA4774"/>
    <w:rsid w:val="00FA4C81"/>
    <w:rsid w:val="00FA4EDB"/>
    <w:rsid w:val="00FA50F5"/>
    <w:rsid w:val="00FA54BD"/>
    <w:rsid w:val="00FA600B"/>
    <w:rsid w:val="00FA639A"/>
    <w:rsid w:val="00FA6F82"/>
    <w:rsid w:val="00FA768A"/>
    <w:rsid w:val="00FA7D65"/>
    <w:rsid w:val="00FB01A5"/>
    <w:rsid w:val="00FB0AFF"/>
    <w:rsid w:val="00FB105A"/>
    <w:rsid w:val="00FB1155"/>
    <w:rsid w:val="00FB1440"/>
    <w:rsid w:val="00FB1ADB"/>
    <w:rsid w:val="00FB24AC"/>
    <w:rsid w:val="00FB264D"/>
    <w:rsid w:val="00FB4271"/>
    <w:rsid w:val="00FB55DC"/>
    <w:rsid w:val="00FB5660"/>
    <w:rsid w:val="00FB5BA7"/>
    <w:rsid w:val="00FB5CAC"/>
    <w:rsid w:val="00FB5D77"/>
    <w:rsid w:val="00FB60B0"/>
    <w:rsid w:val="00FB657D"/>
    <w:rsid w:val="00FB679D"/>
    <w:rsid w:val="00FB714A"/>
    <w:rsid w:val="00FB7435"/>
    <w:rsid w:val="00FB79E5"/>
    <w:rsid w:val="00FB7F3D"/>
    <w:rsid w:val="00FC087E"/>
    <w:rsid w:val="00FC120D"/>
    <w:rsid w:val="00FC14AF"/>
    <w:rsid w:val="00FC18D3"/>
    <w:rsid w:val="00FC1BCD"/>
    <w:rsid w:val="00FC2748"/>
    <w:rsid w:val="00FC2932"/>
    <w:rsid w:val="00FC3D31"/>
    <w:rsid w:val="00FC495F"/>
    <w:rsid w:val="00FC4BF8"/>
    <w:rsid w:val="00FC5A12"/>
    <w:rsid w:val="00FC72D0"/>
    <w:rsid w:val="00FC7438"/>
    <w:rsid w:val="00FC78E4"/>
    <w:rsid w:val="00FD06E7"/>
    <w:rsid w:val="00FD0AF4"/>
    <w:rsid w:val="00FD0E9B"/>
    <w:rsid w:val="00FD1333"/>
    <w:rsid w:val="00FD1849"/>
    <w:rsid w:val="00FD24D8"/>
    <w:rsid w:val="00FD29C8"/>
    <w:rsid w:val="00FD2E86"/>
    <w:rsid w:val="00FD316C"/>
    <w:rsid w:val="00FD3372"/>
    <w:rsid w:val="00FD3ABA"/>
    <w:rsid w:val="00FD4454"/>
    <w:rsid w:val="00FD48C3"/>
    <w:rsid w:val="00FD51B5"/>
    <w:rsid w:val="00FD5430"/>
    <w:rsid w:val="00FD5613"/>
    <w:rsid w:val="00FD5852"/>
    <w:rsid w:val="00FD5A02"/>
    <w:rsid w:val="00FD6173"/>
    <w:rsid w:val="00FD65D0"/>
    <w:rsid w:val="00FE0339"/>
    <w:rsid w:val="00FE0A16"/>
    <w:rsid w:val="00FE1118"/>
    <w:rsid w:val="00FE1B76"/>
    <w:rsid w:val="00FE1C26"/>
    <w:rsid w:val="00FE1E9C"/>
    <w:rsid w:val="00FE20DE"/>
    <w:rsid w:val="00FE2402"/>
    <w:rsid w:val="00FE2D83"/>
    <w:rsid w:val="00FE3C70"/>
    <w:rsid w:val="00FE3D16"/>
    <w:rsid w:val="00FE547C"/>
    <w:rsid w:val="00FE57E1"/>
    <w:rsid w:val="00FE5A74"/>
    <w:rsid w:val="00FE5C13"/>
    <w:rsid w:val="00FE5DDA"/>
    <w:rsid w:val="00FE6120"/>
    <w:rsid w:val="00FE66FE"/>
    <w:rsid w:val="00FE6A9D"/>
    <w:rsid w:val="00FE6FB0"/>
    <w:rsid w:val="00FE75AE"/>
    <w:rsid w:val="00FE76D7"/>
    <w:rsid w:val="00FF035A"/>
    <w:rsid w:val="00FF116F"/>
    <w:rsid w:val="00FF163E"/>
    <w:rsid w:val="00FF1840"/>
    <w:rsid w:val="00FF1DC8"/>
    <w:rsid w:val="00FF217C"/>
    <w:rsid w:val="00FF250D"/>
    <w:rsid w:val="00FF2643"/>
    <w:rsid w:val="00FF2804"/>
    <w:rsid w:val="00FF4147"/>
    <w:rsid w:val="00FF48BC"/>
    <w:rsid w:val="00FF5990"/>
    <w:rsid w:val="00FF654B"/>
    <w:rsid w:val="00FF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0139C9CF-AAFC-417F-A2D5-D9B09A3274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50AB"/>
    <w:pPr>
      <w:widowControl w:val="0"/>
      <w:spacing w:line="276" w:lineRule="auto"/>
      <w:jc w:val="both"/>
    </w:pPr>
    <w:rPr>
      <w:rFonts w:asciiTheme="minorHAnsi" w:hAnsiTheme="minorHAnsi"/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qFormat/>
    <w:rsid w:val="004E3D1F"/>
    <w:pPr>
      <w:numPr>
        <w:numId w:val="1"/>
      </w:numPr>
      <w:tabs>
        <w:tab w:val="left" w:pos="360"/>
      </w:tabs>
      <w:outlineLvl w:val="0"/>
    </w:pPr>
    <w:rPr>
      <w:rFonts w:cs="Arial"/>
      <w:b/>
      <w:bCs/>
      <w:kern w:val="32"/>
      <w:sz w:val="24"/>
      <w:szCs w:val="32"/>
    </w:rPr>
  </w:style>
  <w:style w:type="paragraph" w:styleId="Heading2">
    <w:name w:val="heading 2"/>
    <w:basedOn w:val="Normal"/>
    <w:next w:val="Normal"/>
    <w:qFormat/>
    <w:rsid w:val="00721F40"/>
    <w:pPr>
      <w:keepNext/>
      <w:numPr>
        <w:ilvl w:val="1"/>
        <w:numId w:val="1"/>
      </w:numPr>
      <w:spacing w:before="240" w:after="120"/>
      <w:outlineLvl w:val="1"/>
    </w:pPr>
    <w:rPr>
      <w:rFonts w:cs="Arial"/>
      <w:b/>
      <w:bCs/>
      <w:i/>
      <w:iCs/>
    </w:rPr>
  </w:style>
  <w:style w:type="paragraph" w:styleId="Heading3">
    <w:name w:val="heading 3"/>
    <w:basedOn w:val="Normal"/>
    <w:next w:val="Normal"/>
    <w:qFormat/>
    <w:rsid w:val="001A50AB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F62E9"/>
    <w:rPr>
      <w:rFonts w:ascii="News Gothic Cyr" w:hAnsi="News Gothic Cyr" w:cs="Arial"/>
      <w:b/>
      <w:bCs/>
      <w:kern w:val="32"/>
      <w:sz w:val="24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14A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4A7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673556"/>
  </w:style>
  <w:style w:type="paragraph" w:customStyle="1" w:styleId="Number">
    <w:name w:val="Number"/>
    <w:basedOn w:val="Normal"/>
    <w:rsid w:val="00F40FA4"/>
    <w:pPr>
      <w:ind w:firstLine="720"/>
    </w:pPr>
    <w:rPr>
      <w:rFonts w:ascii="Verdana" w:hAnsi="Verdana"/>
      <w:b/>
      <w:bCs/>
      <w:sz w:val="20"/>
      <w:szCs w:val="20"/>
    </w:rPr>
  </w:style>
  <w:style w:type="paragraph" w:customStyle="1" w:styleId="SubSubNumber">
    <w:name w:val="SubSubNumber"/>
    <w:basedOn w:val="SubNumbers"/>
    <w:link w:val="SubSubNumberChar"/>
    <w:qFormat/>
    <w:rsid w:val="001524A4"/>
    <w:pPr>
      <w:numPr>
        <w:ilvl w:val="2"/>
      </w:numPr>
      <w:tabs>
        <w:tab w:val="left" w:pos="1701"/>
      </w:tabs>
    </w:pPr>
  </w:style>
  <w:style w:type="paragraph" w:customStyle="1" w:styleId="SubNumbers">
    <w:name w:val="SubNumbers"/>
    <w:basedOn w:val="Mainnumbers"/>
    <w:link w:val="SubNumbersChar"/>
    <w:qFormat/>
    <w:rsid w:val="006A5C20"/>
    <w:pPr>
      <w:numPr>
        <w:ilvl w:val="1"/>
      </w:numPr>
      <w:tabs>
        <w:tab w:val="clear" w:pos="851"/>
        <w:tab w:val="left" w:pos="-2127"/>
      </w:tabs>
      <w:ind w:left="993" w:hanging="633"/>
      <w:outlineLvl w:val="1"/>
    </w:pPr>
  </w:style>
  <w:style w:type="paragraph" w:customStyle="1" w:styleId="Mainnumbers">
    <w:name w:val="Main numbers"/>
    <w:basedOn w:val="Normal"/>
    <w:link w:val="MainnumbersChar"/>
    <w:qFormat/>
    <w:rsid w:val="002D5AEB"/>
    <w:pPr>
      <w:widowControl/>
      <w:numPr>
        <w:numId w:val="2"/>
      </w:numPr>
      <w:tabs>
        <w:tab w:val="left" w:pos="851"/>
      </w:tabs>
      <w:spacing w:before="240" w:after="240"/>
      <w:ind w:left="851" w:hanging="851"/>
      <w:outlineLvl w:val="0"/>
    </w:pPr>
    <w:rPr>
      <w:rFonts w:cs="News Gothic Cyr"/>
      <w:b/>
      <w:lang w:eastAsia="en-US"/>
    </w:rPr>
  </w:style>
  <w:style w:type="character" w:customStyle="1" w:styleId="MainnumbersChar">
    <w:name w:val="Main numbers Char"/>
    <w:basedOn w:val="DefaultParagraphFont"/>
    <w:link w:val="Mainnumbers"/>
    <w:rsid w:val="002D5AEB"/>
    <w:rPr>
      <w:rFonts w:ascii="News Gothic Cyr" w:hAnsi="News Gothic Cyr" w:cs="News Gothic Cyr"/>
      <w:b/>
      <w:sz w:val="22"/>
      <w:szCs w:val="24"/>
      <w:lang w:eastAsia="en-US"/>
    </w:rPr>
  </w:style>
  <w:style w:type="character" w:customStyle="1" w:styleId="SubNumbersChar">
    <w:name w:val="SubNumbers Char"/>
    <w:basedOn w:val="MainnumbersChar"/>
    <w:link w:val="SubNumbers"/>
    <w:rsid w:val="006A5C20"/>
    <w:rPr>
      <w:rFonts w:ascii="News Gothic Cyr" w:hAnsi="News Gothic Cyr" w:cs="News Gothic Cyr"/>
      <w:b/>
      <w:sz w:val="22"/>
      <w:szCs w:val="24"/>
      <w:lang w:eastAsia="en-US"/>
    </w:rPr>
  </w:style>
  <w:style w:type="character" w:customStyle="1" w:styleId="SubSubNumberChar">
    <w:name w:val="SubSubNumber Char"/>
    <w:basedOn w:val="SubNumbersChar"/>
    <w:link w:val="SubSubNumber"/>
    <w:rsid w:val="001524A4"/>
    <w:rPr>
      <w:rFonts w:ascii="News Gothic Cyr" w:hAnsi="News Gothic Cyr" w:cs="News Gothic Cyr"/>
      <w:b/>
      <w:sz w:val="22"/>
      <w:szCs w:val="24"/>
      <w:lang w:eastAsia="en-US"/>
    </w:rPr>
  </w:style>
  <w:style w:type="paragraph" w:styleId="BodyText">
    <w:name w:val="Body Text"/>
    <w:basedOn w:val="Normal"/>
    <w:link w:val="BodyTextChar"/>
    <w:rsid w:val="003D6459"/>
    <w:rPr>
      <w:rFonts w:cs="Vrinda"/>
      <w:b/>
      <w:bCs/>
      <w:lang w:eastAsia="en-US" w:bidi="bn-BD"/>
    </w:rPr>
  </w:style>
  <w:style w:type="table" w:styleId="TableGrid">
    <w:name w:val="Table Grid"/>
    <w:basedOn w:val="TableNormal"/>
    <w:rsid w:val="00541089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445A2B"/>
    <w:pPr>
      <w:widowControl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styleId="Header">
    <w:name w:val="header"/>
    <w:basedOn w:val="Normal"/>
    <w:link w:val="HeaderChar"/>
    <w:uiPriority w:val="99"/>
    <w:unhideWhenUsed/>
    <w:rsid w:val="005C5BF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5BFB"/>
    <w:rPr>
      <w:rFonts w:ascii="News Gothic Cyr" w:hAnsi="News Gothic Cyr"/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5C5BF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5BFB"/>
    <w:rPr>
      <w:rFonts w:ascii="News Gothic Cyr" w:hAnsi="News Gothic Cyr"/>
      <w:sz w:val="22"/>
      <w:szCs w:val="24"/>
    </w:rPr>
  </w:style>
  <w:style w:type="character" w:customStyle="1" w:styleId="BodyTextChar">
    <w:name w:val="Body Text Char"/>
    <w:basedOn w:val="DefaultParagraphFont"/>
    <w:link w:val="BodyText"/>
    <w:rsid w:val="008E2822"/>
    <w:rPr>
      <w:rFonts w:ascii="News Gothic Cyr" w:hAnsi="News Gothic Cyr" w:cs="Vrinda"/>
      <w:b/>
      <w:bCs/>
      <w:sz w:val="22"/>
      <w:szCs w:val="24"/>
      <w:lang w:eastAsia="en-US" w:bidi="bn-BD"/>
    </w:rPr>
  </w:style>
  <w:style w:type="paragraph" w:styleId="TOC1">
    <w:name w:val="toc 1"/>
    <w:basedOn w:val="Normal"/>
    <w:next w:val="Normal"/>
    <w:autoRedefine/>
    <w:uiPriority w:val="39"/>
    <w:unhideWhenUsed/>
    <w:rsid w:val="007E50B1"/>
    <w:pPr>
      <w:tabs>
        <w:tab w:val="left" w:pos="440"/>
        <w:tab w:val="right" w:leader="dot" w:pos="9211"/>
      </w:tabs>
    </w:pPr>
  </w:style>
  <w:style w:type="paragraph" w:styleId="TOC2">
    <w:name w:val="toc 2"/>
    <w:basedOn w:val="Normal"/>
    <w:next w:val="Normal"/>
    <w:autoRedefine/>
    <w:uiPriority w:val="39"/>
    <w:unhideWhenUsed/>
    <w:rsid w:val="00A54A30"/>
    <w:pPr>
      <w:tabs>
        <w:tab w:val="left" w:pos="880"/>
        <w:tab w:val="right" w:leader="dot" w:pos="9211"/>
      </w:tabs>
      <w:ind w:left="221"/>
    </w:pPr>
  </w:style>
  <w:style w:type="paragraph" w:styleId="TOC3">
    <w:name w:val="toc 3"/>
    <w:basedOn w:val="Normal"/>
    <w:next w:val="Normal"/>
    <w:autoRedefine/>
    <w:uiPriority w:val="39"/>
    <w:unhideWhenUsed/>
    <w:rsid w:val="00E508B1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E508B1"/>
    <w:rPr>
      <w:color w:val="0000FF" w:themeColor="hyperlink"/>
      <w:u w:val="single"/>
    </w:rPr>
  </w:style>
  <w:style w:type="paragraph" w:styleId="ListParagraph">
    <w:name w:val="List Paragraph"/>
    <w:basedOn w:val="Normal"/>
    <w:uiPriority w:val="99"/>
    <w:qFormat/>
    <w:rsid w:val="00795169"/>
    <w:pPr>
      <w:ind w:left="720"/>
      <w:contextualSpacing/>
    </w:pPr>
  </w:style>
  <w:style w:type="paragraph" w:customStyle="1" w:styleId="a">
    <w:name w:val="Текст в таблица"/>
    <w:basedOn w:val="Normal"/>
    <w:next w:val="Normal"/>
    <w:link w:val="Char"/>
    <w:rsid w:val="009A3F7B"/>
    <w:rPr>
      <w:sz w:val="20"/>
    </w:rPr>
  </w:style>
  <w:style w:type="character" w:customStyle="1" w:styleId="Char">
    <w:name w:val="Текст в таблица Char"/>
    <w:basedOn w:val="DefaultParagraphFont"/>
    <w:link w:val="a"/>
    <w:rsid w:val="009A3F7B"/>
    <w:rPr>
      <w:rFonts w:ascii="News Gothic Cyr" w:hAnsi="News Gothic Cyr"/>
      <w:szCs w:val="24"/>
    </w:rPr>
  </w:style>
  <w:style w:type="paragraph" w:customStyle="1" w:styleId="a0">
    <w:name w:val="Числа в таблица"/>
    <w:basedOn w:val="Normal"/>
    <w:rsid w:val="009A3F7B"/>
    <w:pPr>
      <w:jc w:val="right"/>
    </w:pPr>
    <w:rPr>
      <w:sz w:val="20"/>
    </w:rPr>
  </w:style>
  <w:style w:type="character" w:styleId="Emphasis">
    <w:name w:val="Emphasis"/>
    <w:basedOn w:val="DefaultParagraphFont"/>
    <w:uiPriority w:val="20"/>
    <w:qFormat/>
    <w:rsid w:val="00CD74FF"/>
    <w:rPr>
      <w:i/>
      <w:iCs/>
    </w:rPr>
  </w:style>
  <w:style w:type="paragraph" w:customStyle="1" w:styleId="a1">
    <w:name w:val="Етикет на таблица"/>
    <w:basedOn w:val="Normal"/>
    <w:rsid w:val="004F60F1"/>
    <w:pPr>
      <w:jc w:val="center"/>
    </w:pPr>
    <w:rPr>
      <w:i/>
      <w:sz w:val="20"/>
    </w:rPr>
  </w:style>
  <w:style w:type="paragraph" w:styleId="NoSpacing">
    <w:name w:val="No Spacing"/>
    <w:uiPriority w:val="1"/>
    <w:qFormat/>
    <w:rsid w:val="004F60F1"/>
    <w:pPr>
      <w:widowControl w:val="0"/>
      <w:jc w:val="both"/>
    </w:pPr>
    <w:rPr>
      <w:rFonts w:ascii="News Gothic Cyr" w:hAnsi="News Gothic Cyr"/>
      <w:sz w:val="22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94E29"/>
    <w:pPr>
      <w:widowControl/>
      <w:jc w:val="left"/>
    </w:pPr>
    <w:rPr>
      <w:rFonts w:eastAsiaTheme="minorHAnsi" w:cstheme="minorBidi"/>
      <w:sz w:val="20"/>
      <w:szCs w:val="20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94E29"/>
    <w:rPr>
      <w:rFonts w:asciiTheme="minorHAnsi" w:eastAsiaTheme="minorHAnsi" w:hAnsiTheme="minorHAnsi" w:cstheme="minorBidi"/>
      <w:lang w:val="en-GB"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094E2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F1EF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1EF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1EF5"/>
    <w:rPr>
      <w:rFonts w:ascii="News Gothic Cyr" w:hAnsi="News Gothic Cy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1EF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1EF5"/>
    <w:rPr>
      <w:rFonts w:ascii="News Gothic Cyr" w:hAnsi="News Gothic Cyr"/>
      <w:b/>
      <w:bCs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B2B69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B2B69"/>
    <w:rPr>
      <w:rFonts w:ascii="News Gothic Cyr" w:hAnsi="News Gothic Cyr"/>
    </w:rPr>
  </w:style>
  <w:style w:type="character" w:styleId="EndnoteReference">
    <w:name w:val="endnote reference"/>
    <w:basedOn w:val="DefaultParagraphFont"/>
    <w:uiPriority w:val="99"/>
    <w:semiHidden/>
    <w:unhideWhenUsed/>
    <w:rsid w:val="000B2B6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5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8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0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2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7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03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9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7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2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46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4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2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1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3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56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75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2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4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8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32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8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6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3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23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4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4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4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8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6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8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7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7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5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2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4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5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5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5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4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1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4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7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4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9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3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9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7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0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8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2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27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3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4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7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7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3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1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0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4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61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9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43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76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8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1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5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0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0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0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3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3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23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7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04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0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7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89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86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4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86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0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5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8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96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5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8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1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9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1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3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9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45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7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6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2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2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3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3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0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06114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7597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456030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2429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147298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646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5778364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1226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107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02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2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9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4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5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0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7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9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6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6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4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1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9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5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1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2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9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7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20249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53760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9921366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56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917534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6550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94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7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46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6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2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6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1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8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9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8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6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1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8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3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0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30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9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8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3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3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8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1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8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5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1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6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9392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21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2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1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4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8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2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4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1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3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0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5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9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6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6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7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8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83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1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3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9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1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63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9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1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6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2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5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3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3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5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5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9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9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7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7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4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footer" Target="footer1.xml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5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6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8\Q2\2018H1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  <c:spPr>
        <a:scene3d>
          <a:camera prst="orthographicFront"/>
          <a:lightRig rig="threePt" dir="t"/>
        </a:scene3d>
        <a:sp3d>
          <a:contourClr>
            <a:srgbClr val="000000"/>
          </a:contourClr>
        </a:sp3d>
      </c:spPr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275240594925635"/>
          <c:y val="2.8252405949256341E-2"/>
          <c:w val="0.86381212377411754"/>
          <c:h val="0.50402079266554067"/>
        </c:manualLayout>
      </c:layout>
      <c:bar3DChart>
        <c:barDir val="col"/>
        <c:grouping val="standard"/>
        <c:varyColors val="0"/>
        <c:ser>
          <c:idx val="1"/>
          <c:order val="0"/>
          <c:tx>
            <c:strRef>
              <c:f>'1.1'!$D$57</c:f>
              <c:strCache>
                <c:ptCount val="1"/>
                <c:pt idx="0">
                  <c:v>H1 '18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dLbls>
            <c:numFmt formatCode="#,##0.0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600"/>
                </a:pPr>
                <a:endParaRPr lang="bg-BG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'1.1'!$D$59:$D$65</c:f>
              <c:numCache>
                <c:formatCode>#,##0</c:formatCode>
                <c:ptCount val="7"/>
                <c:pt idx="0">
                  <c:v>151213734.67399999</c:v>
                </c:pt>
                <c:pt idx="1">
                  <c:v>18674635.322000001</c:v>
                </c:pt>
                <c:pt idx="2">
                  <c:v>15564375.988</c:v>
                </c:pt>
                <c:pt idx="3">
                  <c:v>1356546.4508</c:v>
                </c:pt>
                <c:pt idx="4">
                  <c:v>4064667.5550000002</c:v>
                </c:pt>
                <c:pt idx="5">
                  <c:v>2363661.5060000001</c:v>
                </c:pt>
                <c:pt idx="6">
                  <c:v>81528038.091000006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7C9-43B4-89FA-8B535F9544E8}"/>
            </c:ext>
          </c:extLst>
        </c:ser>
        <c:ser>
          <c:idx val="0"/>
          <c:order val="1"/>
          <c:tx>
            <c:strRef>
              <c:f>'1.1'!$C$57</c:f>
              <c:strCache>
                <c:ptCount val="1"/>
                <c:pt idx="0">
                  <c:v>H1 '17</c:v>
                </c:pt>
              </c:strCache>
            </c:strRef>
          </c:tx>
          <c:invertIfNegative val="0"/>
          <c:dLbls>
            <c:numFmt formatCode="#,##0.0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600"/>
                </a:pPr>
                <a:endParaRPr lang="bg-BG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'1.1'!$C$59:$C$65</c:f>
              <c:numCache>
                <c:formatCode>#,##0</c:formatCode>
                <c:ptCount val="7"/>
                <c:pt idx="0">
                  <c:v>159635748.273</c:v>
                </c:pt>
                <c:pt idx="1">
                  <c:v>35493343.214000002</c:v>
                </c:pt>
                <c:pt idx="2">
                  <c:v>20947187.921</c:v>
                </c:pt>
                <c:pt idx="3">
                  <c:v>1464459.3149999999</c:v>
                </c:pt>
                <c:pt idx="4">
                  <c:v>0</c:v>
                </c:pt>
                <c:pt idx="5">
                  <c:v>2106226.932</c:v>
                </c:pt>
                <c:pt idx="6">
                  <c:v>48476.201999999997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7C9-43B4-89FA-8B535F9544E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117958832"/>
        <c:axId val="1117927824"/>
        <c:axId val="834108816"/>
      </c:bar3DChart>
      <c:catAx>
        <c:axId val="11179588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600"/>
            </a:pPr>
            <a:endParaRPr lang="bg-BG"/>
          </a:p>
        </c:txPr>
        <c:crossAx val="1117927824"/>
        <c:crosses val="autoZero"/>
        <c:auto val="1"/>
        <c:lblAlgn val="ctr"/>
        <c:lblOffset val="100"/>
        <c:noMultiLvlLbl val="0"/>
      </c:catAx>
      <c:valAx>
        <c:axId val="1117927824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txPr>
          <a:bodyPr/>
          <a:lstStyle/>
          <a:p>
            <a:pPr>
              <a:defRPr sz="600"/>
            </a:pPr>
            <a:endParaRPr lang="bg-BG"/>
          </a:p>
        </c:txPr>
        <c:crossAx val="1117958832"/>
        <c:crosses val="autoZero"/>
        <c:crossBetween val="between"/>
        <c:dispUnits>
          <c:builtInUnit val="millions"/>
          <c:dispUnitsLbl>
            <c:layout>
              <c:manualLayout>
                <c:xMode val="edge"/>
                <c:yMode val="edge"/>
                <c:x val="0"/>
                <c:y val="0.1856324730242053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bg-BG" sz="600"/>
                    <a:t>милиона </a:t>
                  </a:r>
                  <a:r>
                    <a:rPr lang="en-US" sz="600"/>
                    <a:t>BGN</a:t>
                  </a:r>
                </a:p>
              </c:rich>
            </c:tx>
          </c:dispUnitsLbl>
        </c:dispUnits>
      </c:valAx>
      <c:serAx>
        <c:axId val="834108816"/>
        <c:scaling>
          <c:orientation val="minMax"/>
        </c:scaling>
        <c:delete val="1"/>
        <c:axPos val="b"/>
        <c:majorTickMark val="out"/>
        <c:minorTickMark val="none"/>
        <c:tickLblPos val="nextTo"/>
        <c:crossAx val="1117927824"/>
        <c:crosses val="autoZero"/>
      </c:serAx>
    </c:plotArea>
    <c:legend>
      <c:legendPos val="r"/>
      <c:layout>
        <c:manualLayout>
          <c:xMode val="edge"/>
          <c:yMode val="edge"/>
          <c:x val="0.6503068678915136"/>
          <c:y val="8.8754009915427267E-3"/>
          <c:w val="0.3413597987751531"/>
          <c:h val="7.0212160979877508E-2"/>
        </c:manualLayout>
      </c:layout>
      <c:overlay val="0"/>
      <c:txPr>
        <a:bodyPr/>
        <a:lstStyle/>
        <a:p>
          <a:pPr>
            <a:defRPr sz="600"/>
          </a:pPr>
          <a:endParaRPr lang="bg-BG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  <c:spPr>
        <a:scene3d>
          <a:camera prst="orthographicFront"/>
          <a:lightRig rig="threePt" dir="t"/>
        </a:scene3d>
        <a:sp3d>
          <a:contourClr>
            <a:srgbClr val="000000"/>
          </a:contourClr>
        </a:sp3d>
      </c:spPr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275240594925635"/>
          <c:y val="2.8252405949256341E-2"/>
          <c:w val="0.86388605745870239"/>
          <c:h val="0.60059628413870669"/>
        </c:manualLayout>
      </c:layout>
      <c:bar3DChart>
        <c:barDir val="col"/>
        <c:grouping val="standard"/>
        <c:varyColors val="0"/>
        <c:ser>
          <c:idx val="1"/>
          <c:order val="0"/>
          <c:tx>
            <c:strRef>
              <c:f>'1.1'!$D$57</c:f>
              <c:strCache>
                <c:ptCount val="1"/>
                <c:pt idx="0">
                  <c:v>H1 '18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'1.1'!$D$75:$D$81</c:f>
              <c:numCache>
                <c:formatCode>#,##0</c:formatCode>
                <c:ptCount val="7"/>
                <c:pt idx="0">
                  <c:v>22188</c:v>
                </c:pt>
                <c:pt idx="1">
                  <c:v>3266</c:v>
                </c:pt>
                <c:pt idx="2">
                  <c:v>170</c:v>
                </c:pt>
                <c:pt idx="3">
                  <c:v>602</c:v>
                </c:pt>
                <c:pt idx="4">
                  <c:v>6</c:v>
                </c:pt>
                <c:pt idx="5">
                  <c:v>848</c:v>
                </c:pt>
                <c:pt idx="6">
                  <c:v>1710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3D-4C0E-81E1-E67C92426765}"/>
            </c:ext>
          </c:extLst>
        </c:ser>
        <c:ser>
          <c:idx val="0"/>
          <c:order val="1"/>
          <c:tx>
            <c:strRef>
              <c:f>'1.1'!$C$57</c:f>
              <c:strCache>
                <c:ptCount val="1"/>
                <c:pt idx="0">
                  <c:v>H1 '17</c:v>
                </c:pt>
              </c:strCache>
            </c:strRef>
          </c:tx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'1.1'!$C$75:$C$81</c:f>
              <c:numCache>
                <c:formatCode>#,##0</c:formatCode>
                <c:ptCount val="7"/>
                <c:pt idx="0">
                  <c:v>33465</c:v>
                </c:pt>
                <c:pt idx="1">
                  <c:v>4611</c:v>
                </c:pt>
                <c:pt idx="2">
                  <c:v>86</c:v>
                </c:pt>
                <c:pt idx="3">
                  <c:v>790</c:v>
                </c:pt>
                <c:pt idx="4">
                  <c:v>0</c:v>
                </c:pt>
                <c:pt idx="5">
                  <c:v>982</c:v>
                </c:pt>
                <c:pt idx="6">
                  <c:v>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63D-4C0E-81E1-E67C9242676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117948496"/>
        <c:axId val="1117946864"/>
        <c:axId val="834108192"/>
      </c:bar3DChart>
      <c:catAx>
        <c:axId val="11179484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117946864"/>
        <c:crosses val="autoZero"/>
        <c:auto val="1"/>
        <c:lblAlgn val="ctr"/>
        <c:lblOffset val="100"/>
        <c:noMultiLvlLbl val="0"/>
      </c:catAx>
      <c:valAx>
        <c:axId val="1117946864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crossAx val="1117948496"/>
        <c:crosses val="autoZero"/>
        <c:crossBetween val="between"/>
      </c:valAx>
      <c:serAx>
        <c:axId val="834108192"/>
        <c:scaling>
          <c:orientation val="minMax"/>
        </c:scaling>
        <c:delete val="1"/>
        <c:axPos val="b"/>
        <c:majorTickMark val="out"/>
        <c:minorTickMark val="none"/>
        <c:tickLblPos val="nextTo"/>
        <c:crossAx val="1117946864"/>
        <c:crosses val="autoZero"/>
      </c:serAx>
    </c:plotArea>
    <c:legend>
      <c:legendPos val="r"/>
      <c:layout>
        <c:manualLayout>
          <c:xMode val="edge"/>
          <c:yMode val="edge"/>
          <c:x val="0.6503068678915136"/>
          <c:y val="8.8754009915427267E-3"/>
          <c:w val="0.3413597987751531"/>
          <c:h val="7.021216097987750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8.1710098404188275E-2"/>
          <c:y val="0.20082217068140468"/>
          <c:w val="0.82804191631862456"/>
          <c:h val="0.7969724346613084"/>
        </c:manualLayout>
      </c:layout>
      <c:pie3DChart>
        <c:varyColors val="1"/>
        <c:ser>
          <c:idx val="0"/>
          <c:order val="0"/>
          <c:tx>
            <c:strRef>
              <c:f>'1.1 pie'!$C$2</c:f>
              <c:strCache>
                <c:ptCount val="1"/>
                <c:pt idx="0">
                  <c:v>NAME</c:v>
                </c:pt>
              </c:strCache>
            </c:strRef>
          </c:tx>
          <c:explosion val="25"/>
          <c:dLbls>
            <c:dLbl>
              <c:idx val="0"/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35B4-462B-8A87-18145581A78A}"/>
                </c:ext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5B4-462B-8A87-18145581A78A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35B4-462B-8A87-18145581A78A}"/>
                </c:ext>
              </c:extLst>
            </c:dLbl>
            <c:dLbl>
              <c:idx val="3"/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5B4-462B-8A87-18145581A78A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1"/>
            <c:showSerName val="0"/>
            <c:showPercent val="0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'1.1 pie'!$C$3:$C$12</c:f>
              <c:strCache>
                <c:ptCount val="10"/>
                <c:pt idx="0">
                  <c:v>Химимпорт АД-София</c:v>
                </c:pt>
                <c:pt idx="1">
                  <c:v>Софарма АД-София</c:v>
                </c:pt>
                <c:pt idx="2">
                  <c:v>Индустриален Холдинг България АД-София</c:v>
                </c:pt>
                <c:pt idx="3">
                  <c:v>Еврохолд България АД-София</c:v>
                </c:pt>
                <c:pt idx="4">
                  <c:v>Холдинг Варна АД-Варна</c:v>
                </c:pt>
                <c:pt idx="5">
                  <c:v>Велграф Асет Мениджмънт АД-София</c:v>
                </c:pt>
                <c:pt idx="6">
                  <c:v>Св. Св. Константин и Елена Холдинг АД-Варна</c:v>
                </c:pt>
                <c:pt idx="7">
                  <c:v>Инвестор.БГ АД-София</c:v>
                </c:pt>
                <c:pt idx="8">
                  <c:v>Адванс Терафонд АДСИЦ-София</c:v>
                </c:pt>
                <c:pt idx="9">
                  <c:v>ТБ Централна кооперативна банка АД-София</c:v>
                </c:pt>
              </c:strCache>
            </c:strRef>
          </c:cat>
          <c:val>
            <c:numRef>
              <c:f>'1.1 pie'!$E$3:$E$12</c:f>
              <c:numCache>
                <c:formatCode>#,##0</c:formatCode>
                <c:ptCount val="10"/>
                <c:pt idx="0">
                  <c:v>21596388.940000001</c:v>
                </c:pt>
                <c:pt idx="1">
                  <c:v>15857193.140000001</c:v>
                </c:pt>
                <c:pt idx="2">
                  <c:v>13630807.1</c:v>
                </c:pt>
                <c:pt idx="3">
                  <c:v>12557301.9</c:v>
                </c:pt>
                <c:pt idx="4">
                  <c:v>11815010</c:v>
                </c:pt>
                <c:pt idx="5">
                  <c:v>10633268.84</c:v>
                </c:pt>
                <c:pt idx="6">
                  <c:v>6746108.9000000004</c:v>
                </c:pt>
                <c:pt idx="7">
                  <c:v>5884223.7999999998</c:v>
                </c:pt>
                <c:pt idx="8">
                  <c:v>3522435.14</c:v>
                </c:pt>
                <c:pt idx="9">
                  <c:v>3293316.15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5B4-462B-8A87-18145581A78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800">
          <a:latin typeface="+mn-lt"/>
        </a:defRPr>
      </a:pPr>
      <a:endParaRPr lang="bg-BG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4639999477135823E-4"/>
          <c:y val="3.5393407312678649E-2"/>
          <c:w val="0.99743208069109646"/>
          <c:h val="0.9292131853746427"/>
        </c:manualLayout>
      </c:layout>
      <c:ofPieChart>
        <c:ofPieType val="pie"/>
        <c:varyColors val="1"/>
        <c:ser>
          <c:idx val="0"/>
          <c:order val="0"/>
          <c:tx>
            <c:strRef>
              <c:f>'1.2'!$C$17</c:f>
              <c:strCache>
                <c:ptCount val="1"/>
                <c:pt idx="0">
                  <c:v>Сектор</c:v>
                </c:pt>
              </c:strCache>
            </c:strRef>
          </c:tx>
          <c:dLbls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3924-4D6A-98B1-9E5347D47FF9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'1.2'!$C$19:$C$29</c:f>
              <c:strCache>
                <c:ptCount val="11"/>
                <c:pt idx="0">
                  <c:v>Финансови и застрахователни дейности</c:v>
                </c:pt>
                <c:pt idx="1">
                  <c:v>Преработваща промишленост</c:v>
                </c:pt>
                <c:pt idx="2">
                  <c:v>Операции с недвижими имоти</c:v>
                </c:pt>
                <c:pt idx="3">
                  <c:v>Създаване и разпространение на информация и творчески продукти; далекосъобщения</c:v>
                </c:pt>
                <c:pt idx="4">
                  <c:v>Строителство</c:v>
                </c:pt>
                <c:pt idx="5">
                  <c:v>Професионални дейности и научни изследвания</c:v>
                </c:pt>
                <c:pt idx="6">
                  <c:v>Производство и разпределение на електрическа и топлинна енергия и на газообразни горива</c:v>
                </c:pt>
                <c:pt idx="7">
                  <c:v>Търговия; ремонт на автомобили и мотоциклети</c:v>
                </c:pt>
                <c:pt idx="8">
                  <c:v>Хотелиерство и ресторантьорство</c:v>
                </c:pt>
                <c:pt idx="9">
                  <c:v>Транспорт, складиране и пощи</c:v>
                </c:pt>
                <c:pt idx="10">
                  <c:v>Добивна промишленост</c:v>
                </c:pt>
              </c:strCache>
            </c:strRef>
          </c:cat>
          <c:val>
            <c:numRef>
              <c:f>'1.2'!$G$19:$G$29</c:f>
              <c:numCache>
                <c:formatCode>#,##0</c:formatCode>
                <c:ptCount val="11"/>
                <c:pt idx="0">
                  <c:v>100484556.03399999</c:v>
                </c:pt>
                <c:pt idx="1">
                  <c:v>28032117.662999999</c:v>
                </c:pt>
                <c:pt idx="2">
                  <c:v>22015779.284000002</c:v>
                </c:pt>
                <c:pt idx="3">
                  <c:v>6107642</c:v>
                </c:pt>
                <c:pt idx="4">
                  <c:v>3819784.3</c:v>
                </c:pt>
                <c:pt idx="5">
                  <c:v>2806824.57</c:v>
                </c:pt>
                <c:pt idx="6">
                  <c:v>2437929</c:v>
                </c:pt>
                <c:pt idx="7">
                  <c:v>1635408.62</c:v>
                </c:pt>
                <c:pt idx="8">
                  <c:v>1099269.97</c:v>
                </c:pt>
                <c:pt idx="9">
                  <c:v>873131.45499999996</c:v>
                </c:pt>
                <c:pt idx="10">
                  <c:v>575927.1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924-4D6A-98B1-9E5347D47FF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gapWidth val="100"/>
        <c:secondPieSize val="75"/>
        <c:serLines/>
      </c:ofPie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700">
          <a:latin typeface="+mn-lt"/>
        </a:defRPr>
      </a:pPr>
      <a:endParaRPr lang="bg-BG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4.9172259507829975E-2"/>
          <c:y val="0.15509223316046084"/>
          <c:w val="0.94038777032065624"/>
          <c:h val="0.80752962217435376"/>
        </c:manualLayout>
      </c:layout>
      <c:bar3DChart>
        <c:barDir val="col"/>
        <c:grouping val="percentStacked"/>
        <c:varyColors val="0"/>
        <c:ser>
          <c:idx val="3"/>
          <c:order val="0"/>
          <c:tx>
            <c:strRef>
              <c:f>'2'!$B$6</c:f>
              <c:strCache>
                <c:ptCount val="1"/>
                <c:pt idx="0">
                  <c:v>Сегмент за АДСИЦ,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'2'!$D$6:$E$6</c:f>
              <c:numCache>
                <c:formatCode>General</c:formatCode>
                <c:ptCount val="2"/>
                <c:pt idx="0">
                  <c:v>14</c:v>
                </c:pt>
                <c:pt idx="1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642-47C4-B53E-3C202B45F350}"/>
            </c:ext>
          </c:extLst>
        </c:ser>
        <c:ser>
          <c:idx val="1"/>
          <c:order val="1"/>
          <c:tx>
            <c:strRef>
              <c:f>'2'!$B$4</c:f>
              <c:strCache>
                <c:ptCount val="1"/>
                <c:pt idx="0">
                  <c:v>Сегмент акции Standard,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'2'!$D$4:$E$4</c:f>
              <c:numCache>
                <c:formatCode>General</c:formatCode>
                <c:ptCount val="2"/>
                <c:pt idx="0">
                  <c:v>80</c:v>
                </c:pt>
                <c:pt idx="1">
                  <c:v>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642-47C4-B53E-3C202B45F350}"/>
            </c:ext>
          </c:extLst>
        </c:ser>
        <c:ser>
          <c:idx val="0"/>
          <c:order val="2"/>
          <c:tx>
            <c:strRef>
              <c:f>'2'!$B$3</c:f>
              <c:strCache>
                <c:ptCount val="1"/>
                <c:pt idx="0">
                  <c:v>Сегмент акции Premium,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'2'!$D$3:$E$3</c:f>
              <c:numCache>
                <c:formatCode>General</c:formatCode>
                <c:ptCount val="2"/>
                <c:pt idx="0">
                  <c:v>6</c:v>
                </c:pt>
                <c:pt idx="1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642-47C4-B53E-3C202B45F350}"/>
            </c:ext>
          </c:extLst>
        </c:ser>
        <c:ser>
          <c:idx val="5"/>
          <c:order val="3"/>
          <c:tx>
            <c:strRef>
              <c:f>'2'!$B$9</c:f>
              <c:strCache>
                <c:ptCount val="1"/>
                <c:pt idx="0">
                  <c:v>Сегмент за облигации,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'2'!$D$9:$E$9</c:f>
              <c:numCache>
                <c:formatCode>General</c:formatCode>
                <c:ptCount val="2"/>
                <c:pt idx="0">
                  <c:v>55</c:v>
                </c:pt>
                <c:pt idx="1">
                  <c:v>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642-47C4-B53E-3C202B45F350}"/>
            </c:ext>
          </c:extLst>
        </c:ser>
        <c:ser>
          <c:idx val="2"/>
          <c:order val="4"/>
          <c:tx>
            <c:strRef>
              <c:f>'2'!$B$5</c:f>
              <c:strCache>
                <c:ptCount val="1"/>
                <c:pt idx="0">
                  <c:v>Сегмент за борсово търгувани продукти,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'2'!$D$5:$E$5</c:f>
              <c:numCache>
                <c:formatCode>General</c:formatCode>
                <c:ptCount val="2"/>
                <c:pt idx="0">
                  <c:v>3</c:v>
                </c:pt>
                <c:pt idx="1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642-47C4-B53E-3C202B45F350}"/>
            </c:ext>
          </c:extLst>
        </c:ser>
        <c:ser>
          <c:idx val="7"/>
          <c:order val="5"/>
          <c:tx>
            <c:strRef>
              <c:f>'2'!$B$12</c:f>
              <c:strCache>
                <c:ptCount val="1"/>
                <c:pt idx="0">
                  <c:v>Сегмент акции, пазар BаSE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'2'!$D$12:$E$12</c:f>
              <c:numCache>
                <c:formatCode>General</c:formatCode>
                <c:ptCount val="2"/>
                <c:pt idx="0">
                  <c:v>186</c:v>
                </c:pt>
                <c:pt idx="1">
                  <c:v>140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642-47C4-B53E-3C202B45F350}"/>
            </c:ext>
          </c:extLst>
        </c:ser>
        <c:ser>
          <c:idx val="4"/>
          <c:order val="6"/>
          <c:tx>
            <c:strRef>
              <c:f>'2'!$B$8</c:f>
              <c:strCache>
                <c:ptCount val="1"/>
                <c:pt idx="0">
                  <c:v>Сегмент за компенсаторни инструменти,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'2'!$D$8:$E$8</c:f>
              <c:numCache>
                <c:formatCode>General</c:formatCode>
                <c:ptCount val="2"/>
                <c:pt idx="0">
                  <c:v>3</c:v>
                </c:pt>
                <c:pt idx="1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642-47C4-B53E-3C202B45F350}"/>
            </c:ext>
          </c:extLst>
        </c:ser>
        <c:ser>
          <c:idx val="6"/>
          <c:order val="7"/>
          <c:tx>
            <c:strRef>
              <c:f>'2'!$B$13</c:f>
              <c:strCache>
                <c:ptCount val="1"/>
                <c:pt idx="0">
                  <c:v>Сегмент за АДСИЦ, пазар BаSE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'2'!$D$13:$E$13</c:f>
              <c:numCache>
                <c:formatCode>General</c:formatCode>
                <c:ptCount val="2"/>
                <c:pt idx="0">
                  <c:v>41</c:v>
                </c:pt>
                <c:pt idx="1">
                  <c:v>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8642-47C4-B53E-3C202B45F350}"/>
            </c:ext>
          </c:extLst>
        </c:ser>
        <c:ser>
          <c:idx val="9"/>
          <c:order val="8"/>
          <c:tx>
            <c:strRef>
              <c:f>'2'!$B$11</c:f>
              <c:strCache>
                <c:ptCount val="1"/>
                <c:pt idx="0">
                  <c:v>Сегмент за права,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'2'!$D$11:$E$11</c:f>
              <c:numCache>
                <c:formatCode>General</c:formatCode>
                <c:ptCount val="2"/>
                <c:pt idx="0">
                  <c:v>1</c:v>
                </c:pt>
                <c:pt idx="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8642-47C4-B53E-3C202B45F350}"/>
            </c:ext>
          </c:extLst>
        </c:ser>
        <c:ser>
          <c:idx val="8"/>
          <c:order val="9"/>
          <c:tx>
            <c:strRef>
              <c:f>'2'!$B$7</c:f>
              <c:strCache>
                <c:ptCount val="1"/>
                <c:pt idx="0">
                  <c:v>Сегмент за ДЦК,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43100</c:v>
                </c:pt>
                <c:pt idx="1">
                  <c:v>43281</c:v>
                </c:pt>
              </c:numCache>
            </c:numRef>
          </c:cat>
          <c:val>
            <c:numRef>
              <c:f>'2'!$D$7:$E$7</c:f>
              <c:numCache>
                <c:formatCode>General</c:formatCode>
                <c:ptCount val="2"/>
                <c:pt idx="0">
                  <c:v>20</c:v>
                </c:pt>
                <c:pt idx="1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8642-47C4-B53E-3C202B45F35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117953936"/>
        <c:axId val="1117944688"/>
        <c:axId val="0"/>
      </c:bar3DChart>
      <c:catAx>
        <c:axId val="1117953936"/>
        <c:scaling>
          <c:orientation val="minMax"/>
        </c:scaling>
        <c:delete val="0"/>
        <c:axPos val="b"/>
        <c:numFmt formatCode="m/d/yyyy" sourceLinked="1"/>
        <c:majorTickMark val="out"/>
        <c:minorTickMark val="none"/>
        <c:tickLblPos val="nextTo"/>
        <c:crossAx val="1117944688"/>
        <c:crosses val="autoZero"/>
        <c:auto val="0"/>
        <c:lblAlgn val="ctr"/>
        <c:lblOffset val="100"/>
        <c:noMultiLvlLbl val="0"/>
      </c:catAx>
      <c:valAx>
        <c:axId val="1117944688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117953936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1.1944844308862718E-2"/>
          <c:y val="6.379585326953748E-3"/>
          <c:w val="0.96988495342419201"/>
          <c:h val="0.1547270466789737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+mn-lt"/>
        </a:defRPr>
      </a:pPr>
      <a:endParaRPr lang="bg-BG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spPr>
            <a:pattFill prst="pct70">
              <a:fgClr>
                <a:schemeClr val="accent1"/>
              </a:fgClr>
              <a:bgClr>
                <a:schemeClr val="bg1"/>
              </a:bgClr>
            </a:pattFill>
          </c:spPr>
          <c:cat>
            <c:numRef>
              <c:f>'5 index'!$D$18:$D$138</c:f>
              <c:numCache>
                <c:formatCode>m/d/yyyy</c:formatCode>
                <c:ptCount val="121"/>
                <c:pt idx="0">
                  <c:v>43102.71875</c:v>
                </c:pt>
                <c:pt idx="1">
                  <c:v>43103.71875</c:v>
                </c:pt>
                <c:pt idx="2">
                  <c:v>43104.71875</c:v>
                </c:pt>
                <c:pt idx="3">
                  <c:v>43105.71875</c:v>
                </c:pt>
                <c:pt idx="4">
                  <c:v>43108.71875</c:v>
                </c:pt>
                <c:pt idx="5">
                  <c:v>43109.71875</c:v>
                </c:pt>
                <c:pt idx="6">
                  <c:v>43110.71875</c:v>
                </c:pt>
                <c:pt idx="7">
                  <c:v>43111.71875</c:v>
                </c:pt>
                <c:pt idx="8">
                  <c:v>43112.71875</c:v>
                </c:pt>
                <c:pt idx="9">
                  <c:v>43115.71875</c:v>
                </c:pt>
                <c:pt idx="10">
                  <c:v>43116.71875</c:v>
                </c:pt>
                <c:pt idx="11">
                  <c:v>43117.71875</c:v>
                </c:pt>
                <c:pt idx="12">
                  <c:v>43118.71875</c:v>
                </c:pt>
                <c:pt idx="13">
                  <c:v>43119.71875</c:v>
                </c:pt>
                <c:pt idx="14">
                  <c:v>43122.71875</c:v>
                </c:pt>
                <c:pt idx="15">
                  <c:v>43123.71875</c:v>
                </c:pt>
                <c:pt idx="16">
                  <c:v>43124.71875</c:v>
                </c:pt>
                <c:pt idx="17">
                  <c:v>43125.71875</c:v>
                </c:pt>
                <c:pt idx="18">
                  <c:v>43126.71875</c:v>
                </c:pt>
                <c:pt idx="19">
                  <c:v>43129.71875</c:v>
                </c:pt>
                <c:pt idx="20">
                  <c:v>43130.71875</c:v>
                </c:pt>
                <c:pt idx="21">
                  <c:v>43131.71875</c:v>
                </c:pt>
                <c:pt idx="22">
                  <c:v>43132.71875</c:v>
                </c:pt>
                <c:pt idx="23">
                  <c:v>43133.71875</c:v>
                </c:pt>
                <c:pt idx="24">
                  <c:v>43136.71875</c:v>
                </c:pt>
                <c:pt idx="25">
                  <c:v>43137.71875</c:v>
                </c:pt>
                <c:pt idx="26">
                  <c:v>43138.71875</c:v>
                </c:pt>
                <c:pt idx="27">
                  <c:v>43139.71875</c:v>
                </c:pt>
                <c:pt idx="28">
                  <c:v>43140.71875</c:v>
                </c:pt>
                <c:pt idx="29">
                  <c:v>43143.71875</c:v>
                </c:pt>
                <c:pt idx="30">
                  <c:v>43144.71875</c:v>
                </c:pt>
                <c:pt idx="31">
                  <c:v>43145.71875</c:v>
                </c:pt>
                <c:pt idx="32">
                  <c:v>43146.71875</c:v>
                </c:pt>
                <c:pt idx="33">
                  <c:v>43147.71875</c:v>
                </c:pt>
                <c:pt idx="34">
                  <c:v>43150.71875</c:v>
                </c:pt>
                <c:pt idx="35">
                  <c:v>43151.71875</c:v>
                </c:pt>
                <c:pt idx="36">
                  <c:v>43152.71875</c:v>
                </c:pt>
                <c:pt idx="37">
                  <c:v>43153.71875</c:v>
                </c:pt>
                <c:pt idx="38">
                  <c:v>43154.71875</c:v>
                </c:pt>
                <c:pt idx="39">
                  <c:v>43157.71875</c:v>
                </c:pt>
                <c:pt idx="40">
                  <c:v>43158.71875</c:v>
                </c:pt>
                <c:pt idx="41">
                  <c:v>43159.71875</c:v>
                </c:pt>
                <c:pt idx="42">
                  <c:v>43160.71875</c:v>
                </c:pt>
                <c:pt idx="43">
                  <c:v>43161.71875</c:v>
                </c:pt>
                <c:pt idx="44">
                  <c:v>43165.71875</c:v>
                </c:pt>
                <c:pt idx="45">
                  <c:v>43166.71875</c:v>
                </c:pt>
                <c:pt idx="46">
                  <c:v>43167.71875</c:v>
                </c:pt>
                <c:pt idx="47">
                  <c:v>43168.71875</c:v>
                </c:pt>
                <c:pt idx="48">
                  <c:v>43171.71875</c:v>
                </c:pt>
                <c:pt idx="49">
                  <c:v>43172.71875</c:v>
                </c:pt>
                <c:pt idx="50">
                  <c:v>43173.71875</c:v>
                </c:pt>
                <c:pt idx="51">
                  <c:v>43174.71875</c:v>
                </c:pt>
                <c:pt idx="52">
                  <c:v>43175.71875</c:v>
                </c:pt>
                <c:pt idx="53">
                  <c:v>43178.71875</c:v>
                </c:pt>
                <c:pt idx="54">
                  <c:v>43179.71875</c:v>
                </c:pt>
                <c:pt idx="55">
                  <c:v>43180.71875</c:v>
                </c:pt>
                <c:pt idx="56">
                  <c:v>43181.71875</c:v>
                </c:pt>
                <c:pt idx="57">
                  <c:v>43182.71875</c:v>
                </c:pt>
                <c:pt idx="58">
                  <c:v>43185.71875</c:v>
                </c:pt>
                <c:pt idx="59">
                  <c:v>43186.71875</c:v>
                </c:pt>
                <c:pt idx="60">
                  <c:v>43187.71875</c:v>
                </c:pt>
                <c:pt idx="61">
                  <c:v>43188.71875</c:v>
                </c:pt>
                <c:pt idx="62">
                  <c:v>43193.71875</c:v>
                </c:pt>
                <c:pt idx="63">
                  <c:v>43194.71875</c:v>
                </c:pt>
                <c:pt idx="64">
                  <c:v>43195.71875</c:v>
                </c:pt>
                <c:pt idx="65">
                  <c:v>43200.71875</c:v>
                </c:pt>
                <c:pt idx="66">
                  <c:v>43201.71875</c:v>
                </c:pt>
                <c:pt idx="67">
                  <c:v>43202.71875</c:v>
                </c:pt>
                <c:pt idx="68">
                  <c:v>43203.71875</c:v>
                </c:pt>
                <c:pt idx="69">
                  <c:v>43206.71875</c:v>
                </c:pt>
                <c:pt idx="70">
                  <c:v>43207.71875</c:v>
                </c:pt>
                <c:pt idx="71">
                  <c:v>43208.71875</c:v>
                </c:pt>
                <c:pt idx="72">
                  <c:v>43209.71875</c:v>
                </c:pt>
                <c:pt idx="73">
                  <c:v>43210.71875</c:v>
                </c:pt>
                <c:pt idx="74">
                  <c:v>43213.71875</c:v>
                </c:pt>
                <c:pt idx="75">
                  <c:v>43214.71875</c:v>
                </c:pt>
                <c:pt idx="76">
                  <c:v>43215.71875</c:v>
                </c:pt>
                <c:pt idx="77">
                  <c:v>43216.71875</c:v>
                </c:pt>
                <c:pt idx="78">
                  <c:v>43217.71875</c:v>
                </c:pt>
                <c:pt idx="79">
                  <c:v>43220.71875</c:v>
                </c:pt>
                <c:pt idx="80">
                  <c:v>43222.71875</c:v>
                </c:pt>
                <c:pt idx="81">
                  <c:v>43223.71875</c:v>
                </c:pt>
                <c:pt idx="82">
                  <c:v>43224.71875</c:v>
                </c:pt>
                <c:pt idx="83">
                  <c:v>43228.71875</c:v>
                </c:pt>
                <c:pt idx="84">
                  <c:v>43229.71875</c:v>
                </c:pt>
                <c:pt idx="85">
                  <c:v>43230.71875</c:v>
                </c:pt>
                <c:pt idx="86">
                  <c:v>43231.71875</c:v>
                </c:pt>
                <c:pt idx="87">
                  <c:v>43234.71875</c:v>
                </c:pt>
                <c:pt idx="88">
                  <c:v>43235.71875</c:v>
                </c:pt>
                <c:pt idx="89">
                  <c:v>43236.71875</c:v>
                </c:pt>
                <c:pt idx="90">
                  <c:v>43237.71875</c:v>
                </c:pt>
                <c:pt idx="91">
                  <c:v>43238.71875</c:v>
                </c:pt>
                <c:pt idx="92">
                  <c:v>43241.71875</c:v>
                </c:pt>
                <c:pt idx="93">
                  <c:v>43242.71875</c:v>
                </c:pt>
                <c:pt idx="94">
                  <c:v>43243.71875</c:v>
                </c:pt>
                <c:pt idx="95">
                  <c:v>43245.71875</c:v>
                </c:pt>
                <c:pt idx="96">
                  <c:v>43248.71875</c:v>
                </c:pt>
                <c:pt idx="97">
                  <c:v>43249.71875</c:v>
                </c:pt>
                <c:pt idx="98">
                  <c:v>43250.71875</c:v>
                </c:pt>
                <c:pt idx="99">
                  <c:v>43251.71875</c:v>
                </c:pt>
                <c:pt idx="100">
                  <c:v>43252.71875</c:v>
                </c:pt>
                <c:pt idx="101">
                  <c:v>43255.71875</c:v>
                </c:pt>
                <c:pt idx="102">
                  <c:v>43256.71875</c:v>
                </c:pt>
                <c:pt idx="103">
                  <c:v>43257.71875</c:v>
                </c:pt>
                <c:pt idx="104">
                  <c:v>43258.71875</c:v>
                </c:pt>
                <c:pt idx="105">
                  <c:v>43259.71875</c:v>
                </c:pt>
                <c:pt idx="106">
                  <c:v>43262.71875</c:v>
                </c:pt>
                <c:pt idx="107">
                  <c:v>43263.71875</c:v>
                </c:pt>
                <c:pt idx="108">
                  <c:v>43264.71875</c:v>
                </c:pt>
                <c:pt idx="109">
                  <c:v>43265.71875</c:v>
                </c:pt>
                <c:pt idx="110">
                  <c:v>43266.71875</c:v>
                </c:pt>
                <c:pt idx="111">
                  <c:v>43269.71875</c:v>
                </c:pt>
                <c:pt idx="112">
                  <c:v>43270.71875</c:v>
                </c:pt>
                <c:pt idx="113">
                  <c:v>43271.71875</c:v>
                </c:pt>
                <c:pt idx="114">
                  <c:v>43272.71875</c:v>
                </c:pt>
                <c:pt idx="115">
                  <c:v>43273.71875</c:v>
                </c:pt>
                <c:pt idx="116">
                  <c:v>43276.71875</c:v>
                </c:pt>
                <c:pt idx="117">
                  <c:v>43277.71875</c:v>
                </c:pt>
                <c:pt idx="118">
                  <c:v>43278.71875</c:v>
                </c:pt>
                <c:pt idx="119">
                  <c:v>43279.71875</c:v>
                </c:pt>
                <c:pt idx="120">
                  <c:v>43280.71875</c:v>
                </c:pt>
              </c:numCache>
            </c:numRef>
          </c:cat>
          <c:val>
            <c:numRef>
              <c:f>'5 index'!$E$18:$E$138</c:f>
              <c:numCache>
                <c:formatCode>General</c:formatCode>
                <c:ptCount val="121"/>
                <c:pt idx="0">
                  <c:v>684.71</c:v>
                </c:pt>
                <c:pt idx="1">
                  <c:v>685.09</c:v>
                </c:pt>
                <c:pt idx="2">
                  <c:v>691.01</c:v>
                </c:pt>
                <c:pt idx="3">
                  <c:v>692.24</c:v>
                </c:pt>
                <c:pt idx="4">
                  <c:v>688.88</c:v>
                </c:pt>
                <c:pt idx="5">
                  <c:v>688.11</c:v>
                </c:pt>
                <c:pt idx="6">
                  <c:v>697.93</c:v>
                </c:pt>
                <c:pt idx="7">
                  <c:v>702.78</c:v>
                </c:pt>
                <c:pt idx="8">
                  <c:v>710.02</c:v>
                </c:pt>
                <c:pt idx="9">
                  <c:v>714.31</c:v>
                </c:pt>
                <c:pt idx="10">
                  <c:v>715.4</c:v>
                </c:pt>
                <c:pt idx="11">
                  <c:v>709.86</c:v>
                </c:pt>
                <c:pt idx="12">
                  <c:v>711.2</c:v>
                </c:pt>
                <c:pt idx="13">
                  <c:v>711.69</c:v>
                </c:pt>
                <c:pt idx="14">
                  <c:v>708.02</c:v>
                </c:pt>
                <c:pt idx="15">
                  <c:v>709.28</c:v>
                </c:pt>
                <c:pt idx="16">
                  <c:v>706.89</c:v>
                </c:pt>
                <c:pt idx="17">
                  <c:v>708.17</c:v>
                </c:pt>
                <c:pt idx="18">
                  <c:v>709.62</c:v>
                </c:pt>
                <c:pt idx="19">
                  <c:v>709.45</c:v>
                </c:pt>
                <c:pt idx="20">
                  <c:v>710.8</c:v>
                </c:pt>
                <c:pt idx="21">
                  <c:v>712.73</c:v>
                </c:pt>
                <c:pt idx="22">
                  <c:v>711.82</c:v>
                </c:pt>
                <c:pt idx="23">
                  <c:v>719.71</c:v>
                </c:pt>
                <c:pt idx="24">
                  <c:v>716.12</c:v>
                </c:pt>
                <c:pt idx="25">
                  <c:v>690.59</c:v>
                </c:pt>
                <c:pt idx="26">
                  <c:v>701.4</c:v>
                </c:pt>
                <c:pt idx="27">
                  <c:v>698.71</c:v>
                </c:pt>
                <c:pt idx="28">
                  <c:v>693.87</c:v>
                </c:pt>
                <c:pt idx="29">
                  <c:v>696.71</c:v>
                </c:pt>
                <c:pt idx="30">
                  <c:v>698.05</c:v>
                </c:pt>
                <c:pt idx="31">
                  <c:v>697.24</c:v>
                </c:pt>
                <c:pt idx="32">
                  <c:v>693.64</c:v>
                </c:pt>
                <c:pt idx="33">
                  <c:v>696.4</c:v>
                </c:pt>
                <c:pt idx="34">
                  <c:v>692.02</c:v>
                </c:pt>
                <c:pt idx="35">
                  <c:v>694.36</c:v>
                </c:pt>
                <c:pt idx="36">
                  <c:v>691.71</c:v>
                </c:pt>
                <c:pt idx="37">
                  <c:v>687.83</c:v>
                </c:pt>
                <c:pt idx="38">
                  <c:v>687.26</c:v>
                </c:pt>
                <c:pt idx="39">
                  <c:v>686.16</c:v>
                </c:pt>
                <c:pt idx="40">
                  <c:v>687.57</c:v>
                </c:pt>
                <c:pt idx="41">
                  <c:v>686.43</c:v>
                </c:pt>
                <c:pt idx="42">
                  <c:v>684.74</c:v>
                </c:pt>
                <c:pt idx="43">
                  <c:v>683.12</c:v>
                </c:pt>
                <c:pt idx="44">
                  <c:v>681.67</c:v>
                </c:pt>
                <c:pt idx="45">
                  <c:v>687.42</c:v>
                </c:pt>
                <c:pt idx="46">
                  <c:v>682.94</c:v>
                </c:pt>
                <c:pt idx="47">
                  <c:v>685.86</c:v>
                </c:pt>
                <c:pt idx="48">
                  <c:v>681.36</c:v>
                </c:pt>
                <c:pt idx="49">
                  <c:v>679.82</c:v>
                </c:pt>
                <c:pt idx="50">
                  <c:v>679.68</c:v>
                </c:pt>
                <c:pt idx="51">
                  <c:v>679.21</c:v>
                </c:pt>
                <c:pt idx="52">
                  <c:v>679.98</c:v>
                </c:pt>
                <c:pt idx="53">
                  <c:v>671.8</c:v>
                </c:pt>
                <c:pt idx="54">
                  <c:v>660.72</c:v>
                </c:pt>
                <c:pt idx="55">
                  <c:v>669.62</c:v>
                </c:pt>
                <c:pt idx="56">
                  <c:v>667.67</c:v>
                </c:pt>
                <c:pt idx="57">
                  <c:v>661.77</c:v>
                </c:pt>
                <c:pt idx="58">
                  <c:v>653.82000000000005</c:v>
                </c:pt>
                <c:pt idx="59">
                  <c:v>655.25</c:v>
                </c:pt>
                <c:pt idx="60">
                  <c:v>654.09</c:v>
                </c:pt>
                <c:pt idx="61">
                  <c:v>649.16999999999996</c:v>
                </c:pt>
                <c:pt idx="62">
                  <c:v>653.14</c:v>
                </c:pt>
                <c:pt idx="63">
                  <c:v>654.44000000000005</c:v>
                </c:pt>
                <c:pt idx="64">
                  <c:v>659.03</c:v>
                </c:pt>
                <c:pt idx="65">
                  <c:v>664.75</c:v>
                </c:pt>
                <c:pt idx="66">
                  <c:v>660.64</c:v>
                </c:pt>
                <c:pt idx="67">
                  <c:v>661.06</c:v>
                </c:pt>
                <c:pt idx="68">
                  <c:v>663.22</c:v>
                </c:pt>
                <c:pt idx="69">
                  <c:v>662.99</c:v>
                </c:pt>
                <c:pt idx="70">
                  <c:v>661.25</c:v>
                </c:pt>
                <c:pt idx="71">
                  <c:v>660.45</c:v>
                </c:pt>
                <c:pt idx="72">
                  <c:v>662.79</c:v>
                </c:pt>
                <c:pt idx="73">
                  <c:v>658.44</c:v>
                </c:pt>
                <c:pt idx="74">
                  <c:v>659.1</c:v>
                </c:pt>
                <c:pt idx="75">
                  <c:v>659.1</c:v>
                </c:pt>
                <c:pt idx="76">
                  <c:v>663.11</c:v>
                </c:pt>
                <c:pt idx="77">
                  <c:v>660.38</c:v>
                </c:pt>
                <c:pt idx="78">
                  <c:v>658.2</c:v>
                </c:pt>
                <c:pt idx="79">
                  <c:v>658.11</c:v>
                </c:pt>
                <c:pt idx="80">
                  <c:v>654.28</c:v>
                </c:pt>
                <c:pt idx="81">
                  <c:v>658.81</c:v>
                </c:pt>
                <c:pt idx="82">
                  <c:v>652.88</c:v>
                </c:pt>
                <c:pt idx="83">
                  <c:v>653.01</c:v>
                </c:pt>
                <c:pt idx="84">
                  <c:v>652.17999999999995</c:v>
                </c:pt>
                <c:pt idx="85">
                  <c:v>649.29</c:v>
                </c:pt>
                <c:pt idx="86">
                  <c:v>645.51</c:v>
                </c:pt>
                <c:pt idx="87">
                  <c:v>644.24</c:v>
                </c:pt>
                <c:pt idx="88">
                  <c:v>643.16999999999996</c:v>
                </c:pt>
                <c:pt idx="89">
                  <c:v>642.57000000000005</c:v>
                </c:pt>
                <c:pt idx="90">
                  <c:v>649.98</c:v>
                </c:pt>
                <c:pt idx="91">
                  <c:v>647.84</c:v>
                </c:pt>
                <c:pt idx="92">
                  <c:v>646.24</c:v>
                </c:pt>
                <c:pt idx="93">
                  <c:v>644.44000000000005</c:v>
                </c:pt>
                <c:pt idx="94">
                  <c:v>642.9</c:v>
                </c:pt>
                <c:pt idx="95">
                  <c:v>642.09</c:v>
                </c:pt>
                <c:pt idx="96">
                  <c:v>639.29999999999995</c:v>
                </c:pt>
                <c:pt idx="97">
                  <c:v>637.11</c:v>
                </c:pt>
                <c:pt idx="98">
                  <c:v>634.25</c:v>
                </c:pt>
                <c:pt idx="99">
                  <c:v>636.54999999999995</c:v>
                </c:pt>
                <c:pt idx="100">
                  <c:v>637.89</c:v>
                </c:pt>
                <c:pt idx="101">
                  <c:v>638.33000000000004</c:v>
                </c:pt>
                <c:pt idx="102">
                  <c:v>633.77</c:v>
                </c:pt>
                <c:pt idx="103">
                  <c:v>634.17999999999995</c:v>
                </c:pt>
                <c:pt idx="104">
                  <c:v>631.71</c:v>
                </c:pt>
                <c:pt idx="105">
                  <c:v>631.83000000000004</c:v>
                </c:pt>
                <c:pt idx="106">
                  <c:v>629.59</c:v>
                </c:pt>
                <c:pt idx="107">
                  <c:v>632.33000000000004</c:v>
                </c:pt>
                <c:pt idx="108">
                  <c:v>634.71</c:v>
                </c:pt>
                <c:pt idx="109">
                  <c:v>637.33000000000004</c:v>
                </c:pt>
                <c:pt idx="110">
                  <c:v>627.9</c:v>
                </c:pt>
                <c:pt idx="111">
                  <c:v>630.77</c:v>
                </c:pt>
                <c:pt idx="112">
                  <c:v>630.96</c:v>
                </c:pt>
                <c:pt idx="113">
                  <c:v>632.27</c:v>
                </c:pt>
                <c:pt idx="114">
                  <c:v>631.42999999999995</c:v>
                </c:pt>
                <c:pt idx="115">
                  <c:v>630.80999999999995</c:v>
                </c:pt>
                <c:pt idx="116">
                  <c:v>632.4</c:v>
                </c:pt>
                <c:pt idx="117">
                  <c:v>631.87</c:v>
                </c:pt>
                <c:pt idx="118">
                  <c:v>633.54</c:v>
                </c:pt>
                <c:pt idx="119">
                  <c:v>633.13</c:v>
                </c:pt>
                <c:pt idx="120">
                  <c:v>634.26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442-4710-A4BD-AB6604B479E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17952304"/>
        <c:axId val="1117954480"/>
      </c:areaChart>
      <c:dateAx>
        <c:axId val="1117952304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117954480"/>
        <c:crosses val="autoZero"/>
        <c:auto val="0"/>
        <c:lblOffset val="100"/>
        <c:baseTimeUnit val="days"/>
        <c:majorUnit val="7"/>
        <c:majorTimeUnit val="days"/>
      </c:dateAx>
      <c:valAx>
        <c:axId val="1117954480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117952304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index'!$M$17</c:f>
              <c:strCache>
                <c:ptCount val="1"/>
                <c:pt idx="0">
                  <c:v>BGTR30</c:v>
                </c:pt>
              </c:strCache>
            </c:strRef>
          </c:tx>
          <c:spPr>
            <a:pattFill prst="pct75">
              <a:fgClr>
                <a:schemeClr val="accent6"/>
              </a:fgClr>
              <a:bgClr>
                <a:schemeClr val="bg1"/>
              </a:bgClr>
            </a:pattFill>
          </c:spPr>
          <c:cat>
            <c:numRef>
              <c:f>'5 index'!$N$18:$N$138</c:f>
              <c:numCache>
                <c:formatCode>m/d/yyyy</c:formatCode>
                <c:ptCount val="121"/>
                <c:pt idx="0">
                  <c:v>43102.71875</c:v>
                </c:pt>
                <c:pt idx="1">
                  <c:v>43103.71875</c:v>
                </c:pt>
                <c:pt idx="2">
                  <c:v>43104.71875</c:v>
                </c:pt>
                <c:pt idx="3">
                  <c:v>43105.71875</c:v>
                </c:pt>
                <c:pt idx="4">
                  <c:v>43108.71875</c:v>
                </c:pt>
                <c:pt idx="5">
                  <c:v>43109.71875</c:v>
                </c:pt>
                <c:pt idx="6">
                  <c:v>43110.71875</c:v>
                </c:pt>
                <c:pt idx="7">
                  <c:v>43111.71875</c:v>
                </c:pt>
                <c:pt idx="8">
                  <c:v>43112.71875</c:v>
                </c:pt>
                <c:pt idx="9">
                  <c:v>43115.71875</c:v>
                </c:pt>
                <c:pt idx="10">
                  <c:v>43116.71875</c:v>
                </c:pt>
                <c:pt idx="11">
                  <c:v>43117.71875</c:v>
                </c:pt>
                <c:pt idx="12">
                  <c:v>43118.71875</c:v>
                </c:pt>
                <c:pt idx="13">
                  <c:v>43119.71875</c:v>
                </c:pt>
                <c:pt idx="14">
                  <c:v>43122.71875</c:v>
                </c:pt>
                <c:pt idx="15">
                  <c:v>43123.71875</c:v>
                </c:pt>
                <c:pt idx="16">
                  <c:v>43124.71875</c:v>
                </c:pt>
                <c:pt idx="17">
                  <c:v>43125.71875</c:v>
                </c:pt>
                <c:pt idx="18">
                  <c:v>43126.71875</c:v>
                </c:pt>
                <c:pt idx="19">
                  <c:v>43129.71875</c:v>
                </c:pt>
                <c:pt idx="20">
                  <c:v>43130.71875</c:v>
                </c:pt>
                <c:pt idx="21">
                  <c:v>43131.71875</c:v>
                </c:pt>
                <c:pt idx="22">
                  <c:v>43132.71875</c:v>
                </c:pt>
                <c:pt idx="23">
                  <c:v>43133.71875</c:v>
                </c:pt>
                <c:pt idx="24">
                  <c:v>43136.71875</c:v>
                </c:pt>
                <c:pt idx="25">
                  <c:v>43137.71875</c:v>
                </c:pt>
                <c:pt idx="26">
                  <c:v>43138.71875</c:v>
                </c:pt>
                <c:pt idx="27">
                  <c:v>43139.71875</c:v>
                </c:pt>
                <c:pt idx="28">
                  <c:v>43140.71875</c:v>
                </c:pt>
                <c:pt idx="29">
                  <c:v>43143.71875</c:v>
                </c:pt>
                <c:pt idx="30">
                  <c:v>43144.71875</c:v>
                </c:pt>
                <c:pt idx="31">
                  <c:v>43145.71875</c:v>
                </c:pt>
                <c:pt idx="32">
                  <c:v>43146.71875</c:v>
                </c:pt>
                <c:pt idx="33">
                  <c:v>43147.71875</c:v>
                </c:pt>
                <c:pt idx="34">
                  <c:v>43150.71875</c:v>
                </c:pt>
                <c:pt idx="35">
                  <c:v>43151.71875</c:v>
                </c:pt>
                <c:pt idx="36">
                  <c:v>43152.71875</c:v>
                </c:pt>
                <c:pt idx="37">
                  <c:v>43153.71875</c:v>
                </c:pt>
                <c:pt idx="38">
                  <c:v>43154.71875</c:v>
                </c:pt>
                <c:pt idx="39">
                  <c:v>43157.71875</c:v>
                </c:pt>
                <c:pt idx="40">
                  <c:v>43158.71875</c:v>
                </c:pt>
                <c:pt idx="41">
                  <c:v>43159.71875</c:v>
                </c:pt>
                <c:pt idx="42">
                  <c:v>43160.71875</c:v>
                </c:pt>
                <c:pt idx="43">
                  <c:v>43161.71875</c:v>
                </c:pt>
                <c:pt idx="44">
                  <c:v>43165.726064814815</c:v>
                </c:pt>
                <c:pt idx="45">
                  <c:v>43166.71875</c:v>
                </c:pt>
                <c:pt idx="46">
                  <c:v>43167.71875</c:v>
                </c:pt>
                <c:pt idx="47">
                  <c:v>43168.71875</c:v>
                </c:pt>
                <c:pt idx="48">
                  <c:v>43171.71875</c:v>
                </c:pt>
                <c:pt idx="49">
                  <c:v>43172.71875</c:v>
                </c:pt>
                <c:pt idx="50">
                  <c:v>43173.71875</c:v>
                </c:pt>
                <c:pt idx="51">
                  <c:v>43174.71875</c:v>
                </c:pt>
                <c:pt idx="52">
                  <c:v>43175.71875</c:v>
                </c:pt>
                <c:pt idx="53">
                  <c:v>43178.71875</c:v>
                </c:pt>
                <c:pt idx="54">
                  <c:v>43179.71875</c:v>
                </c:pt>
                <c:pt idx="55">
                  <c:v>43180.71875</c:v>
                </c:pt>
                <c:pt idx="56">
                  <c:v>43181.71875</c:v>
                </c:pt>
                <c:pt idx="57">
                  <c:v>43182.71875</c:v>
                </c:pt>
                <c:pt idx="58">
                  <c:v>43185.71875</c:v>
                </c:pt>
                <c:pt idx="59">
                  <c:v>43186.71875</c:v>
                </c:pt>
                <c:pt idx="60">
                  <c:v>43187.71875</c:v>
                </c:pt>
                <c:pt idx="61">
                  <c:v>43188.71875</c:v>
                </c:pt>
                <c:pt idx="62">
                  <c:v>43193.71875</c:v>
                </c:pt>
                <c:pt idx="63">
                  <c:v>43194.71875</c:v>
                </c:pt>
                <c:pt idx="64">
                  <c:v>43195.71875</c:v>
                </c:pt>
                <c:pt idx="65">
                  <c:v>43200.71875</c:v>
                </c:pt>
                <c:pt idx="66">
                  <c:v>43201.71875</c:v>
                </c:pt>
                <c:pt idx="67">
                  <c:v>43202.71875</c:v>
                </c:pt>
                <c:pt idx="68">
                  <c:v>43203.71875</c:v>
                </c:pt>
                <c:pt idx="69">
                  <c:v>43206.71875</c:v>
                </c:pt>
                <c:pt idx="70">
                  <c:v>43207.71875</c:v>
                </c:pt>
                <c:pt idx="71">
                  <c:v>43208.71875</c:v>
                </c:pt>
                <c:pt idx="72">
                  <c:v>43209.71875</c:v>
                </c:pt>
                <c:pt idx="73">
                  <c:v>43210.71875</c:v>
                </c:pt>
                <c:pt idx="74">
                  <c:v>43213.71875</c:v>
                </c:pt>
                <c:pt idx="75">
                  <c:v>43214.71875</c:v>
                </c:pt>
                <c:pt idx="76">
                  <c:v>43215.71875</c:v>
                </c:pt>
                <c:pt idx="77">
                  <c:v>43216.71875</c:v>
                </c:pt>
                <c:pt idx="78">
                  <c:v>43217.71875</c:v>
                </c:pt>
                <c:pt idx="79">
                  <c:v>43220.71875</c:v>
                </c:pt>
                <c:pt idx="80">
                  <c:v>43222.71875</c:v>
                </c:pt>
                <c:pt idx="81">
                  <c:v>43223.71875</c:v>
                </c:pt>
                <c:pt idx="82">
                  <c:v>43224.71875</c:v>
                </c:pt>
                <c:pt idx="83">
                  <c:v>43228.71875</c:v>
                </c:pt>
                <c:pt idx="84">
                  <c:v>43229.71875</c:v>
                </c:pt>
                <c:pt idx="85">
                  <c:v>43230.71875</c:v>
                </c:pt>
                <c:pt idx="86">
                  <c:v>43231.71875</c:v>
                </c:pt>
                <c:pt idx="87">
                  <c:v>43234.71875</c:v>
                </c:pt>
                <c:pt idx="88">
                  <c:v>43235.71875</c:v>
                </c:pt>
                <c:pt idx="89">
                  <c:v>43236.71875</c:v>
                </c:pt>
                <c:pt idx="90">
                  <c:v>43237.71875</c:v>
                </c:pt>
                <c:pt idx="91">
                  <c:v>43238.71875</c:v>
                </c:pt>
                <c:pt idx="92">
                  <c:v>43241.71875</c:v>
                </c:pt>
                <c:pt idx="93">
                  <c:v>43242.71875</c:v>
                </c:pt>
                <c:pt idx="94">
                  <c:v>43243.71875</c:v>
                </c:pt>
                <c:pt idx="95">
                  <c:v>43245.71875</c:v>
                </c:pt>
                <c:pt idx="96">
                  <c:v>43248.71875</c:v>
                </c:pt>
                <c:pt idx="97">
                  <c:v>43249.71875</c:v>
                </c:pt>
                <c:pt idx="98">
                  <c:v>43250.71875</c:v>
                </c:pt>
                <c:pt idx="99">
                  <c:v>43251.71875</c:v>
                </c:pt>
                <c:pt idx="100">
                  <c:v>43252.71875</c:v>
                </c:pt>
                <c:pt idx="101">
                  <c:v>43255.71875</c:v>
                </c:pt>
                <c:pt idx="102">
                  <c:v>43256.71875</c:v>
                </c:pt>
                <c:pt idx="103">
                  <c:v>43257.71875</c:v>
                </c:pt>
                <c:pt idx="104">
                  <c:v>43258.71875</c:v>
                </c:pt>
                <c:pt idx="105">
                  <c:v>43259.71875</c:v>
                </c:pt>
                <c:pt idx="106">
                  <c:v>43262.71875</c:v>
                </c:pt>
                <c:pt idx="107">
                  <c:v>43263.71875</c:v>
                </c:pt>
                <c:pt idx="108">
                  <c:v>43264.71875</c:v>
                </c:pt>
                <c:pt idx="109">
                  <c:v>43265.71875</c:v>
                </c:pt>
                <c:pt idx="110">
                  <c:v>43266.71875</c:v>
                </c:pt>
                <c:pt idx="111">
                  <c:v>43269.71875</c:v>
                </c:pt>
                <c:pt idx="112">
                  <c:v>43270.71875</c:v>
                </c:pt>
                <c:pt idx="113">
                  <c:v>43271.71875</c:v>
                </c:pt>
                <c:pt idx="114">
                  <c:v>43272.71875</c:v>
                </c:pt>
                <c:pt idx="115">
                  <c:v>43273.71875</c:v>
                </c:pt>
                <c:pt idx="116">
                  <c:v>43276.71875</c:v>
                </c:pt>
                <c:pt idx="117">
                  <c:v>43277.71875</c:v>
                </c:pt>
                <c:pt idx="118">
                  <c:v>43278.71875</c:v>
                </c:pt>
                <c:pt idx="119">
                  <c:v>43279.71875</c:v>
                </c:pt>
                <c:pt idx="120">
                  <c:v>43280.71875</c:v>
                </c:pt>
              </c:numCache>
            </c:numRef>
          </c:cat>
          <c:val>
            <c:numRef>
              <c:f>'5 index'!$O$18:$O$138</c:f>
              <c:numCache>
                <c:formatCode>#,##0.00</c:formatCode>
                <c:ptCount val="121"/>
                <c:pt idx="0">
                  <c:v>560.27</c:v>
                </c:pt>
                <c:pt idx="1">
                  <c:v>559.79</c:v>
                </c:pt>
                <c:pt idx="2">
                  <c:v>564.4</c:v>
                </c:pt>
                <c:pt idx="3">
                  <c:v>566.95000000000005</c:v>
                </c:pt>
                <c:pt idx="4">
                  <c:v>564.55999999999995</c:v>
                </c:pt>
                <c:pt idx="5">
                  <c:v>564.36</c:v>
                </c:pt>
                <c:pt idx="6">
                  <c:v>568.66999999999996</c:v>
                </c:pt>
                <c:pt idx="7">
                  <c:v>570.95000000000005</c:v>
                </c:pt>
                <c:pt idx="8">
                  <c:v>574.78</c:v>
                </c:pt>
                <c:pt idx="9">
                  <c:v>574.44000000000005</c:v>
                </c:pt>
                <c:pt idx="10">
                  <c:v>575.59</c:v>
                </c:pt>
                <c:pt idx="11">
                  <c:v>573.04999999999995</c:v>
                </c:pt>
                <c:pt idx="12">
                  <c:v>573.49</c:v>
                </c:pt>
                <c:pt idx="13">
                  <c:v>573.64</c:v>
                </c:pt>
                <c:pt idx="14">
                  <c:v>569.48</c:v>
                </c:pt>
                <c:pt idx="15">
                  <c:v>570.89</c:v>
                </c:pt>
                <c:pt idx="16">
                  <c:v>568.47</c:v>
                </c:pt>
                <c:pt idx="17">
                  <c:v>568.09</c:v>
                </c:pt>
                <c:pt idx="18">
                  <c:v>567.66999999999996</c:v>
                </c:pt>
                <c:pt idx="19">
                  <c:v>565.95000000000005</c:v>
                </c:pt>
                <c:pt idx="20">
                  <c:v>568.6</c:v>
                </c:pt>
                <c:pt idx="21">
                  <c:v>571.59</c:v>
                </c:pt>
                <c:pt idx="22">
                  <c:v>570.07000000000005</c:v>
                </c:pt>
                <c:pt idx="23">
                  <c:v>572.52</c:v>
                </c:pt>
                <c:pt idx="24">
                  <c:v>569.59</c:v>
                </c:pt>
                <c:pt idx="25">
                  <c:v>559.4</c:v>
                </c:pt>
                <c:pt idx="26">
                  <c:v>564.04999999999995</c:v>
                </c:pt>
                <c:pt idx="27">
                  <c:v>561.55999999999995</c:v>
                </c:pt>
                <c:pt idx="28">
                  <c:v>559.26</c:v>
                </c:pt>
                <c:pt idx="29">
                  <c:v>561.55999999999995</c:v>
                </c:pt>
                <c:pt idx="30">
                  <c:v>561.99</c:v>
                </c:pt>
                <c:pt idx="31">
                  <c:v>560.92999999999995</c:v>
                </c:pt>
                <c:pt idx="32">
                  <c:v>559.80999999999995</c:v>
                </c:pt>
                <c:pt idx="33">
                  <c:v>559.39</c:v>
                </c:pt>
                <c:pt idx="34">
                  <c:v>556.15</c:v>
                </c:pt>
                <c:pt idx="35">
                  <c:v>556.46</c:v>
                </c:pt>
                <c:pt idx="36">
                  <c:v>554.79</c:v>
                </c:pt>
                <c:pt idx="37">
                  <c:v>557.33000000000004</c:v>
                </c:pt>
                <c:pt idx="38">
                  <c:v>557.91999999999996</c:v>
                </c:pt>
                <c:pt idx="39">
                  <c:v>557.04999999999995</c:v>
                </c:pt>
                <c:pt idx="40">
                  <c:v>559.57000000000005</c:v>
                </c:pt>
                <c:pt idx="41">
                  <c:v>557.97</c:v>
                </c:pt>
                <c:pt idx="42">
                  <c:v>556.91</c:v>
                </c:pt>
                <c:pt idx="43">
                  <c:v>554.29</c:v>
                </c:pt>
                <c:pt idx="44">
                  <c:v>553.48</c:v>
                </c:pt>
                <c:pt idx="45">
                  <c:v>556.41999999999996</c:v>
                </c:pt>
                <c:pt idx="46">
                  <c:v>553.25</c:v>
                </c:pt>
                <c:pt idx="47">
                  <c:v>553.86</c:v>
                </c:pt>
                <c:pt idx="48">
                  <c:v>551.16999999999996</c:v>
                </c:pt>
                <c:pt idx="49">
                  <c:v>550.27</c:v>
                </c:pt>
                <c:pt idx="50">
                  <c:v>547.29999999999995</c:v>
                </c:pt>
                <c:pt idx="51">
                  <c:v>548.69000000000005</c:v>
                </c:pt>
                <c:pt idx="52">
                  <c:v>550.29</c:v>
                </c:pt>
                <c:pt idx="53">
                  <c:v>548.69000000000005</c:v>
                </c:pt>
                <c:pt idx="54">
                  <c:v>541.07000000000005</c:v>
                </c:pt>
                <c:pt idx="55">
                  <c:v>544.48</c:v>
                </c:pt>
                <c:pt idx="56">
                  <c:v>543.5</c:v>
                </c:pt>
                <c:pt idx="57">
                  <c:v>542.44000000000005</c:v>
                </c:pt>
                <c:pt idx="58">
                  <c:v>538.82000000000005</c:v>
                </c:pt>
                <c:pt idx="59">
                  <c:v>538.08000000000004</c:v>
                </c:pt>
                <c:pt idx="60">
                  <c:v>537.34</c:v>
                </c:pt>
                <c:pt idx="61">
                  <c:v>536.29</c:v>
                </c:pt>
                <c:pt idx="62">
                  <c:v>538.41</c:v>
                </c:pt>
                <c:pt idx="63">
                  <c:v>537.83000000000004</c:v>
                </c:pt>
                <c:pt idx="64">
                  <c:v>540.95000000000005</c:v>
                </c:pt>
                <c:pt idx="65">
                  <c:v>542.16999999999996</c:v>
                </c:pt>
                <c:pt idx="66">
                  <c:v>540.1</c:v>
                </c:pt>
                <c:pt idx="67">
                  <c:v>542.25</c:v>
                </c:pt>
                <c:pt idx="68">
                  <c:v>543.41</c:v>
                </c:pt>
                <c:pt idx="69">
                  <c:v>541.72</c:v>
                </c:pt>
                <c:pt idx="70">
                  <c:v>542.79</c:v>
                </c:pt>
                <c:pt idx="71">
                  <c:v>543.34</c:v>
                </c:pt>
                <c:pt idx="72">
                  <c:v>543.66</c:v>
                </c:pt>
                <c:pt idx="73">
                  <c:v>540.6</c:v>
                </c:pt>
                <c:pt idx="74">
                  <c:v>542.83000000000004</c:v>
                </c:pt>
                <c:pt idx="75">
                  <c:v>541.79999999999995</c:v>
                </c:pt>
                <c:pt idx="76">
                  <c:v>542.45000000000005</c:v>
                </c:pt>
                <c:pt idx="77">
                  <c:v>541.58000000000004</c:v>
                </c:pt>
                <c:pt idx="78">
                  <c:v>541.70000000000005</c:v>
                </c:pt>
                <c:pt idx="79">
                  <c:v>540.35</c:v>
                </c:pt>
                <c:pt idx="80">
                  <c:v>539.72</c:v>
                </c:pt>
                <c:pt idx="81">
                  <c:v>540.37</c:v>
                </c:pt>
                <c:pt idx="82">
                  <c:v>538.45000000000005</c:v>
                </c:pt>
                <c:pt idx="83">
                  <c:v>538.91</c:v>
                </c:pt>
                <c:pt idx="84">
                  <c:v>537.16</c:v>
                </c:pt>
                <c:pt idx="85">
                  <c:v>536.82000000000005</c:v>
                </c:pt>
                <c:pt idx="86">
                  <c:v>535.35</c:v>
                </c:pt>
                <c:pt idx="87">
                  <c:v>534.77</c:v>
                </c:pt>
                <c:pt idx="88">
                  <c:v>533.64</c:v>
                </c:pt>
                <c:pt idx="89">
                  <c:v>532.53</c:v>
                </c:pt>
                <c:pt idx="90">
                  <c:v>535.78</c:v>
                </c:pt>
                <c:pt idx="91">
                  <c:v>536.91999999999996</c:v>
                </c:pt>
                <c:pt idx="92">
                  <c:v>534.91999999999996</c:v>
                </c:pt>
                <c:pt idx="93">
                  <c:v>532.4</c:v>
                </c:pt>
                <c:pt idx="94">
                  <c:v>532.08000000000004</c:v>
                </c:pt>
                <c:pt idx="95">
                  <c:v>531.11</c:v>
                </c:pt>
                <c:pt idx="96">
                  <c:v>529.96</c:v>
                </c:pt>
                <c:pt idx="97">
                  <c:v>529.87</c:v>
                </c:pt>
                <c:pt idx="98">
                  <c:v>527.22</c:v>
                </c:pt>
                <c:pt idx="99">
                  <c:v>528.29999999999995</c:v>
                </c:pt>
                <c:pt idx="100">
                  <c:v>527.12</c:v>
                </c:pt>
                <c:pt idx="101">
                  <c:v>525.65</c:v>
                </c:pt>
                <c:pt idx="102">
                  <c:v>523.61</c:v>
                </c:pt>
                <c:pt idx="103">
                  <c:v>523.69000000000005</c:v>
                </c:pt>
                <c:pt idx="104">
                  <c:v>520.44000000000005</c:v>
                </c:pt>
                <c:pt idx="105">
                  <c:v>522.35</c:v>
                </c:pt>
                <c:pt idx="106">
                  <c:v>522.11</c:v>
                </c:pt>
                <c:pt idx="107">
                  <c:v>522.91999999999996</c:v>
                </c:pt>
                <c:pt idx="108">
                  <c:v>524.36</c:v>
                </c:pt>
                <c:pt idx="109">
                  <c:v>525.11</c:v>
                </c:pt>
                <c:pt idx="110">
                  <c:v>520.14</c:v>
                </c:pt>
                <c:pt idx="111">
                  <c:v>522.05999999999995</c:v>
                </c:pt>
                <c:pt idx="112">
                  <c:v>520.99</c:v>
                </c:pt>
                <c:pt idx="113">
                  <c:v>520.89</c:v>
                </c:pt>
                <c:pt idx="114">
                  <c:v>521.77</c:v>
                </c:pt>
                <c:pt idx="115">
                  <c:v>521.38</c:v>
                </c:pt>
                <c:pt idx="116">
                  <c:v>522.46</c:v>
                </c:pt>
                <c:pt idx="117">
                  <c:v>522.22</c:v>
                </c:pt>
                <c:pt idx="118">
                  <c:v>523.53</c:v>
                </c:pt>
                <c:pt idx="119">
                  <c:v>523.14</c:v>
                </c:pt>
                <c:pt idx="120">
                  <c:v>525.39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247-4E48-A454-8C33A0EF206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17950128"/>
        <c:axId val="1117949040"/>
      </c:areaChart>
      <c:dateAx>
        <c:axId val="1117950128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117949040"/>
        <c:crosses val="autoZero"/>
        <c:auto val="0"/>
        <c:lblOffset val="100"/>
        <c:baseTimeUnit val="days"/>
        <c:majorUnit val="7"/>
        <c:majorTimeUnit val="days"/>
      </c:dateAx>
      <c:valAx>
        <c:axId val="1117949040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117950128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index'!$R$17</c:f>
              <c:strCache>
                <c:ptCount val="1"/>
                <c:pt idx="0">
                  <c:v>BGBX40</c:v>
                </c:pt>
              </c:strCache>
            </c:strRef>
          </c:tx>
          <c:spPr>
            <a:pattFill prst="pct75">
              <a:fgClr>
                <a:srgbClr val="7030A0"/>
              </a:fgClr>
              <a:bgClr>
                <a:schemeClr val="bg1"/>
              </a:bgClr>
            </a:pattFill>
          </c:spPr>
          <c:cat>
            <c:numRef>
              <c:f>'5 index'!$S$18:$S$138</c:f>
              <c:numCache>
                <c:formatCode>m/d/yyyy</c:formatCode>
                <c:ptCount val="121"/>
                <c:pt idx="0">
                  <c:v>43102.71875</c:v>
                </c:pt>
                <c:pt idx="1">
                  <c:v>43103.71875</c:v>
                </c:pt>
                <c:pt idx="2">
                  <c:v>43104.71875</c:v>
                </c:pt>
                <c:pt idx="3">
                  <c:v>43105.71875</c:v>
                </c:pt>
                <c:pt idx="4">
                  <c:v>43108.71875</c:v>
                </c:pt>
                <c:pt idx="5">
                  <c:v>43109.71875</c:v>
                </c:pt>
                <c:pt idx="6">
                  <c:v>43110.71875</c:v>
                </c:pt>
                <c:pt idx="7">
                  <c:v>43111.71875</c:v>
                </c:pt>
                <c:pt idx="8">
                  <c:v>43112.71875</c:v>
                </c:pt>
                <c:pt idx="9">
                  <c:v>43115.71875</c:v>
                </c:pt>
                <c:pt idx="10">
                  <c:v>43116.71875</c:v>
                </c:pt>
                <c:pt idx="11">
                  <c:v>43117.71875</c:v>
                </c:pt>
                <c:pt idx="12">
                  <c:v>43118.71875</c:v>
                </c:pt>
                <c:pt idx="13">
                  <c:v>43119.71875</c:v>
                </c:pt>
                <c:pt idx="14">
                  <c:v>43122.71875</c:v>
                </c:pt>
                <c:pt idx="15">
                  <c:v>43123.71875</c:v>
                </c:pt>
                <c:pt idx="16">
                  <c:v>43124.71875</c:v>
                </c:pt>
                <c:pt idx="17">
                  <c:v>43125.71875</c:v>
                </c:pt>
                <c:pt idx="18">
                  <c:v>43126.71875</c:v>
                </c:pt>
                <c:pt idx="19">
                  <c:v>43129.71875</c:v>
                </c:pt>
                <c:pt idx="20">
                  <c:v>43130.71875</c:v>
                </c:pt>
                <c:pt idx="21">
                  <c:v>43131.71875</c:v>
                </c:pt>
                <c:pt idx="22">
                  <c:v>43132.71875</c:v>
                </c:pt>
                <c:pt idx="23">
                  <c:v>43133.71875</c:v>
                </c:pt>
                <c:pt idx="24">
                  <c:v>43136.71875</c:v>
                </c:pt>
                <c:pt idx="25">
                  <c:v>43137.71875</c:v>
                </c:pt>
                <c:pt idx="26">
                  <c:v>43138.71875</c:v>
                </c:pt>
                <c:pt idx="27">
                  <c:v>43139.71875</c:v>
                </c:pt>
                <c:pt idx="28">
                  <c:v>43140.71875</c:v>
                </c:pt>
                <c:pt idx="29">
                  <c:v>43143.71875</c:v>
                </c:pt>
                <c:pt idx="30">
                  <c:v>43144.71875</c:v>
                </c:pt>
                <c:pt idx="31">
                  <c:v>43145.71875</c:v>
                </c:pt>
                <c:pt idx="32">
                  <c:v>43146.71875</c:v>
                </c:pt>
                <c:pt idx="33">
                  <c:v>43147.71875</c:v>
                </c:pt>
                <c:pt idx="34">
                  <c:v>43150.71875</c:v>
                </c:pt>
                <c:pt idx="35">
                  <c:v>43151.71875</c:v>
                </c:pt>
                <c:pt idx="36">
                  <c:v>43152.71875</c:v>
                </c:pt>
                <c:pt idx="37">
                  <c:v>43153.71875</c:v>
                </c:pt>
                <c:pt idx="38">
                  <c:v>43154.71875</c:v>
                </c:pt>
                <c:pt idx="39">
                  <c:v>43157.71875</c:v>
                </c:pt>
                <c:pt idx="40">
                  <c:v>43158.71875</c:v>
                </c:pt>
                <c:pt idx="41">
                  <c:v>43159.71875</c:v>
                </c:pt>
                <c:pt idx="42">
                  <c:v>43160.71875</c:v>
                </c:pt>
                <c:pt idx="43">
                  <c:v>43161.71875</c:v>
                </c:pt>
                <c:pt idx="44">
                  <c:v>43165.71875</c:v>
                </c:pt>
                <c:pt idx="45">
                  <c:v>43166.71875</c:v>
                </c:pt>
                <c:pt idx="46">
                  <c:v>43167.71875</c:v>
                </c:pt>
                <c:pt idx="47">
                  <c:v>43168.71875</c:v>
                </c:pt>
                <c:pt idx="48">
                  <c:v>43171.71875</c:v>
                </c:pt>
                <c:pt idx="49">
                  <c:v>43172.71875</c:v>
                </c:pt>
                <c:pt idx="50">
                  <c:v>43173.71875</c:v>
                </c:pt>
                <c:pt idx="51">
                  <c:v>43174.71875</c:v>
                </c:pt>
                <c:pt idx="52">
                  <c:v>43175.71875</c:v>
                </c:pt>
                <c:pt idx="53">
                  <c:v>43178.71875</c:v>
                </c:pt>
                <c:pt idx="54">
                  <c:v>43179.71875</c:v>
                </c:pt>
                <c:pt idx="55">
                  <c:v>43180.71875</c:v>
                </c:pt>
                <c:pt idx="56">
                  <c:v>43181.71875</c:v>
                </c:pt>
                <c:pt idx="57">
                  <c:v>43182.71875</c:v>
                </c:pt>
                <c:pt idx="58">
                  <c:v>43185.71875</c:v>
                </c:pt>
                <c:pt idx="59">
                  <c:v>43186.71875</c:v>
                </c:pt>
                <c:pt idx="60">
                  <c:v>43187.71875</c:v>
                </c:pt>
                <c:pt idx="61">
                  <c:v>43188.71875</c:v>
                </c:pt>
                <c:pt idx="62">
                  <c:v>43193.71875</c:v>
                </c:pt>
                <c:pt idx="63">
                  <c:v>43194.71875</c:v>
                </c:pt>
                <c:pt idx="64">
                  <c:v>43195.71875</c:v>
                </c:pt>
                <c:pt idx="65">
                  <c:v>43200.71875</c:v>
                </c:pt>
                <c:pt idx="66">
                  <c:v>43201.71875</c:v>
                </c:pt>
                <c:pt idx="67">
                  <c:v>43202.71875</c:v>
                </c:pt>
                <c:pt idx="68">
                  <c:v>43203.71875</c:v>
                </c:pt>
                <c:pt idx="69">
                  <c:v>43206.71875</c:v>
                </c:pt>
                <c:pt idx="70">
                  <c:v>43207.71875</c:v>
                </c:pt>
                <c:pt idx="71">
                  <c:v>43208.71875</c:v>
                </c:pt>
                <c:pt idx="72">
                  <c:v>43209.71875</c:v>
                </c:pt>
                <c:pt idx="73">
                  <c:v>43210.71875</c:v>
                </c:pt>
                <c:pt idx="74">
                  <c:v>43213.71875</c:v>
                </c:pt>
                <c:pt idx="75">
                  <c:v>43214.71875</c:v>
                </c:pt>
                <c:pt idx="76">
                  <c:v>43215.71875</c:v>
                </c:pt>
                <c:pt idx="77">
                  <c:v>43216.71875</c:v>
                </c:pt>
                <c:pt idx="78">
                  <c:v>43217.71875</c:v>
                </c:pt>
                <c:pt idx="79">
                  <c:v>43220.71875</c:v>
                </c:pt>
                <c:pt idx="80">
                  <c:v>43222.71875</c:v>
                </c:pt>
                <c:pt idx="81">
                  <c:v>43223.71875</c:v>
                </c:pt>
                <c:pt idx="82">
                  <c:v>43224.71875</c:v>
                </c:pt>
                <c:pt idx="83">
                  <c:v>43228.71875</c:v>
                </c:pt>
                <c:pt idx="84">
                  <c:v>43229.71875</c:v>
                </c:pt>
                <c:pt idx="85">
                  <c:v>43230.71875</c:v>
                </c:pt>
                <c:pt idx="86">
                  <c:v>43231.71875</c:v>
                </c:pt>
                <c:pt idx="87">
                  <c:v>43234.71875</c:v>
                </c:pt>
                <c:pt idx="88">
                  <c:v>43235.71875</c:v>
                </c:pt>
                <c:pt idx="89">
                  <c:v>43236.71875</c:v>
                </c:pt>
                <c:pt idx="90">
                  <c:v>43237.71875</c:v>
                </c:pt>
                <c:pt idx="91">
                  <c:v>43238.71875</c:v>
                </c:pt>
                <c:pt idx="92">
                  <c:v>43241.71875</c:v>
                </c:pt>
                <c:pt idx="93">
                  <c:v>43242.71875</c:v>
                </c:pt>
                <c:pt idx="94">
                  <c:v>43243.71875</c:v>
                </c:pt>
                <c:pt idx="95">
                  <c:v>43245.71875</c:v>
                </c:pt>
                <c:pt idx="96">
                  <c:v>43248.71875</c:v>
                </c:pt>
                <c:pt idx="97">
                  <c:v>43249.71875</c:v>
                </c:pt>
                <c:pt idx="98">
                  <c:v>43250.71875</c:v>
                </c:pt>
                <c:pt idx="99">
                  <c:v>43251.71875</c:v>
                </c:pt>
                <c:pt idx="100">
                  <c:v>43252.71875</c:v>
                </c:pt>
                <c:pt idx="101">
                  <c:v>43255.71875</c:v>
                </c:pt>
                <c:pt idx="102">
                  <c:v>43256.71875</c:v>
                </c:pt>
                <c:pt idx="103">
                  <c:v>43257.71875</c:v>
                </c:pt>
                <c:pt idx="104">
                  <c:v>43258.71875</c:v>
                </c:pt>
                <c:pt idx="105">
                  <c:v>43259.71875</c:v>
                </c:pt>
                <c:pt idx="106">
                  <c:v>43262.71875</c:v>
                </c:pt>
                <c:pt idx="107">
                  <c:v>43263.71875</c:v>
                </c:pt>
                <c:pt idx="108">
                  <c:v>43264.71875</c:v>
                </c:pt>
                <c:pt idx="109">
                  <c:v>43265.71875</c:v>
                </c:pt>
                <c:pt idx="110">
                  <c:v>43266.71875</c:v>
                </c:pt>
                <c:pt idx="111">
                  <c:v>43269.71875</c:v>
                </c:pt>
                <c:pt idx="112">
                  <c:v>43270.71875</c:v>
                </c:pt>
                <c:pt idx="113">
                  <c:v>43271.71875</c:v>
                </c:pt>
                <c:pt idx="114">
                  <c:v>43272.71875</c:v>
                </c:pt>
                <c:pt idx="115">
                  <c:v>43273.71875</c:v>
                </c:pt>
                <c:pt idx="116">
                  <c:v>43276.71875</c:v>
                </c:pt>
                <c:pt idx="117">
                  <c:v>43277.71875</c:v>
                </c:pt>
                <c:pt idx="118">
                  <c:v>43278.71875</c:v>
                </c:pt>
                <c:pt idx="119">
                  <c:v>43279.71875</c:v>
                </c:pt>
                <c:pt idx="120">
                  <c:v>43280.71875</c:v>
                </c:pt>
              </c:numCache>
            </c:numRef>
          </c:cat>
          <c:val>
            <c:numRef>
              <c:f>'5 index'!$T$18:$T$138</c:f>
              <c:numCache>
                <c:formatCode>#,##0.00</c:formatCode>
                <c:ptCount val="121"/>
                <c:pt idx="0">
                  <c:v>133</c:v>
                </c:pt>
                <c:pt idx="1">
                  <c:v>132.66999999999999</c:v>
                </c:pt>
                <c:pt idx="2">
                  <c:v>134.38</c:v>
                </c:pt>
                <c:pt idx="3">
                  <c:v>134.97999999999999</c:v>
                </c:pt>
                <c:pt idx="4">
                  <c:v>134.56</c:v>
                </c:pt>
                <c:pt idx="5">
                  <c:v>134.19999999999999</c:v>
                </c:pt>
                <c:pt idx="6">
                  <c:v>135.59</c:v>
                </c:pt>
                <c:pt idx="7">
                  <c:v>136.34</c:v>
                </c:pt>
                <c:pt idx="8">
                  <c:v>137.47999999999999</c:v>
                </c:pt>
                <c:pt idx="9">
                  <c:v>137.71</c:v>
                </c:pt>
                <c:pt idx="10">
                  <c:v>138.25</c:v>
                </c:pt>
                <c:pt idx="11">
                  <c:v>137.4</c:v>
                </c:pt>
                <c:pt idx="12">
                  <c:v>137.63</c:v>
                </c:pt>
                <c:pt idx="13">
                  <c:v>137.78</c:v>
                </c:pt>
                <c:pt idx="14">
                  <c:v>137.29</c:v>
                </c:pt>
                <c:pt idx="15">
                  <c:v>137.51</c:v>
                </c:pt>
                <c:pt idx="16">
                  <c:v>137.66</c:v>
                </c:pt>
                <c:pt idx="17">
                  <c:v>137.68</c:v>
                </c:pt>
                <c:pt idx="18">
                  <c:v>137.91</c:v>
                </c:pt>
                <c:pt idx="19">
                  <c:v>137.81</c:v>
                </c:pt>
                <c:pt idx="20">
                  <c:v>137.85</c:v>
                </c:pt>
                <c:pt idx="21">
                  <c:v>138.22999999999999</c:v>
                </c:pt>
                <c:pt idx="22">
                  <c:v>137.82</c:v>
                </c:pt>
                <c:pt idx="23">
                  <c:v>138.82</c:v>
                </c:pt>
                <c:pt idx="24">
                  <c:v>137.69999999999999</c:v>
                </c:pt>
                <c:pt idx="25">
                  <c:v>133.83000000000001</c:v>
                </c:pt>
                <c:pt idx="26">
                  <c:v>135.62</c:v>
                </c:pt>
                <c:pt idx="27">
                  <c:v>135.37</c:v>
                </c:pt>
                <c:pt idx="28">
                  <c:v>134.57</c:v>
                </c:pt>
                <c:pt idx="29">
                  <c:v>135.05000000000001</c:v>
                </c:pt>
                <c:pt idx="30">
                  <c:v>135.09</c:v>
                </c:pt>
                <c:pt idx="31">
                  <c:v>134.74</c:v>
                </c:pt>
                <c:pt idx="32">
                  <c:v>134.22</c:v>
                </c:pt>
                <c:pt idx="33">
                  <c:v>134.80000000000001</c:v>
                </c:pt>
                <c:pt idx="34">
                  <c:v>133.94999999999999</c:v>
                </c:pt>
                <c:pt idx="35">
                  <c:v>134.29</c:v>
                </c:pt>
                <c:pt idx="36">
                  <c:v>134.02000000000001</c:v>
                </c:pt>
                <c:pt idx="37">
                  <c:v>134.1</c:v>
                </c:pt>
                <c:pt idx="38">
                  <c:v>133.71</c:v>
                </c:pt>
                <c:pt idx="39">
                  <c:v>133.66999999999999</c:v>
                </c:pt>
                <c:pt idx="40">
                  <c:v>134.21</c:v>
                </c:pt>
                <c:pt idx="41">
                  <c:v>133.30000000000001</c:v>
                </c:pt>
                <c:pt idx="42">
                  <c:v>134.15</c:v>
                </c:pt>
                <c:pt idx="43">
                  <c:v>133.61000000000001</c:v>
                </c:pt>
                <c:pt idx="44">
                  <c:v>133.4</c:v>
                </c:pt>
                <c:pt idx="45">
                  <c:v>134.01</c:v>
                </c:pt>
                <c:pt idx="46">
                  <c:v>133.36000000000001</c:v>
                </c:pt>
                <c:pt idx="47">
                  <c:v>133.54</c:v>
                </c:pt>
                <c:pt idx="48">
                  <c:v>132.56</c:v>
                </c:pt>
                <c:pt idx="49">
                  <c:v>132.1</c:v>
                </c:pt>
                <c:pt idx="50">
                  <c:v>131.63</c:v>
                </c:pt>
                <c:pt idx="51">
                  <c:v>131.78</c:v>
                </c:pt>
                <c:pt idx="52">
                  <c:v>132.94999999999999</c:v>
                </c:pt>
                <c:pt idx="53">
                  <c:v>131.74</c:v>
                </c:pt>
                <c:pt idx="54">
                  <c:v>130.21</c:v>
                </c:pt>
                <c:pt idx="55">
                  <c:v>131.52000000000001</c:v>
                </c:pt>
                <c:pt idx="56">
                  <c:v>131.16</c:v>
                </c:pt>
                <c:pt idx="57">
                  <c:v>130.52000000000001</c:v>
                </c:pt>
                <c:pt idx="58">
                  <c:v>129.72</c:v>
                </c:pt>
                <c:pt idx="59">
                  <c:v>129.96</c:v>
                </c:pt>
                <c:pt idx="60">
                  <c:v>129.46</c:v>
                </c:pt>
                <c:pt idx="61">
                  <c:v>128.54</c:v>
                </c:pt>
                <c:pt idx="62">
                  <c:v>129.57</c:v>
                </c:pt>
                <c:pt idx="63">
                  <c:v>129.65</c:v>
                </c:pt>
                <c:pt idx="64">
                  <c:v>130.34</c:v>
                </c:pt>
                <c:pt idx="65">
                  <c:v>131.1</c:v>
                </c:pt>
                <c:pt idx="66">
                  <c:v>130.36000000000001</c:v>
                </c:pt>
                <c:pt idx="67">
                  <c:v>130.63999999999999</c:v>
                </c:pt>
                <c:pt idx="68">
                  <c:v>130.87</c:v>
                </c:pt>
                <c:pt idx="69">
                  <c:v>130.69999999999999</c:v>
                </c:pt>
                <c:pt idx="70">
                  <c:v>130.76</c:v>
                </c:pt>
                <c:pt idx="71">
                  <c:v>130.69999999999999</c:v>
                </c:pt>
                <c:pt idx="72">
                  <c:v>130.66999999999999</c:v>
                </c:pt>
                <c:pt idx="73">
                  <c:v>129.86000000000001</c:v>
                </c:pt>
                <c:pt idx="74">
                  <c:v>130.21</c:v>
                </c:pt>
                <c:pt idx="75">
                  <c:v>130.24</c:v>
                </c:pt>
                <c:pt idx="76">
                  <c:v>130.75</c:v>
                </c:pt>
                <c:pt idx="77">
                  <c:v>130.62</c:v>
                </c:pt>
                <c:pt idx="78">
                  <c:v>130.34</c:v>
                </c:pt>
                <c:pt idx="79">
                  <c:v>129.94999999999999</c:v>
                </c:pt>
                <c:pt idx="80">
                  <c:v>129.41</c:v>
                </c:pt>
                <c:pt idx="81">
                  <c:v>129.91999999999999</c:v>
                </c:pt>
                <c:pt idx="82">
                  <c:v>129.16999999999999</c:v>
                </c:pt>
                <c:pt idx="83">
                  <c:v>129.04</c:v>
                </c:pt>
                <c:pt idx="84">
                  <c:v>128.66</c:v>
                </c:pt>
                <c:pt idx="85">
                  <c:v>128.66999999999999</c:v>
                </c:pt>
                <c:pt idx="86">
                  <c:v>128.13999999999999</c:v>
                </c:pt>
                <c:pt idx="87">
                  <c:v>127.9</c:v>
                </c:pt>
                <c:pt idx="88">
                  <c:v>127.63</c:v>
                </c:pt>
                <c:pt idx="89">
                  <c:v>127.66</c:v>
                </c:pt>
                <c:pt idx="90">
                  <c:v>128.65</c:v>
                </c:pt>
                <c:pt idx="91">
                  <c:v>128.62</c:v>
                </c:pt>
                <c:pt idx="92">
                  <c:v>127.87</c:v>
                </c:pt>
                <c:pt idx="93">
                  <c:v>127.78</c:v>
                </c:pt>
                <c:pt idx="94">
                  <c:v>127.55</c:v>
                </c:pt>
                <c:pt idx="95">
                  <c:v>127.44</c:v>
                </c:pt>
                <c:pt idx="96">
                  <c:v>126.91</c:v>
                </c:pt>
                <c:pt idx="97">
                  <c:v>126.77</c:v>
                </c:pt>
                <c:pt idx="98">
                  <c:v>126.13</c:v>
                </c:pt>
                <c:pt idx="99">
                  <c:v>126.32</c:v>
                </c:pt>
                <c:pt idx="100">
                  <c:v>126.26</c:v>
                </c:pt>
                <c:pt idx="101">
                  <c:v>126.19</c:v>
                </c:pt>
                <c:pt idx="102">
                  <c:v>125.38</c:v>
                </c:pt>
                <c:pt idx="103">
                  <c:v>125.45</c:v>
                </c:pt>
                <c:pt idx="104">
                  <c:v>125.04</c:v>
                </c:pt>
                <c:pt idx="105">
                  <c:v>125.12</c:v>
                </c:pt>
                <c:pt idx="106">
                  <c:v>124.41</c:v>
                </c:pt>
                <c:pt idx="107">
                  <c:v>124.63</c:v>
                </c:pt>
                <c:pt idx="108">
                  <c:v>125.6</c:v>
                </c:pt>
                <c:pt idx="109">
                  <c:v>125.88</c:v>
                </c:pt>
                <c:pt idx="110">
                  <c:v>124.08</c:v>
                </c:pt>
                <c:pt idx="111">
                  <c:v>124.51</c:v>
                </c:pt>
                <c:pt idx="112">
                  <c:v>124.19</c:v>
                </c:pt>
                <c:pt idx="113">
                  <c:v>124.18</c:v>
                </c:pt>
                <c:pt idx="114">
                  <c:v>124.32</c:v>
                </c:pt>
                <c:pt idx="115">
                  <c:v>124.26</c:v>
                </c:pt>
                <c:pt idx="116">
                  <c:v>124.59</c:v>
                </c:pt>
                <c:pt idx="117">
                  <c:v>124.36</c:v>
                </c:pt>
                <c:pt idx="118">
                  <c:v>125.12</c:v>
                </c:pt>
                <c:pt idx="119">
                  <c:v>124.73</c:v>
                </c:pt>
                <c:pt idx="120">
                  <c:v>124.9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618-46E5-9DF3-D49ED749B71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17931088"/>
        <c:axId val="1117939792"/>
      </c:areaChart>
      <c:dateAx>
        <c:axId val="1117931088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117939792"/>
        <c:crosses val="autoZero"/>
        <c:auto val="0"/>
        <c:lblOffset val="100"/>
        <c:baseTimeUnit val="days"/>
        <c:majorUnit val="7"/>
        <c:majorTimeUnit val="days"/>
      </c:dateAx>
      <c:valAx>
        <c:axId val="1117939792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117931088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index'!$H$17</c:f>
              <c:strCache>
                <c:ptCount val="1"/>
                <c:pt idx="0">
                  <c:v>BGREIT</c:v>
                </c:pt>
              </c:strCache>
            </c:strRef>
          </c:tx>
          <c:spPr>
            <a:pattFill prst="pct75">
              <a:fgClr>
                <a:srgbClr val="92D050"/>
              </a:fgClr>
              <a:bgClr>
                <a:schemeClr val="bg1"/>
              </a:bgClr>
            </a:pattFill>
          </c:spPr>
          <c:cat>
            <c:numRef>
              <c:f>'5 index'!$I$18:$I$138</c:f>
              <c:numCache>
                <c:formatCode>m/d/yyyy</c:formatCode>
                <c:ptCount val="121"/>
                <c:pt idx="0">
                  <c:v>43102.71875</c:v>
                </c:pt>
                <c:pt idx="1">
                  <c:v>43103.71875</c:v>
                </c:pt>
                <c:pt idx="2">
                  <c:v>43104.71875</c:v>
                </c:pt>
                <c:pt idx="3">
                  <c:v>43105.71875</c:v>
                </c:pt>
                <c:pt idx="4">
                  <c:v>43108.71875</c:v>
                </c:pt>
                <c:pt idx="5">
                  <c:v>43109.71875</c:v>
                </c:pt>
                <c:pt idx="6">
                  <c:v>43110.71875</c:v>
                </c:pt>
                <c:pt idx="7">
                  <c:v>43111.71875</c:v>
                </c:pt>
                <c:pt idx="8">
                  <c:v>43112.71875</c:v>
                </c:pt>
                <c:pt idx="9">
                  <c:v>43115.71875</c:v>
                </c:pt>
                <c:pt idx="10">
                  <c:v>43116.71875</c:v>
                </c:pt>
                <c:pt idx="11">
                  <c:v>43117.71875</c:v>
                </c:pt>
                <c:pt idx="12">
                  <c:v>43118.71875</c:v>
                </c:pt>
                <c:pt idx="13">
                  <c:v>43119.71875</c:v>
                </c:pt>
                <c:pt idx="14">
                  <c:v>43122.71875</c:v>
                </c:pt>
                <c:pt idx="15">
                  <c:v>43123.71875</c:v>
                </c:pt>
                <c:pt idx="16">
                  <c:v>43124.71875</c:v>
                </c:pt>
                <c:pt idx="17">
                  <c:v>43125.71875</c:v>
                </c:pt>
                <c:pt idx="18">
                  <c:v>43126.71875</c:v>
                </c:pt>
                <c:pt idx="19">
                  <c:v>43129.71875</c:v>
                </c:pt>
                <c:pt idx="20">
                  <c:v>43130.71875</c:v>
                </c:pt>
                <c:pt idx="21">
                  <c:v>43131.71875</c:v>
                </c:pt>
                <c:pt idx="22">
                  <c:v>43132.71875</c:v>
                </c:pt>
                <c:pt idx="23">
                  <c:v>43133.71875</c:v>
                </c:pt>
                <c:pt idx="24">
                  <c:v>43136.71875</c:v>
                </c:pt>
                <c:pt idx="25">
                  <c:v>43137.71875</c:v>
                </c:pt>
                <c:pt idx="26">
                  <c:v>43138.71875</c:v>
                </c:pt>
                <c:pt idx="27">
                  <c:v>43139.71875</c:v>
                </c:pt>
                <c:pt idx="28">
                  <c:v>43140.71875</c:v>
                </c:pt>
                <c:pt idx="29">
                  <c:v>43143.71875</c:v>
                </c:pt>
                <c:pt idx="30">
                  <c:v>43144.71875</c:v>
                </c:pt>
                <c:pt idx="31">
                  <c:v>43145.71875</c:v>
                </c:pt>
                <c:pt idx="32">
                  <c:v>43146.71875</c:v>
                </c:pt>
                <c:pt idx="33">
                  <c:v>43147.71875</c:v>
                </c:pt>
                <c:pt idx="34">
                  <c:v>43150.71875</c:v>
                </c:pt>
                <c:pt idx="35">
                  <c:v>43151.71875</c:v>
                </c:pt>
                <c:pt idx="36">
                  <c:v>43152.71875</c:v>
                </c:pt>
                <c:pt idx="37">
                  <c:v>43153.71875</c:v>
                </c:pt>
                <c:pt idx="38">
                  <c:v>43154.71875</c:v>
                </c:pt>
                <c:pt idx="39">
                  <c:v>43157.71875</c:v>
                </c:pt>
                <c:pt idx="40">
                  <c:v>43158.71875</c:v>
                </c:pt>
                <c:pt idx="41">
                  <c:v>43159.71875</c:v>
                </c:pt>
                <c:pt idx="42">
                  <c:v>43160.71875</c:v>
                </c:pt>
                <c:pt idx="43">
                  <c:v>43161.71875</c:v>
                </c:pt>
                <c:pt idx="44">
                  <c:v>43165.71875</c:v>
                </c:pt>
                <c:pt idx="45">
                  <c:v>43166.71875</c:v>
                </c:pt>
                <c:pt idx="46">
                  <c:v>43167.71875</c:v>
                </c:pt>
                <c:pt idx="47">
                  <c:v>43168.71875</c:v>
                </c:pt>
                <c:pt idx="48">
                  <c:v>43171.71875</c:v>
                </c:pt>
                <c:pt idx="49">
                  <c:v>43172.71875</c:v>
                </c:pt>
                <c:pt idx="50">
                  <c:v>43173.71875</c:v>
                </c:pt>
                <c:pt idx="51">
                  <c:v>43174.71875</c:v>
                </c:pt>
                <c:pt idx="52">
                  <c:v>43175.71875</c:v>
                </c:pt>
                <c:pt idx="53">
                  <c:v>43178.71875</c:v>
                </c:pt>
                <c:pt idx="54">
                  <c:v>43179.71875</c:v>
                </c:pt>
                <c:pt idx="55">
                  <c:v>43180.71875</c:v>
                </c:pt>
                <c:pt idx="56">
                  <c:v>43181.71875</c:v>
                </c:pt>
                <c:pt idx="57">
                  <c:v>43182.71875</c:v>
                </c:pt>
                <c:pt idx="58">
                  <c:v>43185.71875</c:v>
                </c:pt>
                <c:pt idx="59">
                  <c:v>43186.71875</c:v>
                </c:pt>
                <c:pt idx="60">
                  <c:v>43187.71875</c:v>
                </c:pt>
                <c:pt idx="61">
                  <c:v>43188.71875</c:v>
                </c:pt>
                <c:pt idx="62">
                  <c:v>43193.71875</c:v>
                </c:pt>
                <c:pt idx="63">
                  <c:v>43194.71875</c:v>
                </c:pt>
                <c:pt idx="64">
                  <c:v>43195.71875</c:v>
                </c:pt>
                <c:pt idx="65">
                  <c:v>43200.71875</c:v>
                </c:pt>
                <c:pt idx="66">
                  <c:v>43201.71875</c:v>
                </c:pt>
                <c:pt idx="67">
                  <c:v>43202.71875</c:v>
                </c:pt>
                <c:pt idx="68">
                  <c:v>43203.71875</c:v>
                </c:pt>
                <c:pt idx="69">
                  <c:v>43206.71875</c:v>
                </c:pt>
                <c:pt idx="70">
                  <c:v>43207.71875</c:v>
                </c:pt>
                <c:pt idx="71">
                  <c:v>43208.71875</c:v>
                </c:pt>
                <c:pt idx="72">
                  <c:v>43209.71875</c:v>
                </c:pt>
                <c:pt idx="73">
                  <c:v>43210.71875</c:v>
                </c:pt>
                <c:pt idx="74">
                  <c:v>43213.71875</c:v>
                </c:pt>
                <c:pt idx="75">
                  <c:v>43214.71875</c:v>
                </c:pt>
                <c:pt idx="76">
                  <c:v>43215.71875</c:v>
                </c:pt>
                <c:pt idx="77">
                  <c:v>43216.71875</c:v>
                </c:pt>
                <c:pt idx="78">
                  <c:v>43217.71875</c:v>
                </c:pt>
                <c:pt idx="79">
                  <c:v>43220.71875</c:v>
                </c:pt>
                <c:pt idx="80">
                  <c:v>43222.71875</c:v>
                </c:pt>
                <c:pt idx="81">
                  <c:v>43223.71875</c:v>
                </c:pt>
                <c:pt idx="82">
                  <c:v>43224.71875</c:v>
                </c:pt>
                <c:pt idx="83">
                  <c:v>43228.71875</c:v>
                </c:pt>
                <c:pt idx="84">
                  <c:v>43229.71875</c:v>
                </c:pt>
                <c:pt idx="85">
                  <c:v>43230.71875</c:v>
                </c:pt>
                <c:pt idx="86">
                  <c:v>43231.71875</c:v>
                </c:pt>
                <c:pt idx="87">
                  <c:v>43234.71875</c:v>
                </c:pt>
                <c:pt idx="88">
                  <c:v>43235.71875</c:v>
                </c:pt>
                <c:pt idx="89">
                  <c:v>43236.71875</c:v>
                </c:pt>
                <c:pt idx="90">
                  <c:v>43237.71875</c:v>
                </c:pt>
                <c:pt idx="91">
                  <c:v>43238.71875</c:v>
                </c:pt>
                <c:pt idx="92">
                  <c:v>43241.71875</c:v>
                </c:pt>
                <c:pt idx="93">
                  <c:v>43242.71875</c:v>
                </c:pt>
                <c:pt idx="94">
                  <c:v>43243.71875</c:v>
                </c:pt>
                <c:pt idx="95">
                  <c:v>43245.71875</c:v>
                </c:pt>
                <c:pt idx="96">
                  <c:v>43248.71875</c:v>
                </c:pt>
                <c:pt idx="97">
                  <c:v>43249.71875</c:v>
                </c:pt>
                <c:pt idx="98">
                  <c:v>43250.71875</c:v>
                </c:pt>
                <c:pt idx="99">
                  <c:v>43251.71875</c:v>
                </c:pt>
                <c:pt idx="100">
                  <c:v>43252.71875</c:v>
                </c:pt>
                <c:pt idx="101">
                  <c:v>43255.71875</c:v>
                </c:pt>
                <c:pt idx="102">
                  <c:v>43256.71875</c:v>
                </c:pt>
                <c:pt idx="103">
                  <c:v>43257.71875</c:v>
                </c:pt>
                <c:pt idx="104">
                  <c:v>43258.71875</c:v>
                </c:pt>
                <c:pt idx="105">
                  <c:v>43259.71875</c:v>
                </c:pt>
                <c:pt idx="106">
                  <c:v>43262.71875</c:v>
                </c:pt>
                <c:pt idx="107">
                  <c:v>43263.71875</c:v>
                </c:pt>
                <c:pt idx="108">
                  <c:v>43264.71875</c:v>
                </c:pt>
                <c:pt idx="109">
                  <c:v>43265.71875</c:v>
                </c:pt>
                <c:pt idx="110">
                  <c:v>43266.71875</c:v>
                </c:pt>
                <c:pt idx="111">
                  <c:v>43269.71875</c:v>
                </c:pt>
                <c:pt idx="112">
                  <c:v>43270.71875</c:v>
                </c:pt>
                <c:pt idx="113">
                  <c:v>43271.71875</c:v>
                </c:pt>
                <c:pt idx="114">
                  <c:v>43272.71875</c:v>
                </c:pt>
                <c:pt idx="115">
                  <c:v>43273.71875</c:v>
                </c:pt>
                <c:pt idx="116">
                  <c:v>43276.71875</c:v>
                </c:pt>
                <c:pt idx="117">
                  <c:v>43277.71875</c:v>
                </c:pt>
                <c:pt idx="118">
                  <c:v>43278.71875</c:v>
                </c:pt>
                <c:pt idx="119">
                  <c:v>43279.71875</c:v>
                </c:pt>
                <c:pt idx="120">
                  <c:v>43280.71875</c:v>
                </c:pt>
              </c:numCache>
            </c:numRef>
          </c:cat>
          <c:val>
            <c:numRef>
              <c:f>'5 index'!$J$18:$J$138</c:f>
              <c:numCache>
                <c:formatCode>General</c:formatCode>
                <c:ptCount val="121"/>
                <c:pt idx="0">
                  <c:v>116.48</c:v>
                </c:pt>
                <c:pt idx="1">
                  <c:v>116.27</c:v>
                </c:pt>
                <c:pt idx="2">
                  <c:v>116.69</c:v>
                </c:pt>
                <c:pt idx="3">
                  <c:v>116.57</c:v>
                </c:pt>
                <c:pt idx="4">
                  <c:v>116.67</c:v>
                </c:pt>
                <c:pt idx="5">
                  <c:v>116.67</c:v>
                </c:pt>
                <c:pt idx="6">
                  <c:v>116.88</c:v>
                </c:pt>
                <c:pt idx="7">
                  <c:v>117.19</c:v>
                </c:pt>
                <c:pt idx="8">
                  <c:v>116.36</c:v>
                </c:pt>
                <c:pt idx="9">
                  <c:v>117.01</c:v>
                </c:pt>
                <c:pt idx="10">
                  <c:v>117.16</c:v>
                </c:pt>
                <c:pt idx="11">
                  <c:v>116.95</c:v>
                </c:pt>
                <c:pt idx="12">
                  <c:v>116.95</c:v>
                </c:pt>
                <c:pt idx="13">
                  <c:v>116.95</c:v>
                </c:pt>
                <c:pt idx="14">
                  <c:v>116.72</c:v>
                </c:pt>
                <c:pt idx="15">
                  <c:v>116.2</c:v>
                </c:pt>
                <c:pt idx="16">
                  <c:v>116.2</c:v>
                </c:pt>
                <c:pt idx="17">
                  <c:v>116.09</c:v>
                </c:pt>
                <c:pt idx="18">
                  <c:v>116.09</c:v>
                </c:pt>
                <c:pt idx="19">
                  <c:v>116.2</c:v>
                </c:pt>
                <c:pt idx="20">
                  <c:v>116.09</c:v>
                </c:pt>
                <c:pt idx="21">
                  <c:v>115.41</c:v>
                </c:pt>
                <c:pt idx="22">
                  <c:v>114.58</c:v>
                </c:pt>
                <c:pt idx="23">
                  <c:v>115.2</c:v>
                </c:pt>
                <c:pt idx="24">
                  <c:v>115.23</c:v>
                </c:pt>
                <c:pt idx="25">
                  <c:v>114.5</c:v>
                </c:pt>
                <c:pt idx="26">
                  <c:v>114.5</c:v>
                </c:pt>
                <c:pt idx="27">
                  <c:v>114.4</c:v>
                </c:pt>
                <c:pt idx="28">
                  <c:v>114.19</c:v>
                </c:pt>
                <c:pt idx="29">
                  <c:v>114.02</c:v>
                </c:pt>
                <c:pt idx="30">
                  <c:v>114.97</c:v>
                </c:pt>
                <c:pt idx="31">
                  <c:v>115.2</c:v>
                </c:pt>
                <c:pt idx="32">
                  <c:v>115.09</c:v>
                </c:pt>
                <c:pt idx="33">
                  <c:v>115.6</c:v>
                </c:pt>
                <c:pt idx="34">
                  <c:v>115.71</c:v>
                </c:pt>
                <c:pt idx="35">
                  <c:v>114.98</c:v>
                </c:pt>
                <c:pt idx="36">
                  <c:v>115.59</c:v>
                </c:pt>
                <c:pt idx="37">
                  <c:v>114.86</c:v>
                </c:pt>
                <c:pt idx="38">
                  <c:v>114.65</c:v>
                </c:pt>
                <c:pt idx="39">
                  <c:v>114.9</c:v>
                </c:pt>
                <c:pt idx="40">
                  <c:v>116.36</c:v>
                </c:pt>
                <c:pt idx="41">
                  <c:v>116.52</c:v>
                </c:pt>
                <c:pt idx="42">
                  <c:v>116</c:v>
                </c:pt>
                <c:pt idx="43">
                  <c:v>115.69</c:v>
                </c:pt>
                <c:pt idx="44">
                  <c:v>115.9</c:v>
                </c:pt>
                <c:pt idx="45">
                  <c:v>116.52</c:v>
                </c:pt>
                <c:pt idx="46">
                  <c:v>116.21</c:v>
                </c:pt>
                <c:pt idx="47">
                  <c:v>116.32</c:v>
                </c:pt>
                <c:pt idx="48">
                  <c:v>116.73</c:v>
                </c:pt>
                <c:pt idx="49">
                  <c:v>116.32</c:v>
                </c:pt>
                <c:pt idx="50">
                  <c:v>116.69</c:v>
                </c:pt>
                <c:pt idx="51">
                  <c:v>116.69</c:v>
                </c:pt>
                <c:pt idx="52">
                  <c:v>116.69</c:v>
                </c:pt>
                <c:pt idx="53">
                  <c:v>116.41</c:v>
                </c:pt>
                <c:pt idx="54">
                  <c:v>116</c:v>
                </c:pt>
                <c:pt idx="55">
                  <c:v>116.37</c:v>
                </c:pt>
                <c:pt idx="56">
                  <c:v>116.7</c:v>
                </c:pt>
                <c:pt idx="57">
                  <c:v>115.92</c:v>
                </c:pt>
                <c:pt idx="58">
                  <c:v>115.8</c:v>
                </c:pt>
                <c:pt idx="59">
                  <c:v>115.61</c:v>
                </c:pt>
                <c:pt idx="60">
                  <c:v>115.38</c:v>
                </c:pt>
                <c:pt idx="61">
                  <c:v>114.93</c:v>
                </c:pt>
                <c:pt idx="62">
                  <c:v>115.02</c:v>
                </c:pt>
                <c:pt idx="63">
                  <c:v>114.92</c:v>
                </c:pt>
                <c:pt idx="64">
                  <c:v>116.06</c:v>
                </c:pt>
                <c:pt idx="65">
                  <c:v>115.49</c:v>
                </c:pt>
                <c:pt idx="66">
                  <c:v>115.15</c:v>
                </c:pt>
                <c:pt idx="67">
                  <c:v>114.83</c:v>
                </c:pt>
                <c:pt idx="68">
                  <c:v>114.26</c:v>
                </c:pt>
                <c:pt idx="69">
                  <c:v>115.21</c:v>
                </c:pt>
                <c:pt idx="70">
                  <c:v>115.19</c:v>
                </c:pt>
                <c:pt idx="71">
                  <c:v>114.99</c:v>
                </c:pt>
                <c:pt idx="72">
                  <c:v>115.8</c:v>
                </c:pt>
                <c:pt idx="73">
                  <c:v>114.99</c:v>
                </c:pt>
                <c:pt idx="74">
                  <c:v>115.75</c:v>
                </c:pt>
                <c:pt idx="75">
                  <c:v>115.52</c:v>
                </c:pt>
                <c:pt idx="76">
                  <c:v>115.68</c:v>
                </c:pt>
                <c:pt idx="77">
                  <c:v>115.8</c:v>
                </c:pt>
                <c:pt idx="78">
                  <c:v>115.53</c:v>
                </c:pt>
                <c:pt idx="79">
                  <c:v>115.52</c:v>
                </c:pt>
                <c:pt idx="80">
                  <c:v>115.63</c:v>
                </c:pt>
                <c:pt idx="81">
                  <c:v>115.41</c:v>
                </c:pt>
                <c:pt idx="82">
                  <c:v>114.73</c:v>
                </c:pt>
                <c:pt idx="83">
                  <c:v>115.19</c:v>
                </c:pt>
                <c:pt idx="84">
                  <c:v>115.4</c:v>
                </c:pt>
                <c:pt idx="85">
                  <c:v>115.53</c:v>
                </c:pt>
                <c:pt idx="86">
                  <c:v>115.4</c:v>
                </c:pt>
                <c:pt idx="87">
                  <c:v>114.87</c:v>
                </c:pt>
                <c:pt idx="88">
                  <c:v>115.21</c:v>
                </c:pt>
                <c:pt idx="89">
                  <c:v>114.88</c:v>
                </c:pt>
                <c:pt idx="90">
                  <c:v>115.11</c:v>
                </c:pt>
                <c:pt idx="91">
                  <c:v>115.44</c:v>
                </c:pt>
                <c:pt idx="92">
                  <c:v>115.44</c:v>
                </c:pt>
                <c:pt idx="93">
                  <c:v>114.77</c:v>
                </c:pt>
                <c:pt idx="94">
                  <c:v>114.88</c:v>
                </c:pt>
                <c:pt idx="95">
                  <c:v>114.77</c:v>
                </c:pt>
                <c:pt idx="96">
                  <c:v>115.49</c:v>
                </c:pt>
                <c:pt idx="97">
                  <c:v>115.15</c:v>
                </c:pt>
                <c:pt idx="98">
                  <c:v>115.75</c:v>
                </c:pt>
                <c:pt idx="99">
                  <c:v>115.47</c:v>
                </c:pt>
                <c:pt idx="100">
                  <c:v>115.37</c:v>
                </c:pt>
                <c:pt idx="101">
                  <c:v>115.25</c:v>
                </c:pt>
                <c:pt idx="102">
                  <c:v>115.59</c:v>
                </c:pt>
                <c:pt idx="103">
                  <c:v>115.48</c:v>
                </c:pt>
                <c:pt idx="104">
                  <c:v>115.25</c:v>
                </c:pt>
                <c:pt idx="105">
                  <c:v>114.74</c:v>
                </c:pt>
                <c:pt idx="106">
                  <c:v>114.74</c:v>
                </c:pt>
                <c:pt idx="107">
                  <c:v>114.63</c:v>
                </c:pt>
                <c:pt idx="108">
                  <c:v>114.51</c:v>
                </c:pt>
                <c:pt idx="109">
                  <c:v>114.51</c:v>
                </c:pt>
                <c:pt idx="110">
                  <c:v>114.51</c:v>
                </c:pt>
                <c:pt idx="111">
                  <c:v>114.16</c:v>
                </c:pt>
                <c:pt idx="112">
                  <c:v>114.29</c:v>
                </c:pt>
                <c:pt idx="113">
                  <c:v>114.53</c:v>
                </c:pt>
                <c:pt idx="114">
                  <c:v>114.65</c:v>
                </c:pt>
                <c:pt idx="115">
                  <c:v>115.16</c:v>
                </c:pt>
                <c:pt idx="116">
                  <c:v>115.4</c:v>
                </c:pt>
                <c:pt idx="117">
                  <c:v>114.87</c:v>
                </c:pt>
                <c:pt idx="118">
                  <c:v>115.16</c:v>
                </c:pt>
                <c:pt idx="119">
                  <c:v>115.48</c:v>
                </c:pt>
                <c:pt idx="120">
                  <c:v>116.21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B87-4BD7-BB1E-883D4F22045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17943600"/>
        <c:axId val="1117959376"/>
      </c:areaChart>
      <c:dateAx>
        <c:axId val="1117943600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117959376"/>
        <c:crosses val="autoZero"/>
        <c:auto val="0"/>
        <c:lblOffset val="100"/>
        <c:baseTimeUnit val="days"/>
        <c:majorUnit val="7"/>
        <c:majorTimeUnit val="days"/>
      </c:dateAx>
      <c:valAx>
        <c:axId val="1117959376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117943600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5181725266306893E-2"/>
          <c:y val="5.8418015584716487E-2"/>
          <c:w val="0.85671872265966753"/>
          <c:h val="0.748627477128893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'7 BSO'!$D$17</c:f>
              <c:strCache>
                <c:ptCount val="1"/>
                <c:pt idx="0">
                  <c:v>Обем (лотове)</c:v>
                </c:pt>
              </c:strCache>
            </c:strRef>
          </c:tx>
          <c:invertIfNegative val="0"/>
          <c:cat>
            <c:numRef>
              <c:f>'7 BSO'!$C$19:$C$385</c:f>
              <c:numCache>
                <c:formatCode>m/d/yyyy</c:formatCode>
                <c:ptCount val="367"/>
                <c:pt idx="0">
                  <c:v>42917</c:v>
                </c:pt>
                <c:pt idx="1">
                  <c:v>42918</c:v>
                </c:pt>
                <c:pt idx="2">
                  <c:v>42919</c:v>
                </c:pt>
                <c:pt idx="3">
                  <c:v>42920</c:v>
                </c:pt>
                <c:pt idx="4">
                  <c:v>42921</c:v>
                </c:pt>
                <c:pt idx="5">
                  <c:v>42922</c:v>
                </c:pt>
                <c:pt idx="6">
                  <c:v>42923</c:v>
                </c:pt>
                <c:pt idx="7">
                  <c:v>42924</c:v>
                </c:pt>
                <c:pt idx="8">
                  <c:v>42925</c:v>
                </c:pt>
                <c:pt idx="9">
                  <c:v>42926</c:v>
                </c:pt>
                <c:pt idx="10">
                  <c:v>42927</c:v>
                </c:pt>
                <c:pt idx="11">
                  <c:v>42928</c:v>
                </c:pt>
                <c:pt idx="12">
                  <c:v>42929</c:v>
                </c:pt>
                <c:pt idx="13">
                  <c:v>42930</c:v>
                </c:pt>
                <c:pt idx="14">
                  <c:v>42931</c:v>
                </c:pt>
                <c:pt idx="15">
                  <c:v>42932</c:v>
                </c:pt>
                <c:pt idx="16">
                  <c:v>42933</c:v>
                </c:pt>
                <c:pt idx="17">
                  <c:v>42934</c:v>
                </c:pt>
                <c:pt idx="18">
                  <c:v>42935</c:v>
                </c:pt>
                <c:pt idx="19">
                  <c:v>42936</c:v>
                </c:pt>
                <c:pt idx="20">
                  <c:v>42937</c:v>
                </c:pt>
                <c:pt idx="21">
                  <c:v>42938</c:v>
                </c:pt>
                <c:pt idx="22">
                  <c:v>42939</c:v>
                </c:pt>
                <c:pt idx="23">
                  <c:v>42940</c:v>
                </c:pt>
                <c:pt idx="24">
                  <c:v>42941</c:v>
                </c:pt>
                <c:pt idx="25">
                  <c:v>42942</c:v>
                </c:pt>
                <c:pt idx="26">
                  <c:v>42943</c:v>
                </c:pt>
                <c:pt idx="27">
                  <c:v>42944</c:v>
                </c:pt>
                <c:pt idx="28">
                  <c:v>42945</c:v>
                </c:pt>
                <c:pt idx="29">
                  <c:v>42946</c:v>
                </c:pt>
                <c:pt idx="30">
                  <c:v>42947</c:v>
                </c:pt>
                <c:pt idx="31">
                  <c:v>42948</c:v>
                </c:pt>
                <c:pt idx="32">
                  <c:v>42949</c:v>
                </c:pt>
                <c:pt idx="33">
                  <c:v>42950</c:v>
                </c:pt>
                <c:pt idx="34">
                  <c:v>42951</c:v>
                </c:pt>
                <c:pt idx="35">
                  <c:v>42952</c:v>
                </c:pt>
                <c:pt idx="36">
                  <c:v>42953</c:v>
                </c:pt>
                <c:pt idx="37">
                  <c:v>42954</c:v>
                </c:pt>
                <c:pt idx="38">
                  <c:v>42955</c:v>
                </c:pt>
                <c:pt idx="39">
                  <c:v>42956</c:v>
                </c:pt>
                <c:pt idx="40">
                  <c:v>42957</c:v>
                </c:pt>
                <c:pt idx="41">
                  <c:v>42958</c:v>
                </c:pt>
                <c:pt idx="42">
                  <c:v>42959</c:v>
                </c:pt>
                <c:pt idx="43">
                  <c:v>42960</c:v>
                </c:pt>
                <c:pt idx="44">
                  <c:v>42961</c:v>
                </c:pt>
                <c:pt idx="45">
                  <c:v>42962</c:v>
                </c:pt>
                <c:pt idx="46">
                  <c:v>42963</c:v>
                </c:pt>
                <c:pt idx="47">
                  <c:v>42964</c:v>
                </c:pt>
                <c:pt idx="48">
                  <c:v>42965</c:v>
                </c:pt>
                <c:pt idx="49">
                  <c:v>42966</c:v>
                </c:pt>
                <c:pt idx="50">
                  <c:v>42967</c:v>
                </c:pt>
                <c:pt idx="51">
                  <c:v>42968</c:v>
                </c:pt>
                <c:pt idx="52">
                  <c:v>42969</c:v>
                </c:pt>
                <c:pt idx="53">
                  <c:v>42970</c:v>
                </c:pt>
                <c:pt idx="54">
                  <c:v>42971</c:v>
                </c:pt>
                <c:pt idx="55">
                  <c:v>42972</c:v>
                </c:pt>
                <c:pt idx="56">
                  <c:v>42973</c:v>
                </c:pt>
                <c:pt idx="57">
                  <c:v>42974</c:v>
                </c:pt>
                <c:pt idx="58">
                  <c:v>42975</c:v>
                </c:pt>
                <c:pt idx="59">
                  <c:v>42976</c:v>
                </c:pt>
                <c:pt idx="60">
                  <c:v>42977</c:v>
                </c:pt>
                <c:pt idx="61">
                  <c:v>42978</c:v>
                </c:pt>
                <c:pt idx="62">
                  <c:v>42979</c:v>
                </c:pt>
                <c:pt idx="63">
                  <c:v>42980</c:v>
                </c:pt>
                <c:pt idx="64">
                  <c:v>42981</c:v>
                </c:pt>
                <c:pt idx="65">
                  <c:v>42982</c:v>
                </c:pt>
                <c:pt idx="66">
                  <c:v>42983</c:v>
                </c:pt>
                <c:pt idx="67">
                  <c:v>42984</c:v>
                </c:pt>
                <c:pt idx="68">
                  <c:v>42985</c:v>
                </c:pt>
                <c:pt idx="69">
                  <c:v>42986</c:v>
                </c:pt>
                <c:pt idx="70">
                  <c:v>42987</c:v>
                </c:pt>
                <c:pt idx="71">
                  <c:v>42988</c:v>
                </c:pt>
                <c:pt idx="72">
                  <c:v>42989</c:v>
                </c:pt>
                <c:pt idx="73">
                  <c:v>42990</c:v>
                </c:pt>
                <c:pt idx="74">
                  <c:v>42991</c:v>
                </c:pt>
                <c:pt idx="75">
                  <c:v>42992</c:v>
                </c:pt>
                <c:pt idx="76">
                  <c:v>42993</c:v>
                </c:pt>
                <c:pt idx="77">
                  <c:v>42994</c:v>
                </c:pt>
                <c:pt idx="78">
                  <c:v>42995</c:v>
                </c:pt>
                <c:pt idx="79">
                  <c:v>42996</c:v>
                </c:pt>
                <c:pt idx="80">
                  <c:v>42997</c:v>
                </c:pt>
                <c:pt idx="81">
                  <c:v>42998</c:v>
                </c:pt>
                <c:pt idx="82">
                  <c:v>42999</c:v>
                </c:pt>
                <c:pt idx="83">
                  <c:v>43000</c:v>
                </c:pt>
                <c:pt idx="84">
                  <c:v>43001</c:v>
                </c:pt>
                <c:pt idx="85">
                  <c:v>43002</c:v>
                </c:pt>
                <c:pt idx="86">
                  <c:v>43003</c:v>
                </c:pt>
                <c:pt idx="87">
                  <c:v>43004</c:v>
                </c:pt>
                <c:pt idx="88">
                  <c:v>43005</c:v>
                </c:pt>
                <c:pt idx="89">
                  <c:v>43006</c:v>
                </c:pt>
                <c:pt idx="90">
                  <c:v>43007</c:v>
                </c:pt>
                <c:pt idx="91">
                  <c:v>43008</c:v>
                </c:pt>
                <c:pt idx="92">
                  <c:v>43009</c:v>
                </c:pt>
                <c:pt idx="93">
                  <c:v>43010</c:v>
                </c:pt>
                <c:pt idx="94">
                  <c:v>43011</c:v>
                </c:pt>
                <c:pt idx="95">
                  <c:v>43012</c:v>
                </c:pt>
                <c:pt idx="96">
                  <c:v>43013</c:v>
                </c:pt>
                <c:pt idx="97">
                  <c:v>43014</c:v>
                </c:pt>
                <c:pt idx="98">
                  <c:v>43015</c:v>
                </c:pt>
                <c:pt idx="99">
                  <c:v>43016</c:v>
                </c:pt>
                <c:pt idx="100">
                  <c:v>43017</c:v>
                </c:pt>
                <c:pt idx="101">
                  <c:v>43018</c:v>
                </c:pt>
                <c:pt idx="102">
                  <c:v>43019</c:v>
                </c:pt>
                <c:pt idx="103">
                  <c:v>43020</c:v>
                </c:pt>
                <c:pt idx="104">
                  <c:v>43021</c:v>
                </c:pt>
                <c:pt idx="105">
                  <c:v>43022</c:v>
                </c:pt>
                <c:pt idx="106">
                  <c:v>43023</c:v>
                </c:pt>
                <c:pt idx="107">
                  <c:v>43024</c:v>
                </c:pt>
                <c:pt idx="108">
                  <c:v>43025</c:v>
                </c:pt>
                <c:pt idx="109">
                  <c:v>43026</c:v>
                </c:pt>
                <c:pt idx="110">
                  <c:v>43027</c:v>
                </c:pt>
                <c:pt idx="111">
                  <c:v>43028</c:v>
                </c:pt>
                <c:pt idx="112">
                  <c:v>43029</c:v>
                </c:pt>
                <c:pt idx="113">
                  <c:v>43030</c:v>
                </c:pt>
                <c:pt idx="114">
                  <c:v>43031</c:v>
                </c:pt>
                <c:pt idx="115">
                  <c:v>43032</c:v>
                </c:pt>
                <c:pt idx="116">
                  <c:v>43033</c:v>
                </c:pt>
                <c:pt idx="117">
                  <c:v>43034</c:v>
                </c:pt>
                <c:pt idx="118">
                  <c:v>43035</c:v>
                </c:pt>
                <c:pt idx="119">
                  <c:v>43036</c:v>
                </c:pt>
                <c:pt idx="120">
                  <c:v>43037</c:v>
                </c:pt>
                <c:pt idx="121">
                  <c:v>43038</c:v>
                </c:pt>
                <c:pt idx="122">
                  <c:v>43039</c:v>
                </c:pt>
                <c:pt idx="123">
                  <c:v>43040</c:v>
                </c:pt>
                <c:pt idx="124">
                  <c:v>43041</c:v>
                </c:pt>
                <c:pt idx="125">
                  <c:v>43042</c:v>
                </c:pt>
                <c:pt idx="126">
                  <c:v>43043</c:v>
                </c:pt>
                <c:pt idx="127">
                  <c:v>43044</c:v>
                </c:pt>
                <c:pt idx="128">
                  <c:v>43045</c:v>
                </c:pt>
                <c:pt idx="129">
                  <c:v>43046</c:v>
                </c:pt>
                <c:pt idx="130">
                  <c:v>43047</c:v>
                </c:pt>
                <c:pt idx="131">
                  <c:v>43048</c:v>
                </c:pt>
                <c:pt idx="132">
                  <c:v>43049</c:v>
                </c:pt>
                <c:pt idx="133">
                  <c:v>43050</c:v>
                </c:pt>
                <c:pt idx="134">
                  <c:v>43051</c:v>
                </c:pt>
                <c:pt idx="135">
                  <c:v>43052</c:v>
                </c:pt>
                <c:pt idx="136">
                  <c:v>43053</c:v>
                </c:pt>
                <c:pt idx="137">
                  <c:v>43054</c:v>
                </c:pt>
                <c:pt idx="138">
                  <c:v>43055</c:v>
                </c:pt>
                <c:pt idx="139">
                  <c:v>43056</c:v>
                </c:pt>
                <c:pt idx="140">
                  <c:v>43057</c:v>
                </c:pt>
                <c:pt idx="141">
                  <c:v>43058</c:v>
                </c:pt>
                <c:pt idx="142">
                  <c:v>43059</c:v>
                </c:pt>
                <c:pt idx="143">
                  <c:v>43060</c:v>
                </c:pt>
                <c:pt idx="144">
                  <c:v>43061</c:v>
                </c:pt>
                <c:pt idx="145">
                  <c:v>43062</c:v>
                </c:pt>
                <c:pt idx="146">
                  <c:v>43063</c:v>
                </c:pt>
                <c:pt idx="147">
                  <c:v>43064</c:v>
                </c:pt>
                <c:pt idx="148">
                  <c:v>43065</c:v>
                </c:pt>
                <c:pt idx="149">
                  <c:v>43066</c:v>
                </c:pt>
                <c:pt idx="150">
                  <c:v>43067</c:v>
                </c:pt>
                <c:pt idx="151">
                  <c:v>43068</c:v>
                </c:pt>
                <c:pt idx="152">
                  <c:v>43069</c:v>
                </c:pt>
                <c:pt idx="153">
                  <c:v>43070</c:v>
                </c:pt>
                <c:pt idx="154">
                  <c:v>43071</c:v>
                </c:pt>
                <c:pt idx="155">
                  <c:v>43072</c:v>
                </c:pt>
                <c:pt idx="156">
                  <c:v>43073</c:v>
                </c:pt>
                <c:pt idx="157">
                  <c:v>43074</c:v>
                </c:pt>
                <c:pt idx="158">
                  <c:v>43075</c:v>
                </c:pt>
                <c:pt idx="159">
                  <c:v>43076</c:v>
                </c:pt>
                <c:pt idx="160">
                  <c:v>43077</c:v>
                </c:pt>
                <c:pt idx="161">
                  <c:v>43078</c:v>
                </c:pt>
                <c:pt idx="162">
                  <c:v>43079</c:v>
                </c:pt>
                <c:pt idx="163">
                  <c:v>43080</c:v>
                </c:pt>
                <c:pt idx="164">
                  <c:v>43081</c:v>
                </c:pt>
                <c:pt idx="165">
                  <c:v>43082</c:v>
                </c:pt>
                <c:pt idx="166">
                  <c:v>43083</c:v>
                </c:pt>
                <c:pt idx="167">
                  <c:v>43084</c:v>
                </c:pt>
                <c:pt idx="168">
                  <c:v>43085</c:v>
                </c:pt>
                <c:pt idx="169">
                  <c:v>43086</c:v>
                </c:pt>
                <c:pt idx="170">
                  <c:v>43087</c:v>
                </c:pt>
                <c:pt idx="171">
                  <c:v>43088</c:v>
                </c:pt>
                <c:pt idx="172">
                  <c:v>43089</c:v>
                </c:pt>
                <c:pt idx="173">
                  <c:v>43090</c:v>
                </c:pt>
                <c:pt idx="174">
                  <c:v>43091</c:v>
                </c:pt>
                <c:pt idx="175">
                  <c:v>43092</c:v>
                </c:pt>
                <c:pt idx="176">
                  <c:v>43093</c:v>
                </c:pt>
                <c:pt idx="177">
                  <c:v>43094</c:v>
                </c:pt>
                <c:pt idx="178">
                  <c:v>43095</c:v>
                </c:pt>
                <c:pt idx="179">
                  <c:v>43096</c:v>
                </c:pt>
                <c:pt idx="180">
                  <c:v>43097</c:v>
                </c:pt>
                <c:pt idx="181">
                  <c:v>43098</c:v>
                </c:pt>
                <c:pt idx="182">
                  <c:v>43099</c:v>
                </c:pt>
                <c:pt idx="183">
                  <c:v>43100</c:v>
                </c:pt>
                <c:pt idx="186">
                  <c:v>43101</c:v>
                </c:pt>
                <c:pt idx="187">
                  <c:v>43102</c:v>
                </c:pt>
                <c:pt idx="188">
                  <c:v>43103</c:v>
                </c:pt>
                <c:pt idx="189">
                  <c:v>43104</c:v>
                </c:pt>
                <c:pt idx="190">
                  <c:v>43105</c:v>
                </c:pt>
                <c:pt idx="191">
                  <c:v>43106</c:v>
                </c:pt>
                <c:pt idx="192">
                  <c:v>43107</c:v>
                </c:pt>
                <c:pt idx="193">
                  <c:v>43108</c:v>
                </c:pt>
                <c:pt idx="194">
                  <c:v>43109</c:v>
                </c:pt>
                <c:pt idx="195">
                  <c:v>43110</c:v>
                </c:pt>
                <c:pt idx="196">
                  <c:v>43111</c:v>
                </c:pt>
                <c:pt idx="197">
                  <c:v>43112</c:v>
                </c:pt>
                <c:pt idx="198">
                  <c:v>43113</c:v>
                </c:pt>
                <c:pt idx="199">
                  <c:v>43114</c:v>
                </c:pt>
                <c:pt idx="200">
                  <c:v>43115</c:v>
                </c:pt>
                <c:pt idx="201">
                  <c:v>43116</c:v>
                </c:pt>
                <c:pt idx="202">
                  <c:v>43117</c:v>
                </c:pt>
                <c:pt idx="203">
                  <c:v>43118</c:v>
                </c:pt>
                <c:pt idx="204">
                  <c:v>43119</c:v>
                </c:pt>
                <c:pt idx="205">
                  <c:v>43120</c:v>
                </c:pt>
                <c:pt idx="206">
                  <c:v>43121</c:v>
                </c:pt>
                <c:pt idx="207">
                  <c:v>43122</c:v>
                </c:pt>
                <c:pt idx="208">
                  <c:v>43123</c:v>
                </c:pt>
                <c:pt idx="209">
                  <c:v>43124</c:v>
                </c:pt>
                <c:pt idx="210">
                  <c:v>43125</c:v>
                </c:pt>
                <c:pt idx="211">
                  <c:v>43126</c:v>
                </c:pt>
                <c:pt idx="212">
                  <c:v>43127</c:v>
                </c:pt>
                <c:pt idx="213">
                  <c:v>43128</c:v>
                </c:pt>
                <c:pt idx="214">
                  <c:v>43129</c:v>
                </c:pt>
                <c:pt idx="215">
                  <c:v>43130</c:v>
                </c:pt>
                <c:pt idx="216">
                  <c:v>43131</c:v>
                </c:pt>
                <c:pt idx="217">
                  <c:v>43132</c:v>
                </c:pt>
                <c:pt idx="218">
                  <c:v>43133</c:v>
                </c:pt>
                <c:pt idx="219">
                  <c:v>43134</c:v>
                </c:pt>
                <c:pt idx="220">
                  <c:v>43135</c:v>
                </c:pt>
                <c:pt idx="221">
                  <c:v>43136</c:v>
                </c:pt>
                <c:pt idx="222">
                  <c:v>43137</c:v>
                </c:pt>
                <c:pt idx="223">
                  <c:v>43138</c:v>
                </c:pt>
                <c:pt idx="224">
                  <c:v>43139</c:v>
                </c:pt>
                <c:pt idx="225">
                  <c:v>43140</c:v>
                </c:pt>
                <c:pt idx="226">
                  <c:v>43141</c:v>
                </c:pt>
                <c:pt idx="227">
                  <c:v>43142</c:v>
                </c:pt>
                <c:pt idx="228">
                  <c:v>43143</c:v>
                </c:pt>
                <c:pt idx="229">
                  <c:v>43144</c:v>
                </c:pt>
                <c:pt idx="230">
                  <c:v>43145</c:v>
                </c:pt>
                <c:pt idx="231">
                  <c:v>43146</c:v>
                </c:pt>
                <c:pt idx="232">
                  <c:v>43147</c:v>
                </c:pt>
                <c:pt idx="233">
                  <c:v>43148</c:v>
                </c:pt>
                <c:pt idx="234">
                  <c:v>43149</c:v>
                </c:pt>
                <c:pt idx="235">
                  <c:v>43150</c:v>
                </c:pt>
                <c:pt idx="236">
                  <c:v>43151</c:v>
                </c:pt>
                <c:pt idx="237">
                  <c:v>43152</c:v>
                </c:pt>
                <c:pt idx="238">
                  <c:v>43153</c:v>
                </c:pt>
                <c:pt idx="239">
                  <c:v>43154</c:v>
                </c:pt>
                <c:pt idx="240">
                  <c:v>43155</c:v>
                </c:pt>
                <c:pt idx="241">
                  <c:v>43156</c:v>
                </c:pt>
                <c:pt idx="242">
                  <c:v>43157</c:v>
                </c:pt>
                <c:pt idx="243">
                  <c:v>43158</c:v>
                </c:pt>
                <c:pt idx="244">
                  <c:v>43159</c:v>
                </c:pt>
                <c:pt idx="245">
                  <c:v>43160</c:v>
                </c:pt>
                <c:pt idx="246">
                  <c:v>43161</c:v>
                </c:pt>
                <c:pt idx="247">
                  <c:v>43162</c:v>
                </c:pt>
                <c:pt idx="248">
                  <c:v>43163</c:v>
                </c:pt>
                <c:pt idx="249">
                  <c:v>43164</c:v>
                </c:pt>
                <c:pt idx="250">
                  <c:v>43165</c:v>
                </c:pt>
                <c:pt idx="251">
                  <c:v>43166</c:v>
                </c:pt>
                <c:pt idx="252">
                  <c:v>43167</c:v>
                </c:pt>
                <c:pt idx="253">
                  <c:v>43168</c:v>
                </c:pt>
                <c:pt idx="254">
                  <c:v>43169</c:v>
                </c:pt>
                <c:pt idx="255">
                  <c:v>43170</c:v>
                </c:pt>
                <c:pt idx="256">
                  <c:v>43171</c:v>
                </c:pt>
                <c:pt idx="257">
                  <c:v>43172</c:v>
                </c:pt>
                <c:pt idx="258">
                  <c:v>43173</c:v>
                </c:pt>
                <c:pt idx="259">
                  <c:v>43174</c:v>
                </c:pt>
                <c:pt idx="260">
                  <c:v>43175</c:v>
                </c:pt>
                <c:pt idx="261">
                  <c:v>43176</c:v>
                </c:pt>
                <c:pt idx="262">
                  <c:v>43177</c:v>
                </c:pt>
                <c:pt idx="263">
                  <c:v>43178</c:v>
                </c:pt>
                <c:pt idx="264">
                  <c:v>43179</c:v>
                </c:pt>
                <c:pt idx="265">
                  <c:v>43180</c:v>
                </c:pt>
                <c:pt idx="266">
                  <c:v>43181</c:v>
                </c:pt>
                <c:pt idx="267">
                  <c:v>43182</c:v>
                </c:pt>
                <c:pt idx="268">
                  <c:v>43183</c:v>
                </c:pt>
                <c:pt idx="269">
                  <c:v>43184</c:v>
                </c:pt>
                <c:pt idx="270">
                  <c:v>43185</c:v>
                </c:pt>
                <c:pt idx="271">
                  <c:v>43186</c:v>
                </c:pt>
                <c:pt idx="272">
                  <c:v>43187</c:v>
                </c:pt>
                <c:pt idx="273">
                  <c:v>43188</c:v>
                </c:pt>
                <c:pt idx="274">
                  <c:v>43189</c:v>
                </c:pt>
                <c:pt idx="275">
                  <c:v>43190</c:v>
                </c:pt>
                <c:pt idx="276">
                  <c:v>43191</c:v>
                </c:pt>
                <c:pt idx="277">
                  <c:v>43192</c:v>
                </c:pt>
                <c:pt idx="278">
                  <c:v>43193</c:v>
                </c:pt>
                <c:pt idx="279">
                  <c:v>43194</c:v>
                </c:pt>
                <c:pt idx="280">
                  <c:v>43195</c:v>
                </c:pt>
                <c:pt idx="281">
                  <c:v>43196</c:v>
                </c:pt>
                <c:pt idx="282">
                  <c:v>43197</c:v>
                </c:pt>
                <c:pt idx="283">
                  <c:v>43198</c:v>
                </c:pt>
                <c:pt idx="284">
                  <c:v>43199</c:v>
                </c:pt>
                <c:pt idx="285">
                  <c:v>43200</c:v>
                </c:pt>
                <c:pt idx="286">
                  <c:v>43201</c:v>
                </c:pt>
                <c:pt idx="287">
                  <c:v>43202</c:v>
                </c:pt>
                <c:pt idx="288">
                  <c:v>43203</c:v>
                </c:pt>
                <c:pt idx="289">
                  <c:v>43204</c:v>
                </c:pt>
                <c:pt idx="290">
                  <c:v>43205</c:v>
                </c:pt>
                <c:pt idx="291">
                  <c:v>43206</c:v>
                </c:pt>
                <c:pt idx="292">
                  <c:v>43207</c:v>
                </c:pt>
                <c:pt idx="293">
                  <c:v>43208</c:v>
                </c:pt>
                <c:pt idx="294">
                  <c:v>43209</c:v>
                </c:pt>
                <c:pt idx="295">
                  <c:v>43210</c:v>
                </c:pt>
                <c:pt idx="296">
                  <c:v>43211</c:v>
                </c:pt>
                <c:pt idx="297">
                  <c:v>43212</c:v>
                </c:pt>
                <c:pt idx="298">
                  <c:v>43213</c:v>
                </c:pt>
                <c:pt idx="299">
                  <c:v>43214</c:v>
                </c:pt>
                <c:pt idx="300">
                  <c:v>43215</c:v>
                </c:pt>
                <c:pt idx="301">
                  <c:v>43216</c:v>
                </c:pt>
                <c:pt idx="302">
                  <c:v>43217</c:v>
                </c:pt>
                <c:pt idx="303">
                  <c:v>43218</c:v>
                </c:pt>
                <c:pt idx="304">
                  <c:v>43219</c:v>
                </c:pt>
                <c:pt idx="305">
                  <c:v>43220</c:v>
                </c:pt>
                <c:pt idx="306">
                  <c:v>43221</c:v>
                </c:pt>
                <c:pt idx="307">
                  <c:v>43222</c:v>
                </c:pt>
                <c:pt idx="308">
                  <c:v>43223</c:v>
                </c:pt>
                <c:pt idx="309">
                  <c:v>43224</c:v>
                </c:pt>
                <c:pt idx="310">
                  <c:v>43225</c:v>
                </c:pt>
                <c:pt idx="311">
                  <c:v>43226</c:v>
                </c:pt>
                <c:pt idx="312">
                  <c:v>43227</c:v>
                </c:pt>
                <c:pt idx="313">
                  <c:v>43228</c:v>
                </c:pt>
                <c:pt idx="314">
                  <c:v>43229</c:v>
                </c:pt>
                <c:pt idx="315">
                  <c:v>43230</c:v>
                </c:pt>
                <c:pt idx="316">
                  <c:v>43231</c:v>
                </c:pt>
                <c:pt idx="317">
                  <c:v>43232</c:v>
                </c:pt>
                <c:pt idx="318">
                  <c:v>43233</c:v>
                </c:pt>
                <c:pt idx="319">
                  <c:v>43234</c:v>
                </c:pt>
                <c:pt idx="320">
                  <c:v>43235</c:v>
                </c:pt>
                <c:pt idx="321">
                  <c:v>43236</c:v>
                </c:pt>
                <c:pt idx="322">
                  <c:v>43237</c:v>
                </c:pt>
                <c:pt idx="323">
                  <c:v>43238</c:v>
                </c:pt>
                <c:pt idx="324">
                  <c:v>43239</c:v>
                </c:pt>
                <c:pt idx="325">
                  <c:v>43240</c:v>
                </c:pt>
                <c:pt idx="326">
                  <c:v>43241</c:v>
                </c:pt>
                <c:pt idx="327">
                  <c:v>43242</c:v>
                </c:pt>
                <c:pt idx="328">
                  <c:v>43243</c:v>
                </c:pt>
                <c:pt idx="329">
                  <c:v>43244</c:v>
                </c:pt>
                <c:pt idx="330">
                  <c:v>43245</c:v>
                </c:pt>
                <c:pt idx="331">
                  <c:v>43246</c:v>
                </c:pt>
                <c:pt idx="332">
                  <c:v>43247</c:v>
                </c:pt>
                <c:pt idx="333">
                  <c:v>43248</c:v>
                </c:pt>
                <c:pt idx="334">
                  <c:v>43249</c:v>
                </c:pt>
                <c:pt idx="335">
                  <c:v>43250</c:v>
                </c:pt>
                <c:pt idx="336">
                  <c:v>43251</c:v>
                </c:pt>
                <c:pt idx="337">
                  <c:v>43252</c:v>
                </c:pt>
                <c:pt idx="338">
                  <c:v>43253</c:v>
                </c:pt>
                <c:pt idx="339">
                  <c:v>43254</c:v>
                </c:pt>
                <c:pt idx="340">
                  <c:v>43255</c:v>
                </c:pt>
                <c:pt idx="341">
                  <c:v>43256</c:v>
                </c:pt>
                <c:pt idx="342">
                  <c:v>43257</c:v>
                </c:pt>
                <c:pt idx="343">
                  <c:v>43258</c:v>
                </c:pt>
                <c:pt idx="344">
                  <c:v>43259</c:v>
                </c:pt>
                <c:pt idx="345">
                  <c:v>43260</c:v>
                </c:pt>
                <c:pt idx="346">
                  <c:v>43261</c:v>
                </c:pt>
                <c:pt idx="347">
                  <c:v>43262</c:v>
                </c:pt>
                <c:pt idx="348">
                  <c:v>43263</c:v>
                </c:pt>
                <c:pt idx="349">
                  <c:v>43264</c:v>
                </c:pt>
                <c:pt idx="350">
                  <c:v>43265</c:v>
                </c:pt>
                <c:pt idx="351">
                  <c:v>43266</c:v>
                </c:pt>
                <c:pt idx="352">
                  <c:v>43267</c:v>
                </c:pt>
                <c:pt idx="353">
                  <c:v>43268</c:v>
                </c:pt>
                <c:pt idx="354">
                  <c:v>43269</c:v>
                </c:pt>
                <c:pt idx="355">
                  <c:v>43270</c:v>
                </c:pt>
                <c:pt idx="356">
                  <c:v>43271</c:v>
                </c:pt>
                <c:pt idx="357">
                  <c:v>43272</c:v>
                </c:pt>
                <c:pt idx="358">
                  <c:v>43273</c:v>
                </c:pt>
                <c:pt idx="359">
                  <c:v>43274</c:v>
                </c:pt>
                <c:pt idx="360">
                  <c:v>43275</c:v>
                </c:pt>
                <c:pt idx="361">
                  <c:v>43276</c:v>
                </c:pt>
                <c:pt idx="362">
                  <c:v>43277</c:v>
                </c:pt>
                <c:pt idx="363">
                  <c:v>43278</c:v>
                </c:pt>
                <c:pt idx="364">
                  <c:v>43279</c:v>
                </c:pt>
                <c:pt idx="365">
                  <c:v>43280</c:v>
                </c:pt>
                <c:pt idx="366">
                  <c:v>43281</c:v>
                </c:pt>
              </c:numCache>
            </c:numRef>
          </c:cat>
          <c:val>
            <c:numRef>
              <c:f>'7 BSO'!$D$19:$D$385</c:f>
              <c:numCache>
                <c:formatCode>#,##0</c:formatCode>
                <c:ptCount val="367"/>
                <c:pt idx="0">
                  <c:v>0</c:v>
                </c:pt>
                <c:pt idx="1">
                  <c:v>0</c:v>
                </c:pt>
                <c:pt idx="2">
                  <c:v>1650</c:v>
                </c:pt>
                <c:pt idx="3">
                  <c:v>15362</c:v>
                </c:pt>
                <c:pt idx="4">
                  <c:v>3507</c:v>
                </c:pt>
                <c:pt idx="5">
                  <c:v>16000</c:v>
                </c:pt>
                <c:pt idx="6">
                  <c:v>12000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2049</c:v>
                </c:pt>
                <c:pt idx="13">
                  <c:v>89825</c:v>
                </c:pt>
                <c:pt idx="14">
                  <c:v>0</c:v>
                </c:pt>
                <c:pt idx="15">
                  <c:v>0</c:v>
                </c:pt>
                <c:pt idx="16">
                  <c:v>290</c:v>
                </c:pt>
                <c:pt idx="17">
                  <c:v>2900</c:v>
                </c:pt>
                <c:pt idx="18">
                  <c:v>0</c:v>
                </c:pt>
                <c:pt idx="19">
                  <c:v>10719</c:v>
                </c:pt>
                <c:pt idx="20">
                  <c:v>11575</c:v>
                </c:pt>
                <c:pt idx="21">
                  <c:v>0</c:v>
                </c:pt>
                <c:pt idx="22">
                  <c:v>0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633</c:v>
                </c:pt>
                <c:pt idx="27">
                  <c:v>420</c:v>
                </c:pt>
                <c:pt idx="28">
                  <c:v>0</c:v>
                </c:pt>
                <c:pt idx="29">
                  <c:v>0</c:v>
                </c:pt>
                <c:pt idx="30">
                  <c:v>2650</c:v>
                </c:pt>
                <c:pt idx="31">
                  <c:v>13400</c:v>
                </c:pt>
                <c:pt idx="32">
                  <c:v>1200</c:v>
                </c:pt>
                <c:pt idx="33">
                  <c:v>4204</c:v>
                </c:pt>
                <c:pt idx="34">
                  <c:v>16883</c:v>
                </c:pt>
                <c:pt idx="35">
                  <c:v>0</c:v>
                </c:pt>
                <c:pt idx="36">
                  <c:v>0</c:v>
                </c:pt>
                <c:pt idx="37">
                  <c:v>300</c:v>
                </c:pt>
                <c:pt idx="38">
                  <c:v>4058</c:v>
                </c:pt>
                <c:pt idx="39">
                  <c:v>39</c:v>
                </c:pt>
                <c:pt idx="40">
                  <c:v>0</c:v>
                </c:pt>
                <c:pt idx="41">
                  <c:v>2838</c:v>
                </c:pt>
                <c:pt idx="42">
                  <c:v>0</c:v>
                </c:pt>
                <c:pt idx="43">
                  <c:v>0</c:v>
                </c:pt>
                <c:pt idx="44">
                  <c:v>4070</c:v>
                </c:pt>
                <c:pt idx="45">
                  <c:v>13658</c:v>
                </c:pt>
                <c:pt idx="46">
                  <c:v>6720</c:v>
                </c:pt>
                <c:pt idx="47">
                  <c:v>3720</c:v>
                </c:pt>
                <c:pt idx="48">
                  <c:v>5080</c:v>
                </c:pt>
                <c:pt idx="49">
                  <c:v>0</c:v>
                </c:pt>
                <c:pt idx="50">
                  <c:v>0</c:v>
                </c:pt>
                <c:pt idx="51">
                  <c:v>5386</c:v>
                </c:pt>
                <c:pt idx="52">
                  <c:v>989</c:v>
                </c:pt>
                <c:pt idx="53">
                  <c:v>1505</c:v>
                </c:pt>
                <c:pt idx="54">
                  <c:v>3308</c:v>
                </c:pt>
                <c:pt idx="55">
                  <c:v>2267</c:v>
                </c:pt>
                <c:pt idx="56">
                  <c:v>0</c:v>
                </c:pt>
                <c:pt idx="57">
                  <c:v>0</c:v>
                </c:pt>
                <c:pt idx="58">
                  <c:v>60</c:v>
                </c:pt>
                <c:pt idx="59">
                  <c:v>11</c:v>
                </c:pt>
                <c:pt idx="60">
                  <c:v>500</c:v>
                </c:pt>
                <c:pt idx="61">
                  <c:v>773</c:v>
                </c:pt>
                <c:pt idx="62">
                  <c:v>50</c:v>
                </c:pt>
                <c:pt idx="63">
                  <c:v>0</c:v>
                </c:pt>
                <c:pt idx="64">
                  <c:v>0</c:v>
                </c:pt>
                <c:pt idx="65">
                  <c:v>828</c:v>
                </c:pt>
                <c:pt idx="66">
                  <c:v>930</c:v>
                </c:pt>
                <c:pt idx="67">
                  <c:v>0</c:v>
                </c:pt>
                <c:pt idx="68">
                  <c:v>1639</c:v>
                </c:pt>
                <c:pt idx="69">
                  <c:v>700</c:v>
                </c:pt>
                <c:pt idx="70">
                  <c:v>0</c:v>
                </c:pt>
                <c:pt idx="71">
                  <c:v>0</c:v>
                </c:pt>
                <c:pt idx="72">
                  <c:v>850</c:v>
                </c:pt>
                <c:pt idx="73">
                  <c:v>380</c:v>
                </c:pt>
                <c:pt idx="74">
                  <c:v>2165</c:v>
                </c:pt>
                <c:pt idx="75">
                  <c:v>0</c:v>
                </c:pt>
                <c:pt idx="76">
                  <c:v>21765</c:v>
                </c:pt>
                <c:pt idx="77">
                  <c:v>0</c:v>
                </c:pt>
                <c:pt idx="78">
                  <c:v>0</c:v>
                </c:pt>
                <c:pt idx="79">
                  <c:v>8420</c:v>
                </c:pt>
                <c:pt idx="80">
                  <c:v>0</c:v>
                </c:pt>
                <c:pt idx="81">
                  <c:v>9760</c:v>
                </c:pt>
                <c:pt idx="82">
                  <c:v>8575</c:v>
                </c:pt>
                <c:pt idx="83">
                  <c:v>0</c:v>
                </c:pt>
                <c:pt idx="84">
                  <c:v>0</c:v>
                </c:pt>
                <c:pt idx="85">
                  <c:v>0</c:v>
                </c:pt>
                <c:pt idx="86">
                  <c:v>62664</c:v>
                </c:pt>
                <c:pt idx="87">
                  <c:v>1090</c:v>
                </c:pt>
                <c:pt idx="88">
                  <c:v>412</c:v>
                </c:pt>
                <c:pt idx="89">
                  <c:v>1338</c:v>
                </c:pt>
                <c:pt idx="90">
                  <c:v>400</c:v>
                </c:pt>
                <c:pt idx="91">
                  <c:v>0</c:v>
                </c:pt>
                <c:pt idx="92">
                  <c:v>0</c:v>
                </c:pt>
                <c:pt idx="93">
                  <c:v>495</c:v>
                </c:pt>
                <c:pt idx="94">
                  <c:v>0</c:v>
                </c:pt>
                <c:pt idx="95">
                  <c:v>0</c:v>
                </c:pt>
                <c:pt idx="96">
                  <c:v>1350</c:v>
                </c:pt>
                <c:pt idx="97">
                  <c:v>0</c:v>
                </c:pt>
                <c:pt idx="98">
                  <c:v>0</c:v>
                </c:pt>
                <c:pt idx="99">
                  <c:v>0</c:v>
                </c:pt>
                <c:pt idx="100">
                  <c:v>713</c:v>
                </c:pt>
                <c:pt idx="101">
                  <c:v>1495</c:v>
                </c:pt>
                <c:pt idx="102">
                  <c:v>100</c:v>
                </c:pt>
                <c:pt idx="103">
                  <c:v>600</c:v>
                </c:pt>
                <c:pt idx="104">
                  <c:v>1450</c:v>
                </c:pt>
                <c:pt idx="105">
                  <c:v>0</c:v>
                </c:pt>
                <c:pt idx="106">
                  <c:v>0</c:v>
                </c:pt>
                <c:pt idx="107">
                  <c:v>2777</c:v>
                </c:pt>
                <c:pt idx="108">
                  <c:v>2570</c:v>
                </c:pt>
                <c:pt idx="109">
                  <c:v>8360</c:v>
                </c:pt>
                <c:pt idx="110">
                  <c:v>0</c:v>
                </c:pt>
                <c:pt idx="111">
                  <c:v>500</c:v>
                </c:pt>
                <c:pt idx="112">
                  <c:v>0</c:v>
                </c:pt>
                <c:pt idx="113">
                  <c:v>0</c:v>
                </c:pt>
                <c:pt idx="114">
                  <c:v>1790</c:v>
                </c:pt>
                <c:pt idx="115">
                  <c:v>4280</c:v>
                </c:pt>
                <c:pt idx="116">
                  <c:v>135</c:v>
                </c:pt>
                <c:pt idx="117">
                  <c:v>650</c:v>
                </c:pt>
                <c:pt idx="118">
                  <c:v>3075</c:v>
                </c:pt>
                <c:pt idx="119">
                  <c:v>0</c:v>
                </c:pt>
                <c:pt idx="120">
                  <c:v>0</c:v>
                </c:pt>
                <c:pt idx="121">
                  <c:v>100</c:v>
                </c:pt>
                <c:pt idx="122">
                  <c:v>4585</c:v>
                </c:pt>
                <c:pt idx="123">
                  <c:v>4685</c:v>
                </c:pt>
                <c:pt idx="124">
                  <c:v>0</c:v>
                </c:pt>
                <c:pt idx="125">
                  <c:v>530</c:v>
                </c:pt>
                <c:pt idx="126">
                  <c:v>0</c:v>
                </c:pt>
                <c:pt idx="127">
                  <c:v>0</c:v>
                </c:pt>
                <c:pt idx="128">
                  <c:v>850</c:v>
                </c:pt>
                <c:pt idx="129">
                  <c:v>150</c:v>
                </c:pt>
                <c:pt idx="130">
                  <c:v>2825</c:v>
                </c:pt>
                <c:pt idx="131">
                  <c:v>82</c:v>
                </c:pt>
                <c:pt idx="132">
                  <c:v>104</c:v>
                </c:pt>
                <c:pt idx="133">
                  <c:v>0</c:v>
                </c:pt>
                <c:pt idx="134">
                  <c:v>0</c:v>
                </c:pt>
                <c:pt idx="135">
                  <c:v>1000</c:v>
                </c:pt>
                <c:pt idx="136">
                  <c:v>1144</c:v>
                </c:pt>
                <c:pt idx="137">
                  <c:v>0</c:v>
                </c:pt>
                <c:pt idx="138">
                  <c:v>0</c:v>
                </c:pt>
                <c:pt idx="139">
                  <c:v>18084</c:v>
                </c:pt>
                <c:pt idx="140">
                  <c:v>0</c:v>
                </c:pt>
                <c:pt idx="141">
                  <c:v>0</c:v>
                </c:pt>
                <c:pt idx="142">
                  <c:v>0</c:v>
                </c:pt>
                <c:pt idx="143">
                  <c:v>500</c:v>
                </c:pt>
                <c:pt idx="144">
                  <c:v>0</c:v>
                </c:pt>
                <c:pt idx="145">
                  <c:v>0</c:v>
                </c:pt>
                <c:pt idx="146">
                  <c:v>0</c:v>
                </c:pt>
                <c:pt idx="147">
                  <c:v>0</c:v>
                </c:pt>
                <c:pt idx="148">
                  <c:v>0</c:v>
                </c:pt>
                <c:pt idx="149">
                  <c:v>600</c:v>
                </c:pt>
                <c:pt idx="150">
                  <c:v>0</c:v>
                </c:pt>
                <c:pt idx="151">
                  <c:v>158</c:v>
                </c:pt>
                <c:pt idx="152">
                  <c:v>100</c:v>
                </c:pt>
                <c:pt idx="153">
                  <c:v>1550</c:v>
                </c:pt>
                <c:pt idx="154">
                  <c:v>0</c:v>
                </c:pt>
                <c:pt idx="155">
                  <c:v>0</c:v>
                </c:pt>
                <c:pt idx="156">
                  <c:v>90</c:v>
                </c:pt>
                <c:pt idx="157">
                  <c:v>0</c:v>
                </c:pt>
                <c:pt idx="158">
                  <c:v>80</c:v>
                </c:pt>
                <c:pt idx="159">
                  <c:v>1437</c:v>
                </c:pt>
                <c:pt idx="160">
                  <c:v>8252</c:v>
                </c:pt>
                <c:pt idx="161">
                  <c:v>0</c:v>
                </c:pt>
                <c:pt idx="162">
                  <c:v>0</c:v>
                </c:pt>
                <c:pt idx="163">
                  <c:v>13520</c:v>
                </c:pt>
                <c:pt idx="164">
                  <c:v>142</c:v>
                </c:pt>
                <c:pt idx="165">
                  <c:v>950</c:v>
                </c:pt>
                <c:pt idx="166">
                  <c:v>7977</c:v>
                </c:pt>
                <c:pt idx="167">
                  <c:v>15</c:v>
                </c:pt>
                <c:pt idx="168">
                  <c:v>0</c:v>
                </c:pt>
                <c:pt idx="169">
                  <c:v>0</c:v>
                </c:pt>
                <c:pt idx="170">
                  <c:v>270</c:v>
                </c:pt>
                <c:pt idx="171">
                  <c:v>1300</c:v>
                </c:pt>
                <c:pt idx="172">
                  <c:v>1575</c:v>
                </c:pt>
                <c:pt idx="173">
                  <c:v>278</c:v>
                </c:pt>
                <c:pt idx="174">
                  <c:v>1500</c:v>
                </c:pt>
                <c:pt idx="175">
                  <c:v>0</c:v>
                </c:pt>
                <c:pt idx="176">
                  <c:v>0</c:v>
                </c:pt>
                <c:pt idx="177">
                  <c:v>0</c:v>
                </c:pt>
                <c:pt idx="178">
                  <c:v>0</c:v>
                </c:pt>
                <c:pt idx="179">
                  <c:v>0</c:v>
                </c:pt>
                <c:pt idx="180">
                  <c:v>700</c:v>
                </c:pt>
                <c:pt idx="181">
                  <c:v>500</c:v>
                </c:pt>
                <c:pt idx="182">
                  <c:v>0</c:v>
                </c:pt>
                <c:pt idx="183">
                  <c:v>0</c:v>
                </c:pt>
                <c:pt idx="184" formatCode="#,##0.00">
                  <c:v>488488</c:v>
                </c:pt>
                <c:pt idx="186">
                  <c:v>0</c:v>
                </c:pt>
                <c:pt idx="187">
                  <c:v>5</c:v>
                </c:pt>
                <c:pt idx="188">
                  <c:v>470</c:v>
                </c:pt>
                <c:pt idx="189">
                  <c:v>3503</c:v>
                </c:pt>
                <c:pt idx="190">
                  <c:v>800</c:v>
                </c:pt>
                <c:pt idx="191">
                  <c:v>0</c:v>
                </c:pt>
                <c:pt idx="192">
                  <c:v>0</c:v>
                </c:pt>
                <c:pt idx="193">
                  <c:v>2200</c:v>
                </c:pt>
                <c:pt idx="194">
                  <c:v>7606</c:v>
                </c:pt>
                <c:pt idx="195">
                  <c:v>900</c:v>
                </c:pt>
                <c:pt idx="196">
                  <c:v>5955</c:v>
                </c:pt>
                <c:pt idx="197">
                  <c:v>2770</c:v>
                </c:pt>
                <c:pt idx="198">
                  <c:v>0</c:v>
                </c:pt>
                <c:pt idx="199">
                  <c:v>0</c:v>
                </c:pt>
                <c:pt idx="200">
                  <c:v>1175</c:v>
                </c:pt>
                <c:pt idx="201">
                  <c:v>2085</c:v>
                </c:pt>
                <c:pt idx="202">
                  <c:v>0</c:v>
                </c:pt>
                <c:pt idx="203">
                  <c:v>15</c:v>
                </c:pt>
                <c:pt idx="204">
                  <c:v>0</c:v>
                </c:pt>
                <c:pt idx="205">
                  <c:v>0</c:v>
                </c:pt>
                <c:pt idx="206">
                  <c:v>0</c:v>
                </c:pt>
                <c:pt idx="207">
                  <c:v>0</c:v>
                </c:pt>
                <c:pt idx="208">
                  <c:v>0</c:v>
                </c:pt>
                <c:pt idx="209">
                  <c:v>0</c:v>
                </c:pt>
                <c:pt idx="210">
                  <c:v>5</c:v>
                </c:pt>
                <c:pt idx="211">
                  <c:v>300</c:v>
                </c:pt>
                <c:pt idx="212">
                  <c:v>0</c:v>
                </c:pt>
                <c:pt idx="213">
                  <c:v>0</c:v>
                </c:pt>
                <c:pt idx="214">
                  <c:v>1100</c:v>
                </c:pt>
                <c:pt idx="215">
                  <c:v>100</c:v>
                </c:pt>
                <c:pt idx="216">
                  <c:v>3162</c:v>
                </c:pt>
                <c:pt idx="217">
                  <c:v>1765</c:v>
                </c:pt>
                <c:pt idx="218">
                  <c:v>350</c:v>
                </c:pt>
                <c:pt idx="219">
                  <c:v>0</c:v>
                </c:pt>
                <c:pt idx="220">
                  <c:v>0</c:v>
                </c:pt>
                <c:pt idx="221">
                  <c:v>1482</c:v>
                </c:pt>
                <c:pt idx="222">
                  <c:v>5100</c:v>
                </c:pt>
                <c:pt idx="223">
                  <c:v>4000</c:v>
                </c:pt>
                <c:pt idx="224">
                  <c:v>600</c:v>
                </c:pt>
                <c:pt idx="225">
                  <c:v>28897</c:v>
                </c:pt>
                <c:pt idx="226">
                  <c:v>0</c:v>
                </c:pt>
                <c:pt idx="227">
                  <c:v>0</c:v>
                </c:pt>
                <c:pt idx="228">
                  <c:v>2500</c:v>
                </c:pt>
                <c:pt idx="229">
                  <c:v>3536</c:v>
                </c:pt>
                <c:pt idx="230">
                  <c:v>0</c:v>
                </c:pt>
                <c:pt idx="231">
                  <c:v>1343</c:v>
                </c:pt>
                <c:pt idx="232">
                  <c:v>0</c:v>
                </c:pt>
                <c:pt idx="233">
                  <c:v>0</c:v>
                </c:pt>
                <c:pt idx="234">
                  <c:v>0</c:v>
                </c:pt>
                <c:pt idx="235">
                  <c:v>3210</c:v>
                </c:pt>
                <c:pt idx="236">
                  <c:v>5000</c:v>
                </c:pt>
                <c:pt idx="237">
                  <c:v>0</c:v>
                </c:pt>
                <c:pt idx="238">
                  <c:v>0</c:v>
                </c:pt>
                <c:pt idx="239">
                  <c:v>200</c:v>
                </c:pt>
                <c:pt idx="240">
                  <c:v>0</c:v>
                </c:pt>
                <c:pt idx="241">
                  <c:v>0</c:v>
                </c:pt>
                <c:pt idx="242">
                  <c:v>4400</c:v>
                </c:pt>
                <c:pt idx="243">
                  <c:v>757</c:v>
                </c:pt>
                <c:pt idx="244">
                  <c:v>0</c:v>
                </c:pt>
                <c:pt idx="245">
                  <c:v>0</c:v>
                </c:pt>
                <c:pt idx="246">
                  <c:v>0</c:v>
                </c:pt>
                <c:pt idx="247">
                  <c:v>0</c:v>
                </c:pt>
                <c:pt idx="248">
                  <c:v>0</c:v>
                </c:pt>
                <c:pt idx="249">
                  <c:v>0</c:v>
                </c:pt>
                <c:pt idx="250">
                  <c:v>200</c:v>
                </c:pt>
                <c:pt idx="251">
                  <c:v>250</c:v>
                </c:pt>
                <c:pt idx="252">
                  <c:v>0</c:v>
                </c:pt>
                <c:pt idx="253">
                  <c:v>4295</c:v>
                </c:pt>
                <c:pt idx="254">
                  <c:v>0</c:v>
                </c:pt>
                <c:pt idx="255">
                  <c:v>0</c:v>
                </c:pt>
                <c:pt idx="256">
                  <c:v>0</c:v>
                </c:pt>
                <c:pt idx="257">
                  <c:v>169</c:v>
                </c:pt>
                <c:pt idx="258">
                  <c:v>40</c:v>
                </c:pt>
                <c:pt idx="259">
                  <c:v>0</c:v>
                </c:pt>
                <c:pt idx="260">
                  <c:v>0</c:v>
                </c:pt>
                <c:pt idx="261">
                  <c:v>0</c:v>
                </c:pt>
                <c:pt idx="262">
                  <c:v>0</c:v>
                </c:pt>
                <c:pt idx="263">
                  <c:v>165</c:v>
                </c:pt>
                <c:pt idx="264">
                  <c:v>285</c:v>
                </c:pt>
                <c:pt idx="265">
                  <c:v>0</c:v>
                </c:pt>
                <c:pt idx="266">
                  <c:v>799</c:v>
                </c:pt>
                <c:pt idx="267">
                  <c:v>350</c:v>
                </c:pt>
                <c:pt idx="268">
                  <c:v>0</c:v>
                </c:pt>
                <c:pt idx="269">
                  <c:v>0</c:v>
                </c:pt>
                <c:pt idx="270">
                  <c:v>460</c:v>
                </c:pt>
                <c:pt idx="271">
                  <c:v>250</c:v>
                </c:pt>
                <c:pt idx="272">
                  <c:v>200</c:v>
                </c:pt>
                <c:pt idx="273">
                  <c:v>200</c:v>
                </c:pt>
                <c:pt idx="274">
                  <c:v>0</c:v>
                </c:pt>
                <c:pt idx="275">
                  <c:v>0</c:v>
                </c:pt>
                <c:pt idx="276">
                  <c:v>0</c:v>
                </c:pt>
                <c:pt idx="277">
                  <c:v>0</c:v>
                </c:pt>
                <c:pt idx="278">
                  <c:v>492</c:v>
                </c:pt>
                <c:pt idx="279">
                  <c:v>26150</c:v>
                </c:pt>
                <c:pt idx="280">
                  <c:v>0</c:v>
                </c:pt>
                <c:pt idx="281">
                  <c:v>0</c:v>
                </c:pt>
                <c:pt idx="282">
                  <c:v>0</c:v>
                </c:pt>
                <c:pt idx="283">
                  <c:v>0</c:v>
                </c:pt>
                <c:pt idx="284">
                  <c:v>0</c:v>
                </c:pt>
                <c:pt idx="285">
                  <c:v>0</c:v>
                </c:pt>
                <c:pt idx="286">
                  <c:v>200</c:v>
                </c:pt>
                <c:pt idx="287">
                  <c:v>0</c:v>
                </c:pt>
                <c:pt idx="288">
                  <c:v>150</c:v>
                </c:pt>
                <c:pt idx="289">
                  <c:v>0</c:v>
                </c:pt>
                <c:pt idx="290">
                  <c:v>0</c:v>
                </c:pt>
                <c:pt idx="291">
                  <c:v>8500</c:v>
                </c:pt>
                <c:pt idx="292">
                  <c:v>352</c:v>
                </c:pt>
                <c:pt idx="293">
                  <c:v>2100</c:v>
                </c:pt>
                <c:pt idx="294">
                  <c:v>150</c:v>
                </c:pt>
                <c:pt idx="295">
                  <c:v>0</c:v>
                </c:pt>
                <c:pt idx="296">
                  <c:v>0</c:v>
                </c:pt>
                <c:pt idx="297">
                  <c:v>0</c:v>
                </c:pt>
                <c:pt idx="298">
                  <c:v>0</c:v>
                </c:pt>
                <c:pt idx="299">
                  <c:v>0</c:v>
                </c:pt>
                <c:pt idx="300">
                  <c:v>0</c:v>
                </c:pt>
                <c:pt idx="301">
                  <c:v>0</c:v>
                </c:pt>
                <c:pt idx="302">
                  <c:v>9040</c:v>
                </c:pt>
                <c:pt idx="303">
                  <c:v>0</c:v>
                </c:pt>
                <c:pt idx="304">
                  <c:v>0</c:v>
                </c:pt>
                <c:pt idx="305">
                  <c:v>0</c:v>
                </c:pt>
                <c:pt idx="306">
                  <c:v>0</c:v>
                </c:pt>
                <c:pt idx="307">
                  <c:v>0</c:v>
                </c:pt>
                <c:pt idx="308">
                  <c:v>400</c:v>
                </c:pt>
                <c:pt idx="309">
                  <c:v>56</c:v>
                </c:pt>
                <c:pt idx="310">
                  <c:v>0</c:v>
                </c:pt>
                <c:pt idx="311">
                  <c:v>0</c:v>
                </c:pt>
                <c:pt idx="312">
                  <c:v>0</c:v>
                </c:pt>
                <c:pt idx="313">
                  <c:v>352</c:v>
                </c:pt>
                <c:pt idx="314">
                  <c:v>200</c:v>
                </c:pt>
                <c:pt idx="315">
                  <c:v>0</c:v>
                </c:pt>
                <c:pt idx="316">
                  <c:v>150</c:v>
                </c:pt>
                <c:pt idx="317">
                  <c:v>0</c:v>
                </c:pt>
                <c:pt idx="318">
                  <c:v>0</c:v>
                </c:pt>
                <c:pt idx="319">
                  <c:v>0</c:v>
                </c:pt>
                <c:pt idx="320">
                  <c:v>0</c:v>
                </c:pt>
                <c:pt idx="321">
                  <c:v>0</c:v>
                </c:pt>
                <c:pt idx="322">
                  <c:v>1207</c:v>
                </c:pt>
                <c:pt idx="323">
                  <c:v>0</c:v>
                </c:pt>
                <c:pt idx="324">
                  <c:v>0</c:v>
                </c:pt>
                <c:pt idx="325">
                  <c:v>0</c:v>
                </c:pt>
                <c:pt idx="326">
                  <c:v>5000</c:v>
                </c:pt>
                <c:pt idx="327">
                  <c:v>2000</c:v>
                </c:pt>
                <c:pt idx="328">
                  <c:v>2000</c:v>
                </c:pt>
                <c:pt idx="329">
                  <c:v>0</c:v>
                </c:pt>
                <c:pt idx="330">
                  <c:v>336</c:v>
                </c:pt>
                <c:pt idx="331">
                  <c:v>0</c:v>
                </c:pt>
                <c:pt idx="332">
                  <c:v>0</c:v>
                </c:pt>
                <c:pt idx="333">
                  <c:v>0</c:v>
                </c:pt>
                <c:pt idx="334">
                  <c:v>4110</c:v>
                </c:pt>
                <c:pt idx="335">
                  <c:v>60</c:v>
                </c:pt>
                <c:pt idx="336">
                  <c:v>0</c:v>
                </c:pt>
                <c:pt idx="337">
                  <c:v>2100</c:v>
                </c:pt>
                <c:pt idx="338">
                  <c:v>0</c:v>
                </c:pt>
                <c:pt idx="339">
                  <c:v>0</c:v>
                </c:pt>
                <c:pt idx="340">
                  <c:v>295</c:v>
                </c:pt>
                <c:pt idx="341">
                  <c:v>0</c:v>
                </c:pt>
                <c:pt idx="342">
                  <c:v>0</c:v>
                </c:pt>
                <c:pt idx="343">
                  <c:v>500</c:v>
                </c:pt>
                <c:pt idx="344">
                  <c:v>0</c:v>
                </c:pt>
                <c:pt idx="345">
                  <c:v>0</c:v>
                </c:pt>
                <c:pt idx="346">
                  <c:v>0</c:v>
                </c:pt>
                <c:pt idx="347">
                  <c:v>700</c:v>
                </c:pt>
                <c:pt idx="348">
                  <c:v>695</c:v>
                </c:pt>
                <c:pt idx="349">
                  <c:v>5073</c:v>
                </c:pt>
                <c:pt idx="350">
                  <c:v>0</c:v>
                </c:pt>
                <c:pt idx="351">
                  <c:v>1405</c:v>
                </c:pt>
                <c:pt idx="352">
                  <c:v>0</c:v>
                </c:pt>
                <c:pt idx="353">
                  <c:v>0</c:v>
                </c:pt>
                <c:pt idx="354">
                  <c:v>100</c:v>
                </c:pt>
                <c:pt idx="355">
                  <c:v>0</c:v>
                </c:pt>
                <c:pt idx="356">
                  <c:v>0</c:v>
                </c:pt>
                <c:pt idx="357">
                  <c:v>0</c:v>
                </c:pt>
                <c:pt idx="358">
                  <c:v>1200</c:v>
                </c:pt>
                <c:pt idx="359">
                  <c:v>0</c:v>
                </c:pt>
                <c:pt idx="360">
                  <c:v>0</c:v>
                </c:pt>
                <c:pt idx="361">
                  <c:v>348</c:v>
                </c:pt>
                <c:pt idx="362">
                  <c:v>752</c:v>
                </c:pt>
                <c:pt idx="363">
                  <c:v>150</c:v>
                </c:pt>
                <c:pt idx="364">
                  <c:v>2700</c:v>
                </c:pt>
                <c:pt idx="365">
                  <c:v>1453</c:v>
                </c:pt>
                <c:pt idx="36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DBA-401F-B290-C39FE822E2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17936528"/>
        <c:axId val="1117955568"/>
      </c:barChart>
      <c:lineChart>
        <c:grouping val="standard"/>
        <c:varyColors val="0"/>
        <c:ser>
          <c:idx val="1"/>
          <c:order val="1"/>
          <c:tx>
            <c:strRef>
              <c:f>'7 BSO'!$E$17</c:f>
              <c:strCache>
                <c:ptCount val="1"/>
                <c:pt idx="0">
                  <c:v>Цена</c:v>
                </c:pt>
              </c:strCache>
            </c:strRef>
          </c:tx>
          <c:spPr>
            <a:ln>
              <a:solidFill>
                <a:srgbClr val="FF0000"/>
              </a:solidFill>
            </a:ln>
          </c:spPr>
          <c:marker>
            <c:symbol val="none"/>
          </c:marker>
          <c:cat>
            <c:numRef>
              <c:f>'7 BSO'!$C$19:$C$385</c:f>
              <c:numCache>
                <c:formatCode>m/d/yyyy</c:formatCode>
                <c:ptCount val="367"/>
                <c:pt idx="0">
                  <c:v>42917</c:v>
                </c:pt>
                <c:pt idx="1">
                  <c:v>42918</c:v>
                </c:pt>
                <c:pt idx="2">
                  <c:v>42919</c:v>
                </c:pt>
                <c:pt idx="3">
                  <c:v>42920</c:v>
                </c:pt>
                <c:pt idx="4">
                  <c:v>42921</c:v>
                </c:pt>
                <c:pt idx="5">
                  <c:v>42922</c:v>
                </c:pt>
                <c:pt idx="6">
                  <c:v>42923</c:v>
                </c:pt>
                <c:pt idx="7">
                  <c:v>42924</c:v>
                </c:pt>
                <c:pt idx="8">
                  <c:v>42925</c:v>
                </c:pt>
                <c:pt idx="9">
                  <c:v>42926</c:v>
                </c:pt>
                <c:pt idx="10">
                  <c:v>42927</c:v>
                </c:pt>
                <c:pt idx="11">
                  <c:v>42928</c:v>
                </c:pt>
                <c:pt idx="12">
                  <c:v>42929</c:v>
                </c:pt>
                <c:pt idx="13">
                  <c:v>42930</c:v>
                </c:pt>
                <c:pt idx="14">
                  <c:v>42931</c:v>
                </c:pt>
                <c:pt idx="15">
                  <c:v>42932</c:v>
                </c:pt>
                <c:pt idx="16">
                  <c:v>42933</c:v>
                </c:pt>
                <c:pt idx="17">
                  <c:v>42934</c:v>
                </c:pt>
                <c:pt idx="18">
                  <c:v>42935</c:v>
                </c:pt>
                <c:pt idx="19">
                  <c:v>42936</c:v>
                </c:pt>
                <c:pt idx="20">
                  <c:v>42937</c:v>
                </c:pt>
                <c:pt idx="21">
                  <c:v>42938</c:v>
                </c:pt>
                <c:pt idx="22">
                  <c:v>42939</c:v>
                </c:pt>
                <c:pt idx="23">
                  <c:v>42940</c:v>
                </c:pt>
                <c:pt idx="24">
                  <c:v>42941</c:v>
                </c:pt>
                <c:pt idx="25">
                  <c:v>42942</c:v>
                </c:pt>
                <c:pt idx="26">
                  <c:v>42943</c:v>
                </c:pt>
                <c:pt idx="27">
                  <c:v>42944</c:v>
                </c:pt>
                <c:pt idx="28">
                  <c:v>42945</c:v>
                </c:pt>
                <c:pt idx="29">
                  <c:v>42946</c:v>
                </c:pt>
                <c:pt idx="30">
                  <c:v>42947</c:v>
                </c:pt>
                <c:pt idx="31">
                  <c:v>42948</c:v>
                </c:pt>
                <c:pt idx="32">
                  <c:v>42949</c:v>
                </c:pt>
                <c:pt idx="33">
                  <c:v>42950</c:v>
                </c:pt>
                <c:pt idx="34">
                  <c:v>42951</c:v>
                </c:pt>
                <c:pt idx="35">
                  <c:v>42952</c:v>
                </c:pt>
                <c:pt idx="36">
                  <c:v>42953</c:v>
                </c:pt>
                <c:pt idx="37">
                  <c:v>42954</c:v>
                </c:pt>
                <c:pt idx="38">
                  <c:v>42955</c:v>
                </c:pt>
                <c:pt idx="39">
                  <c:v>42956</c:v>
                </c:pt>
                <c:pt idx="40">
                  <c:v>42957</c:v>
                </c:pt>
                <c:pt idx="41">
                  <c:v>42958</c:v>
                </c:pt>
                <c:pt idx="42">
                  <c:v>42959</c:v>
                </c:pt>
                <c:pt idx="43">
                  <c:v>42960</c:v>
                </c:pt>
                <c:pt idx="44">
                  <c:v>42961</c:v>
                </c:pt>
                <c:pt idx="45">
                  <c:v>42962</c:v>
                </c:pt>
                <c:pt idx="46">
                  <c:v>42963</c:v>
                </c:pt>
                <c:pt idx="47">
                  <c:v>42964</c:v>
                </c:pt>
                <c:pt idx="48">
                  <c:v>42965</c:v>
                </c:pt>
                <c:pt idx="49">
                  <c:v>42966</c:v>
                </c:pt>
                <c:pt idx="50">
                  <c:v>42967</c:v>
                </c:pt>
                <c:pt idx="51">
                  <c:v>42968</c:v>
                </c:pt>
                <c:pt idx="52">
                  <c:v>42969</c:v>
                </c:pt>
                <c:pt idx="53">
                  <c:v>42970</c:v>
                </c:pt>
                <c:pt idx="54">
                  <c:v>42971</c:v>
                </c:pt>
                <c:pt idx="55">
                  <c:v>42972</c:v>
                </c:pt>
                <c:pt idx="56">
                  <c:v>42973</c:v>
                </c:pt>
                <c:pt idx="57">
                  <c:v>42974</c:v>
                </c:pt>
                <c:pt idx="58">
                  <c:v>42975</c:v>
                </c:pt>
                <c:pt idx="59">
                  <c:v>42976</c:v>
                </c:pt>
                <c:pt idx="60">
                  <c:v>42977</c:v>
                </c:pt>
                <c:pt idx="61">
                  <c:v>42978</c:v>
                </c:pt>
                <c:pt idx="62">
                  <c:v>42979</c:v>
                </c:pt>
                <c:pt idx="63">
                  <c:v>42980</c:v>
                </c:pt>
                <c:pt idx="64">
                  <c:v>42981</c:v>
                </c:pt>
                <c:pt idx="65">
                  <c:v>42982</c:v>
                </c:pt>
                <c:pt idx="66">
                  <c:v>42983</c:v>
                </c:pt>
                <c:pt idx="67">
                  <c:v>42984</c:v>
                </c:pt>
                <c:pt idx="68">
                  <c:v>42985</c:v>
                </c:pt>
                <c:pt idx="69">
                  <c:v>42986</c:v>
                </c:pt>
                <c:pt idx="70">
                  <c:v>42987</c:v>
                </c:pt>
                <c:pt idx="71">
                  <c:v>42988</c:v>
                </c:pt>
                <c:pt idx="72">
                  <c:v>42989</c:v>
                </c:pt>
                <c:pt idx="73">
                  <c:v>42990</c:v>
                </c:pt>
                <c:pt idx="74">
                  <c:v>42991</c:v>
                </c:pt>
                <c:pt idx="75">
                  <c:v>42992</c:v>
                </c:pt>
                <c:pt idx="76">
                  <c:v>42993</c:v>
                </c:pt>
                <c:pt idx="77">
                  <c:v>42994</c:v>
                </c:pt>
                <c:pt idx="78">
                  <c:v>42995</c:v>
                </c:pt>
                <c:pt idx="79">
                  <c:v>42996</c:v>
                </c:pt>
                <c:pt idx="80">
                  <c:v>42997</c:v>
                </c:pt>
                <c:pt idx="81">
                  <c:v>42998</c:v>
                </c:pt>
                <c:pt idx="82">
                  <c:v>42999</c:v>
                </c:pt>
                <c:pt idx="83">
                  <c:v>43000</c:v>
                </c:pt>
                <c:pt idx="84">
                  <c:v>43001</c:v>
                </c:pt>
                <c:pt idx="85">
                  <c:v>43002</c:v>
                </c:pt>
                <c:pt idx="86">
                  <c:v>43003</c:v>
                </c:pt>
                <c:pt idx="87">
                  <c:v>43004</c:v>
                </c:pt>
                <c:pt idx="88">
                  <c:v>43005</c:v>
                </c:pt>
                <c:pt idx="89">
                  <c:v>43006</c:v>
                </c:pt>
                <c:pt idx="90">
                  <c:v>43007</c:v>
                </c:pt>
                <c:pt idx="91">
                  <c:v>43008</c:v>
                </c:pt>
                <c:pt idx="92">
                  <c:v>43009</c:v>
                </c:pt>
                <c:pt idx="93">
                  <c:v>43010</c:v>
                </c:pt>
                <c:pt idx="94">
                  <c:v>43011</c:v>
                </c:pt>
                <c:pt idx="95">
                  <c:v>43012</c:v>
                </c:pt>
                <c:pt idx="96">
                  <c:v>43013</c:v>
                </c:pt>
                <c:pt idx="97">
                  <c:v>43014</c:v>
                </c:pt>
                <c:pt idx="98">
                  <c:v>43015</c:v>
                </c:pt>
                <c:pt idx="99">
                  <c:v>43016</c:v>
                </c:pt>
                <c:pt idx="100">
                  <c:v>43017</c:v>
                </c:pt>
                <c:pt idx="101">
                  <c:v>43018</c:v>
                </c:pt>
                <c:pt idx="102">
                  <c:v>43019</c:v>
                </c:pt>
                <c:pt idx="103">
                  <c:v>43020</c:v>
                </c:pt>
                <c:pt idx="104">
                  <c:v>43021</c:v>
                </c:pt>
                <c:pt idx="105">
                  <c:v>43022</c:v>
                </c:pt>
                <c:pt idx="106">
                  <c:v>43023</c:v>
                </c:pt>
                <c:pt idx="107">
                  <c:v>43024</c:v>
                </c:pt>
                <c:pt idx="108">
                  <c:v>43025</c:v>
                </c:pt>
                <c:pt idx="109">
                  <c:v>43026</c:v>
                </c:pt>
                <c:pt idx="110">
                  <c:v>43027</c:v>
                </c:pt>
                <c:pt idx="111">
                  <c:v>43028</c:v>
                </c:pt>
                <c:pt idx="112">
                  <c:v>43029</c:v>
                </c:pt>
                <c:pt idx="113">
                  <c:v>43030</c:v>
                </c:pt>
                <c:pt idx="114">
                  <c:v>43031</c:v>
                </c:pt>
                <c:pt idx="115">
                  <c:v>43032</c:v>
                </c:pt>
                <c:pt idx="116">
                  <c:v>43033</c:v>
                </c:pt>
                <c:pt idx="117">
                  <c:v>43034</c:v>
                </c:pt>
                <c:pt idx="118">
                  <c:v>43035</c:v>
                </c:pt>
                <c:pt idx="119">
                  <c:v>43036</c:v>
                </c:pt>
                <c:pt idx="120">
                  <c:v>43037</c:v>
                </c:pt>
                <c:pt idx="121">
                  <c:v>43038</c:v>
                </c:pt>
                <c:pt idx="122">
                  <c:v>43039</c:v>
                </c:pt>
                <c:pt idx="123">
                  <c:v>43040</c:v>
                </c:pt>
                <c:pt idx="124">
                  <c:v>43041</c:v>
                </c:pt>
                <c:pt idx="125">
                  <c:v>43042</c:v>
                </c:pt>
                <c:pt idx="126">
                  <c:v>43043</c:v>
                </c:pt>
                <c:pt idx="127">
                  <c:v>43044</c:v>
                </c:pt>
                <c:pt idx="128">
                  <c:v>43045</c:v>
                </c:pt>
                <c:pt idx="129">
                  <c:v>43046</c:v>
                </c:pt>
                <c:pt idx="130">
                  <c:v>43047</c:v>
                </c:pt>
                <c:pt idx="131">
                  <c:v>43048</c:v>
                </c:pt>
                <c:pt idx="132">
                  <c:v>43049</c:v>
                </c:pt>
                <c:pt idx="133">
                  <c:v>43050</c:v>
                </c:pt>
                <c:pt idx="134">
                  <c:v>43051</c:v>
                </c:pt>
                <c:pt idx="135">
                  <c:v>43052</c:v>
                </c:pt>
                <c:pt idx="136">
                  <c:v>43053</c:v>
                </c:pt>
                <c:pt idx="137">
                  <c:v>43054</c:v>
                </c:pt>
                <c:pt idx="138">
                  <c:v>43055</c:v>
                </c:pt>
                <c:pt idx="139">
                  <c:v>43056</c:v>
                </c:pt>
                <c:pt idx="140">
                  <c:v>43057</c:v>
                </c:pt>
                <c:pt idx="141">
                  <c:v>43058</c:v>
                </c:pt>
                <c:pt idx="142">
                  <c:v>43059</c:v>
                </c:pt>
                <c:pt idx="143">
                  <c:v>43060</c:v>
                </c:pt>
                <c:pt idx="144">
                  <c:v>43061</c:v>
                </c:pt>
                <c:pt idx="145">
                  <c:v>43062</c:v>
                </c:pt>
                <c:pt idx="146">
                  <c:v>43063</c:v>
                </c:pt>
                <c:pt idx="147">
                  <c:v>43064</c:v>
                </c:pt>
                <c:pt idx="148">
                  <c:v>43065</c:v>
                </c:pt>
                <c:pt idx="149">
                  <c:v>43066</c:v>
                </c:pt>
                <c:pt idx="150">
                  <c:v>43067</c:v>
                </c:pt>
                <c:pt idx="151">
                  <c:v>43068</c:v>
                </c:pt>
                <c:pt idx="152">
                  <c:v>43069</c:v>
                </c:pt>
                <c:pt idx="153">
                  <c:v>43070</c:v>
                </c:pt>
                <c:pt idx="154">
                  <c:v>43071</c:v>
                </c:pt>
                <c:pt idx="155">
                  <c:v>43072</c:v>
                </c:pt>
                <c:pt idx="156">
                  <c:v>43073</c:v>
                </c:pt>
                <c:pt idx="157">
                  <c:v>43074</c:v>
                </c:pt>
                <c:pt idx="158">
                  <c:v>43075</c:v>
                </c:pt>
                <c:pt idx="159">
                  <c:v>43076</c:v>
                </c:pt>
                <c:pt idx="160">
                  <c:v>43077</c:v>
                </c:pt>
                <c:pt idx="161">
                  <c:v>43078</c:v>
                </c:pt>
                <c:pt idx="162">
                  <c:v>43079</c:v>
                </c:pt>
                <c:pt idx="163">
                  <c:v>43080</c:v>
                </c:pt>
                <c:pt idx="164">
                  <c:v>43081</c:v>
                </c:pt>
                <c:pt idx="165">
                  <c:v>43082</c:v>
                </c:pt>
                <c:pt idx="166">
                  <c:v>43083</c:v>
                </c:pt>
                <c:pt idx="167">
                  <c:v>43084</c:v>
                </c:pt>
                <c:pt idx="168">
                  <c:v>43085</c:v>
                </c:pt>
                <c:pt idx="169">
                  <c:v>43086</c:v>
                </c:pt>
                <c:pt idx="170">
                  <c:v>43087</c:v>
                </c:pt>
                <c:pt idx="171">
                  <c:v>43088</c:v>
                </c:pt>
                <c:pt idx="172">
                  <c:v>43089</c:v>
                </c:pt>
                <c:pt idx="173">
                  <c:v>43090</c:v>
                </c:pt>
                <c:pt idx="174">
                  <c:v>43091</c:v>
                </c:pt>
                <c:pt idx="175">
                  <c:v>43092</c:v>
                </c:pt>
                <c:pt idx="176">
                  <c:v>43093</c:v>
                </c:pt>
                <c:pt idx="177">
                  <c:v>43094</c:v>
                </c:pt>
                <c:pt idx="178">
                  <c:v>43095</c:v>
                </c:pt>
                <c:pt idx="179">
                  <c:v>43096</c:v>
                </c:pt>
                <c:pt idx="180">
                  <c:v>43097</c:v>
                </c:pt>
                <c:pt idx="181">
                  <c:v>43098</c:v>
                </c:pt>
                <c:pt idx="182">
                  <c:v>43099</c:v>
                </c:pt>
                <c:pt idx="183">
                  <c:v>43100</c:v>
                </c:pt>
                <c:pt idx="186">
                  <c:v>43101</c:v>
                </c:pt>
                <c:pt idx="187">
                  <c:v>43102</c:v>
                </c:pt>
                <c:pt idx="188">
                  <c:v>43103</c:v>
                </c:pt>
                <c:pt idx="189">
                  <c:v>43104</c:v>
                </c:pt>
                <c:pt idx="190">
                  <c:v>43105</c:v>
                </c:pt>
                <c:pt idx="191">
                  <c:v>43106</c:v>
                </c:pt>
                <c:pt idx="192">
                  <c:v>43107</c:v>
                </c:pt>
                <c:pt idx="193">
                  <c:v>43108</c:v>
                </c:pt>
                <c:pt idx="194">
                  <c:v>43109</c:v>
                </c:pt>
                <c:pt idx="195">
                  <c:v>43110</c:v>
                </c:pt>
                <c:pt idx="196">
                  <c:v>43111</c:v>
                </c:pt>
                <c:pt idx="197">
                  <c:v>43112</c:v>
                </c:pt>
                <c:pt idx="198">
                  <c:v>43113</c:v>
                </c:pt>
                <c:pt idx="199">
                  <c:v>43114</c:v>
                </c:pt>
                <c:pt idx="200">
                  <c:v>43115</c:v>
                </c:pt>
                <c:pt idx="201">
                  <c:v>43116</c:v>
                </c:pt>
                <c:pt idx="202">
                  <c:v>43117</c:v>
                </c:pt>
                <c:pt idx="203">
                  <c:v>43118</c:v>
                </c:pt>
                <c:pt idx="204">
                  <c:v>43119</c:v>
                </c:pt>
                <c:pt idx="205">
                  <c:v>43120</c:v>
                </c:pt>
                <c:pt idx="206">
                  <c:v>43121</c:v>
                </c:pt>
                <c:pt idx="207">
                  <c:v>43122</c:v>
                </c:pt>
                <c:pt idx="208">
                  <c:v>43123</c:v>
                </c:pt>
                <c:pt idx="209">
                  <c:v>43124</c:v>
                </c:pt>
                <c:pt idx="210">
                  <c:v>43125</c:v>
                </c:pt>
                <c:pt idx="211">
                  <c:v>43126</c:v>
                </c:pt>
                <c:pt idx="212">
                  <c:v>43127</c:v>
                </c:pt>
                <c:pt idx="213">
                  <c:v>43128</c:v>
                </c:pt>
                <c:pt idx="214">
                  <c:v>43129</c:v>
                </c:pt>
                <c:pt idx="215">
                  <c:v>43130</c:v>
                </c:pt>
                <c:pt idx="216">
                  <c:v>43131</c:v>
                </c:pt>
                <c:pt idx="217">
                  <c:v>43132</c:v>
                </c:pt>
                <c:pt idx="218">
                  <c:v>43133</c:v>
                </c:pt>
                <c:pt idx="219">
                  <c:v>43134</c:v>
                </c:pt>
                <c:pt idx="220">
                  <c:v>43135</c:v>
                </c:pt>
                <c:pt idx="221">
                  <c:v>43136</c:v>
                </c:pt>
                <c:pt idx="222">
                  <c:v>43137</c:v>
                </c:pt>
                <c:pt idx="223">
                  <c:v>43138</c:v>
                </c:pt>
                <c:pt idx="224">
                  <c:v>43139</c:v>
                </c:pt>
                <c:pt idx="225">
                  <c:v>43140</c:v>
                </c:pt>
                <c:pt idx="226">
                  <c:v>43141</c:v>
                </c:pt>
                <c:pt idx="227">
                  <c:v>43142</c:v>
                </c:pt>
                <c:pt idx="228">
                  <c:v>43143</c:v>
                </c:pt>
                <c:pt idx="229">
                  <c:v>43144</c:v>
                </c:pt>
                <c:pt idx="230">
                  <c:v>43145</c:v>
                </c:pt>
                <c:pt idx="231">
                  <c:v>43146</c:v>
                </c:pt>
                <c:pt idx="232">
                  <c:v>43147</c:v>
                </c:pt>
                <c:pt idx="233">
                  <c:v>43148</c:v>
                </c:pt>
                <c:pt idx="234">
                  <c:v>43149</c:v>
                </c:pt>
                <c:pt idx="235">
                  <c:v>43150</c:v>
                </c:pt>
                <c:pt idx="236">
                  <c:v>43151</c:v>
                </c:pt>
                <c:pt idx="237">
                  <c:v>43152</c:v>
                </c:pt>
                <c:pt idx="238">
                  <c:v>43153</c:v>
                </c:pt>
                <c:pt idx="239">
                  <c:v>43154</c:v>
                </c:pt>
                <c:pt idx="240">
                  <c:v>43155</c:v>
                </c:pt>
                <c:pt idx="241">
                  <c:v>43156</c:v>
                </c:pt>
                <c:pt idx="242">
                  <c:v>43157</c:v>
                </c:pt>
                <c:pt idx="243">
                  <c:v>43158</c:v>
                </c:pt>
                <c:pt idx="244">
                  <c:v>43159</c:v>
                </c:pt>
                <c:pt idx="245">
                  <c:v>43160</c:v>
                </c:pt>
                <c:pt idx="246">
                  <c:v>43161</c:v>
                </c:pt>
                <c:pt idx="247">
                  <c:v>43162</c:v>
                </c:pt>
                <c:pt idx="248">
                  <c:v>43163</c:v>
                </c:pt>
                <c:pt idx="249">
                  <c:v>43164</c:v>
                </c:pt>
                <c:pt idx="250">
                  <c:v>43165</c:v>
                </c:pt>
                <c:pt idx="251">
                  <c:v>43166</c:v>
                </c:pt>
                <c:pt idx="252">
                  <c:v>43167</c:v>
                </c:pt>
                <c:pt idx="253">
                  <c:v>43168</c:v>
                </c:pt>
                <c:pt idx="254">
                  <c:v>43169</c:v>
                </c:pt>
                <c:pt idx="255">
                  <c:v>43170</c:v>
                </c:pt>
                <c:pt idx="256">
                  <c:v>43171</c:v>
                </c:pt>
                <c:pt idx="257">
                  <c:v>43172</c:v>
                </c:pt>
                <c:pt idx="258">
                  <c:v>43173</c:v>
                </c:pt>
                <c:pt idx="259">
                  <c:v>43174</c:v>
                </c:pt>
                <c:pt idx="260">
                  <c:v>43175</c:v>
                </c:pt>
                <c:pt idx="261">
                  <c:v>43176</c:v>
                </c:pt>
                <c:pt idx="262">
                  <c:v>43177</c:v>
                </c:pt>
                <c:pt idx="263">
                  <c:v>43178</c:v>
                </c:pt>
                <c:pt idx="264">
                  <c:v>43179</c:v>
                </c:pt>
                <c:pt idx="265">
                  <c:v>43180</c:v>
                </c:pt>
                <c:pt idx="266">
                  <c:v>43181</c:v>
                </c:pt>
                <c:pt idx="267">
                  <c:v>43182</c:v>
                </c:pt>
                <c:pt idx="268">
                  <c:v>43183</c:v>
                </c:pt>
                <c:pt idx="269">
                  <c:v>43184</c:v>
                </c:pt>
                <c:pt idx="270">
                  <c:v>43185</c:v>
                </c:pt>
                <c:pt idx="271">
                  <c:v>43186</c:v>
                </c:pt>
                <c:pt idx="272">
                  <c:v>43187</c:v>
                </c:pt>
                <c:pt idx="273">
                  <c:v>43188</c:v>
                </c:pt>
                <c:pt idx="274">
                  <c:v>43189</c:v>
                </c:pt>
                <c:pt idx="275">
                  <c:v>43190</c:v>
                </c:pt>
                <c:pt idx="276">
                  <c:v>43191</c:v>
                </c:pt>
                <c:pt idx="277">
                  <c:v>43192</c:v>
                </c:pt>
                <c:pt idx="278">
                  <c:v>43193</c:v>
                </c:pt>
                <c:pt idx="279">
                  <c:v>43194</c:v>
                </c:pt>
                <c:pt idx="280">
                  <c:v>43195</c:v>
                </c:pt>
                <c:pt idx="281">
                  <c:v>43196</c:v>
                </c:pt>
                <c:pt idx="282">
                  <c:v>43197</c:v>
                </c:pt>
                <c:pt idx="283">
                  <c:v>43198</c:v>
                </c:pt>
                <c:pt idx="284">
                  <c:v>43199</c:v>
                </c:pt>
                <c:pt idx="285">
                  <c:v>43200</c:v>
                </c:pt>
                <c:pt idx="286">
                  <c:v>43201</c:v>
                </c:pt>
                <c:pt idx="287">
                  <c:v>43202</c:v>
                </c:pt>
                <c:pt idx="288">
                  <c:v>43203</c:v>
                </c:pt>
                <c:pt idx="289">
                  <c:v>43204</c:v>
                </c:pt>
                <c:pt idx="290">
                  <c:v>43205</c:v>
                </c:pt>
                <c:pt idx="291">
                  <c:v>43206</c:v>
                </c:pt>
                <c:pt idx="292">
                  <c:v>43207</c:v>
                </c:pt>
                <c:pt idx="293">
                  <c:v>43208</c:v>
                </c:pt>
                <c:pt idx="294">
                  <c:v>43209</c:v>
                </c:pt>
                <c:pt idx="295">
                  <c:v>43210</c:v>
                </c:pt>
                <c:pt idx="296">
                  <c:v>43211</c:v>
                </c:pt>
                <c:pt idx="297">
                  <c:v>43212</c:v>
                </c:pt>
                <c:pt idx="298">
                  <c:v>43213</c:v>
                </c:pt>
                <c:pt idx="299">
                  <c:v>43214</c:v>
                </c:pt>
                <c:pt idx="300">
                  <c:v>43215</c:v>
                </c:pt>
                <c:pt idx="301">
                  <c:v>43216</c:v>
                </c:pt>
                <c:pt idx="302">
                  <c:v>43217</c:v>
                </c:pt>
                <c:pt idx="303">
                  <c:v>43218</c:v>
                </c:pt>
                <c:pt idx="304">
                  <c:v>43219</c:v>
                </c:pt>
                <c:pt idx="305">
                  <c:v>43220</c:v>
                </c:pt>
                <c:pt idx="306">
                  <c:v>43221</c:v>
                </c:pt>
                <c:pt idx="307">
                  <c:v>43222</c:v>
                </c:pt>
                <c:pt idx="308">
                  <c:v>43223</c:v>
                </c:pt>
                <c:pt idx="309">
                  <c:v>43224</c:v>
                </c:pt>
                <c:pt idx="310">
                  <c:v>43225</c:v>
                </c:pt>
                <c:pt idx="311">
                  <c:v>43226</c:v>
                </c:pt>
                <c:pt idx="312">
                  <c:v>43227</c:v>
                </c:pt>
                <c:pt idx="313">
                  <c:v>43228</c:v>
                </c:pt>
                <c:pt idx="314">
                  <c:v>43229</c:v>
                </c:pt>
                <c:pt idx="315">
                  <c:v>43230</c:v>
                </c:pt>
                <c:pt idx="316">
                  <c:v>43231</c:v>
                </c:pt>
                <c:pt idx="317">
                  <c:v>43232</c:v>
                </c:pt>
                <c:pt idx="318">
                  <c:v>43233</c:v>
                </c:pt>
                <c:pt idx="319">
                  <c:v>43234</c:v>
                </c:pt>
                <c:pt idx="320">
                  <c:v>43235</c:v>
                </c:pt>
                <c:pt idx="321">
                  <c:v>43236</c:v>
                </c:pt>
                <c:pt idx="322">
                  <c:v>43237</c:v>
                </c:pt>
                <c:pt idx="323">
                  <c:v>43238</c:v>
                </c:pt>
                <c:pt idx="324">
                  <c:v>43239</c:v>
                </c:pt>
                <c:pt idx="325">
                  <c:v>43240</c:v>
                </c:pt>
                <c:pt idx="326">
                  <c:v>43241</c:v>
                </c:pt>
                <c:pt idx="327">
                  <c:v>43242</c:v>
                </c:pt>
                <c:pt idx="328">
                  <c:v>43243</c:v>
                </c:pt>
                <c:pt idx="329">
                  <c:v>43244</c:v>
                </c:pt>
                <c:pt idx="330">
                  <c:v>43245</c:v>
                </c:pt>
                <c:pt idx="331">
                  <c:v>43246</c:v>
                </c:pt>
                <c:pt idx="332">
                  <c:v>43247</c:v>
                </c:pt>
                <c:pt idx="333">
                  <c:v>43248</c:v>
                </c:pt>
                <c:pt idx="334">
                  <c:v>43249</c:v>
                </c:pt>
                <c:pt idx="335">
                  <c:v>43250</c:v>
                </c:pt>
                <c:pt idx="336">
                  <c:v>43251</c:v>
                </c:pt>
                <c:pt idx="337">
                  <c:v>43252</c:v>
                </c:pt>
                <c:pt idx="338">
                  <c:v>43253</c:v>
                </c:pt>
                <c:pt idx="339">
                  <c:v>43254</c:v>
                </c:pt>
                <c:pt idx="340">
                  <c:v>43255</c:v>
                </c:pt>
                <c:pt idx="341">
                  <c:v>43256</c:v>
                </c:pt>
                <c:pt idx="342">
                  <c:v>43257</c:v>
                </c:pt>
                <c:pt idx="343">
                  <c:v>43258</c:v>
                </c:pt>
                <c:pt idx="344">
                  <c:v>43259</c:v>
                </c:pt>
                <c:pt idx="345">
                  <c:v>43260</c:v>
                </c:pt>
                <c:pt idx="346">
                  <c:v>43261</c:v>
                </c:pt>
                <c:pt idx="347">
                  <c:v>43262</c:v>
                </c:pt>
                <c:pt idx="348">
                  <c:v>43263</c:v>
                </c:pt>
                <c:pt idx="349">
                  <c:v>43264</c:v>
                </c:pt>
                <c:pt idx="350">
                  <c:v>43265</c:v>
                </c:pt>
                <c:pt idx="351">
                  <c:v>43266</c:v>
                </c:pt>
                <c:pt idx="352">
                  <c:v>43267</c:v>
                </c:pt>
                <c:pt idx="353">
                  <c:v>43268</c:v>
                </c:pt>
                <c:pt idx="354">
                  <c:v>43269</c:v>
                </c:pt>
                <c:pt idx="355">
                  <c:v>43270</c:v>
                </c:pt>
                <c:pt idx="356">
                  <c:v>43271</c:v>
                </c:pt>
                <c:pt idx="357">
                  <c:v>43272</c:v>
                </c:pt>
                <c:pt idx="358">
                  <c:v>43273</c:v>
                </c:pt>
                <c:pt idx="359">
                  <c:v>43274</c:v>
                </c:pt>
                <c:pt idx="360">
                  <c:v>43275</c:v>
                </c:pt>
                <c:pt idx="361">
                  <c:v>43276</c:v>
                </c:pt>
                <c:pt idx="362">
                  <c:v>43277</c:v>
                </c:pt>
                <c:pt idx="363">
                  <c:v>43278</c:v>
                </c:pt>
                <c:pt idx="364">
                  <c:v>43279</c:v>
                </c:pt>
                <c:pt idx="365">
                  <c:v>43280</c:v>
                </c:pt>
                <c:pt idx="366">
                  <c:v>43281</c:v>
                </c:pt>
              </c:numCache>
            </c:numRef>
          </c:cat>
          <c:val>
            <c:numRef>
              <c:f>'7 BSO'!$E$19:$E$385</c:f>
              <c:numCache>
                <c:formatCode>General</c:formatCode>
                <c:ptCount val="367"/>
                <c:pt idx="0">
                  <c:v>2.9990000000000001</c:v>
                </c:pt>
                <c:pt idx="1">
                  <c:v>2.9990000000000001</c:v>
                </c:pt>
                <c:pt idx="2">
                  <c:v>2.98</c:v>
                </c:pt>
                <c:pt idx="3">
                  <c:v>3</c:v>
                </c:pt>
                <c:pt idx="4">
                  <c:v>3</c:v>
                </c:pt>
                <c:pt idx="5">
                  <c:v>3.0550000000000002</c:v>
                </c:pt>
                <c:pt idx="6">
                  <c:v>3.3</c:v>
                </c:pt>
                <c:pt idx="7">
                  <c:v>3.3</c:v>
                </c:pt>
                <c:pt idx="8">
                  <c:v>3.3</c:v>
                </c:pt>
                <c:pt idx="9">
                  <c:v>3.3</c:v>
                </c:pt>
                <c:pt idx="10">
                  <c:v>3.3</c:v>
                </c:pt>
                <c:pt idx="11">
                  <c:v>3.3</c:v>
                </c:pt>
                <c:pt idx="12">
                  <c:v>3.3</c:v>
                </c:pt>
                <c:pt idx="13">
                  <c:v>3.55</c:v>
                </c:pt>
                <c:pt idx="14">
                  <c:v>3.55</c:v>
                </c:pt>
                <c:pt idx="15">
                  <c:v>3.55</c:v>
                </c:pt>
                <c:pt idx="16">
                  <c:v>3.6539999999999999</c:v>
                </c:pt>
                <c:pt idx="17">
                  <c:v>3.69</c:v>
                </c:pt>
                <c:pt idx="18">
                  <c:v>3.69</c:v>
                </c:pt>
                <c:pt idx="19">
                  <c:v>3.6</c:v>
                </c:pt>
                <c:pt idx="20">
                  <c:v>3.94</c:v>
                </c:pt>
                <c:pt idx="21">
                  <c:v>3.94</c:v>
                </c:pt>
                <c:pt idx="22">
                  <c:v>3.94</c:v>
                </c:pt>
                <c:pt idx="23">
                  <c:v>3.94</c:v>
                </c:pt>
                <c:pt idx="24">
                  <c:v>3.94</c:v>
                </c:pt>
                <c:pt idx="25">
                  <c:v>3.94</c:v>
                </c:pt>
                <c:pt idx="26">
                  <c:v>3.78</c:v>
                </c:pt>
                <c:pt idx="27">
                  <c:v>3.8</c:v>
                </c:pt>
                <c:pt idx="28">
                  <c:v>3.8</c:v>
                </c:pt>
                <c:pt idx="29">
                  <c:v>3.8</c:v>
                </c:pt>
                <c:pt idx="30">
                  <c:v>3.9239999999999999</c:v>
                </c:pt>
                <c:pt idx="31">
                  <c:v>4</c:v>
                </c:pt>
                <c:pt idx="32">
                  <c:v>4</c:v>
                </c:pt>
                <c:pt idx="33">
                  <c:v>4.1500000000000004</c:v>
                </c:pt>
                <c:pt idx="34">
                  <c:v>4.25</c:v>
                </c:pt>
                <c:pt idx="35">
                  <c:v>4.25</c:v>
                </c:pt>
                <c:pt idx="36">
                  <c:v>4.25</c:v>
                </c:pt>
                <c:pt idx="37">
                  <c:v>4.5</c:v>
                </c:pt>
                <c:pt idx="38">
                  <c:v>4.5140000000000002</c:v>
                </c:pt>
                <c:pt idx="39">
                  <c:v>4.5</c:v>
                </c:pt>
                <c:pt idx="40">
                  <c:v>4.5</c:v>
                </c:pt>
                <c:pt idx="41">
                  <c:v>4.5</c:v>
                </c:pt>
                <c:pt idx="42">
                  <c:v>4.5</c:v>
                </c:pt>
                <c:pt idx="43">
                  <c:v>4.5</c:v>
                </c:pt>
                <c:pt idx="44">
                  <c:v>4.46</c:v>
                </c:pt>
                <c:pt idx="45">
                  <c:v>4.9000000000000004</c:v>
                </c:pt>
                <c:pt idx="46">
                  <c:v>4.992</c:v>
                </c:pt>
                <c:pt idx="47">
                  <c:v>5</c:v>
                </c:pt>
                <c:pt idx="48">
                  <c:v>5.2</c:v>
                </c:pt>
                <c:pt idx="49">
                  <c:v>5.2</c:v>
                </c:pt>
                <c:pt idx="50">
                  <c:v>5.2</c:v>
                </c:pt>
                <c:pt idx="51">
                  <c:v>5.4</c:v>
                </c:pt>
                <c:pt idx="52">
                  <c:v>5.45</c:v>
                </c:pt>
                <c:pt idx="53">
                  <c:v>5.35</c:v>
                </c:pt>
                <c:pt idx="54">
                  <c:v>5</c:v>
                </c:pt>
                <c:pt idx="55">
                  <c:v>4.88</c:v>
                </c:pt>
                <c:pt idx="56">
                  <c:v>4.88</c:v>
                </c:pt>
                <c:pt idx="57">
                  <c:v>4.88</c:v>
                </c:pt>
                <c:pt idx="58">
                  <c:v>4.9000000000000004</c:v>
                </c:pt>
                <c:pt idx="59">
                  <c:v>5.2</c:v>
                </c:pt>
                <c:pt idx="60">
                  <c:v>4.9000000000000004</c:v>
                </c:pt>
                <c:pt idx="61">
                  <c:v>5.1449999999999996</c:v>
                </c:pt>
                <c:pt idx="62">
                  <c:v>5.05</c:v>
                </c:pt>
                <c:pt idx="63">
                  <c:v>5.05</c:v>
                </c:pt>
                <c:pt idx="64">
                  <c:v>5.05</c:v>
                </c:pt>
                <c:pt idx="65">
                  <c:v>5.13</c:v>
                </c:pt>
                <c:pt idx="66">
                  <c:v>5.05</c:v>
                </c:pt>
                <c:pt idx="67">
                  <c:v>5.05</c:v>
                </c:pt>
                <c:pt idx="68">
                  <c:v>5.05</c:v>
                </c:pt>
                <c:pt idx="69">
                  <c:v>5</c:v>
                </c:pt>
                <c:pt idx="70">
                  <c:v>5</c:v>
                </c:pt>
                <c:pt idx="71">
                  <c:v>5</c:v>
                </c:pt>
                <c:pt idx="72">
                  <c:v>5.0990000000000002</c:v>
                </c:pt>
                <c:pt idx="73">
                  <c:v>4.851</c:v>
                </c:pt>
                <c:pt idx="74">
                  <c:v>4.75</c:v>
                </c:pt>
                <c:pt idx="75">
                  <c:v>4.75</c:v>
                </c:pt>
                <c:pt idx="76">
                  <c:v>4.8</c:v>
                </c:pt>
                <c:pt idx="77">
                  <c:v>4.8</c:v>
                </c:pt>
                <c:pt idx="78">
                  <c:v>4.8</c:v>
                </c:pt>
                <c:pt idx="79">
                  <c:v>4.8</c:v>
                </c:pt>
                <c:pt idx="80">
                  <c:v>4.8</c:v>
                </c:pt>
                <c:pt idx="81">
                  <c:v>5</c:v>
                </c:pt>
                <c:pt idx="82">
                  <c:v>4.8499999999999996</c:v>
                </c:pt>
                <c:pt idx="83">
                  <c:v>4.8499999999999996</c:v>
                </c:pt>
                <c:pt idx="84">
                  <c:v>4.8499999999999996</c:v>
                </c:pt>
                <c:pt idx="85">
                  <c:v>4.8499999999999996</c:v>
                </c:pt>
                <c:pt idx="86">
                  <c:v>4.72</c:v>
                </c:pt>
                <c:pt idx="87">
                  <c:v>4.5810000000000004</c:v>
                </c:pt>
                <c:pt idx="88">
                  <c:v>4.84</c:v>
                </c:pt>
                <c:pt idx="89">
                  <c:v>4.8499999999999996</c:v>
                </c:pt>
                <c:pt idx="90">
                  <c:v>4.84</c:v>
                </c:pt>
                <c:pt idx="91">
                  <c:v>4.84</c:v>
                </c:pt>
                <c:pt idx="92">
                  <c:v>4.84</c:v>
                </c:pt>
                <c:pt idx="93">
                  <c:v>4.84</c:v>
                </c:pt>
                <c:pt idx="94">
                  <c:v>4.84</c:v>
                </c:pt>
                <c:pt idx="95">
                  <c:v>4.84</c:v>
                </c:pt>
                <c:pt idx="96">
                  <c:v>4.8</c:v>
                </c:pt>
                <c:pt idx="97">
                  <c:v>4.8</c:v>
                </c:pt>
                <c:pt idx="98">
                  <c:v>4.8</c:v>
                </c:pt>
                <c:pt idx="99">
                  <c:v>4.8</c:v>
                </c:pt>
                <c:pt idx="100">
                  <c:v>4.8</c:v>
                </c:pt>
                <c:pt idx="101">
                  <c:v>4.83</c:v>
                </c:pt>
                <c:pt idx="102">
                  <c:v>4.819</c:v>
                </c:pt>
                <c:pt idx="103">
                  <c:v>4.75</c:v>
                </c:pt>
                <c:pt idx="104">
                  <c:v>4.7</c:v>
                </c:pt>
                <c:pt idx="105">
                  <c:v>4.7</c:v>
                </c:pt>
                <c:pt idx="106">
                  <c:v>4.7</c:v>
                </c:pt>
                <c:pt idx="107">
                  <c:v>4.78</c:v>
                </c:pt>
                <c:pt idx="108">
                  <c:v>4.7009999999999996</c:v>
                </c:pt>
                <c:pt idx="109">
                  <c:v>4.75</c:v>
                </c:pt>
                <c:pt idx="110">
                  <c:v>4.75</c:v>
                </c:pt>
                <c:pt idx="111">
                  <c:v>4.75</c:v>
                </c:pt>
                <c:pt idx="112">
                  <c:v>4.75</c:v>
                </c:pt>
                <c:pt idx="113">
                  <c:v>4.75</c:v>
                </c:pt>
                <c:pt idx="114">
                  <c:v>4.5599999999999996</c:v>
                </c:pt>
                <c:pt idx="115">
                  <c:v>4.53</c:v>
                </c:pt>
                <c:pt idx="116">
                  <c:v>4.62</c:v>
                </c:pt>
                <c:pt idx="117">
                  <c:v>4.5199999999999996</c:v>
                </c:pt>
                <c:pt idx="118">
                  <c:v>4.8</c:v>
                </c:pt>
                <c:pt idx="119">
                  <c:v>4.8</c:v>
                </c:pt>
                <c:pt idx="120">
                  <c:v>4.8</c:v>
                </c:pt>
                <c:pt idx="121">
                  <c:v>4.7009999999999996</c:v>
                </c:pt>
                <c:pt idx="122">
                  <c:v>4.5999999999999996</c:v>
                </c:pt>
                <c:pt idx="123">
                  <c:v>4.75</c:v>
                </c:pt>
                <c:pt idx="124">
                  <c:v>4.75</c:v>
                </c:pt>
                <c:pt idx="125">
                  <c:v>4.75</c:v>
                </c:pt>
                <c:pt idx="126">
                  <c:v>4.75</c:v>
                </c:pt>
                <c:pt idx="127">
                  <c:v>4.75</c:v>
                </c:pt>
                <c:pt idx="128">
                  <c:v>4.6500000000000004</c:v>
                </c:pt>
                <c:pt idx="129">
                  <c:v>4.75</c:v>
                </c:pt>
                <c:pt idx="130">
                  <c:v>4.83</c:v>
                </c:pt>
                <c:pt idx="131">
                  <c:v>4.83</c:v>
                </c:pt>
                <c:pt idx="132">
                  <c:v>4.83</c:v>
                </c:pt>
                <c:pt idx="133">
                  <c:v>4.83</c:v>
                </c:pt>
                <c:pt idx="134">
                  <c:v>4.83</c:v>
                </c:pt>
                <c:pt idx="135">
                  <c:v>4.83</c:v>
                </c:pt>
                <c:pt idx="136">
                  <c:v>4.9400000000000004</c:v>
                </c:pt>
                <c:pt idx="137">
                  <c:v>4.9400000000000004</c:v>
                </c:pt>
                <c:pt idx="138">
                  <c:v>4.9400000000000004</c:v>
                </c:pt>
                <c:pt idx="139">
                  <c:v>4.8010000000000002</c:v>
                </c:pt>
                <c:pt idx="140">
                  <c:v>4.8010000000000002</c:v>
                </c:pt>
                <c:pt idx="141">
                  <c:v>4.8010000000000002</c:v>
                </c:pt>
                <c:pt idx="142">
                  <c:v>4.8010000000000002</c:v>
                </c:pt>
                <c:pt idx="143">
                  <c:v>4.8</c:v>
                </c:pt>
                <c:pt idx="144">
                  <c:v>4.8</c:v>
                </c:pt>
                <c:pt idx="145">
                  <c:v>4.8</c:v>
                </c:pt>
                <c:pt idx="146">
                  <c:v>4.8</c:v>
                </c:pt>
                <c:pt idx="147">
                  <c:v>4.8</c:v>
                </c:pt>
                <c:pt idx="148">
                  <c:v>4.8</c:v>
                </c:pt>
                <c:pt idx="149">
                  <c:v>4.7539999999999996</c:v>
                </c:pt>
                <c:pt idx="150">
                  <c:v>4.7539999999999996</c:v>
                </c:pt>
                <c:pt idx="151">
                  <c:v>4.9820000000000002</c:v>
                </c:pt>
                <c:pt idx="152">
                  <c:v>4.9000000000000004</c:v>
                </c:pt>
                <c:pt idx="153">
                  <c:v>4.75</c:v>
                </c:pt>
                <c:pt idx="154">
                  <c:v>4.75</c:v>
                </c:pt>
                <c:pt idx="155">
                  <c:v>4.75</c:v>
                </c:pt>
                <c:pt idx="156">
                  <c:v>4.9790000000000001</c:v>
                </c:pt>
                <c:pt idx="157">
                  <c:v>4.9790000000000001</c:v>
                </c:pt>
                <c:pt idx="158">
                  <c:v>4.9480000000000004</c:v>
                </c:pt>
                <c:pt idx="159">
                  <c:v>4.8499999999999996</c:v>
                </c:pt>
                <c:pt idx="160">
                  <c:v>4.9000000000000004</c:v>
                </c:pt>
                <c:pt idx="161">
                  <c:v>4.9000000000000004</c:v>
                </c:pt>
                <c:pt idx="162">
                  <c:v>4.9000000000000004</c:v>
                </c:pt>
                <c:pt idx="163">
                  <c:v>5</c:v>
                </c:pt>
                <c:pt idx="164">
                  <c:v>5.0999999999999996</c:v>
                </c:pt>
                <c:pt idx="165">
                  <c:v>5.0990000000000002</c:v>
                </c:pt>
                <c:pt idx="166">
                  <c:v>5.3</c:v>
                </c:pt>
                <c:pt idx="167">
                  <c:v>5.399</c:v>
                </c:pt>
                <c:pt idx="168">
                  <c:v>5.399</c:v>
                </c:pt>
                <c:pt idx="169">
                  <c:v>5.399</c:v>
                </c:pt>
                <c:pt idx="170">
                  <c:v>5.0999999999999996</c:v>
                </c:pt>
                <c:pt idx="171">
                  <c:v>5.0510000000000002</c:v>
                </c:pt>
                <c:pt idx="172">
                  <c:v>5.3949999999999996</c:v>
                </c:pt>
                <c:pt idx="173">
                  <c:v>5.38</c:v>
                </c:pt>
                <c:pt idx="174">
                  <c:v>5.15</c:v>
                </c:pt>
                <c:pt idx="175">
                  <c:v>5.15</c:v>
                </c:pt>
                <c:pt idx="176">
                  <c:v>5.15</c:v>
                </c:pt>
                <c:pt idx="177">
                  <c:v>5.15</c:v>
                </c:pt>
                <c:pt idx="178">
                  <c:v>5.15</c:v>
                </c:pt>
                <c:pt idx="179">
                  <c:v>5.15</c:v>
                </c:pt>
                <c:pt idx="180">
                  <c:v>5.359</c:v>
                </c:pt>
                <c:pt idx="181">
                  <c:v>5.0609999999999999</c:v>
                </c:pt>
                <c:pt idx="182">
                  <c:v>5.0609999999999999</c:v>
                </c:pt>
                <c:pt idx="183">
                  <c:v>5.0609999999999999</c:v>
                </c:pt>
                <c:pt idx="186">
                  <c:v>5.0609999999999999</c:v>
                </c:pt>
                <c:pt idx="187">
                  <c:v>6</c:v>
                </c:pt>
                <c:pt idx="188">
                  <c:v>5.45</c:v>
                </c:pt>
                <c:pt idx="189">
                  <c:v>5.8</c:v>
                </c:pt>
                <c:pt idx="190">
                  <c:v>5.85</c:v>
                </c:pt>
                <c:pt idx="191">
                  <c:v>5.85</c:v>
                </c:pt>
                <c:pt idx="192">
                  <c:v>5.85</c:v>
                </c:pt>
                <c:pt idx="193">
                  <c:v>5.65</c:v>
                </c:pt>
                <c:pt idx="194">
                  <c:v>5.85</c:v>
                </c:pt>
                <c:pt idx="195">
                  <c:v>5.95</c:v>
                </c:pt>
                <c:pt idx="196">
                  <c:v>5.85</c:v>
                </c:pt>
                <c:pt idx="197">
                  <c:v>5.75</c:v>
                </c:pt>
                <c:pt idx="198">
                  <c:v>5.75</c:v>
                </c:pt>
                <c:pt idx="199">
                  <c:v>5.75</c:v>
                </c:pt>
                <c:pt idx="200">
                  <c:v>5.9</c:v>
                </c:pt>
                <c:pt idx="201">
                  <c:v>5.75</c:v>
                </c:pt>
                <c:pt idx="202">
                  <c:v>5.75</c:v>
                </c:pt>
                <c:pt idx="203">
                  <c:v>5.85</c:v>
                </c:pt>
                <c:pt idx="204">
                  <c:v>5.85</c:v>
                </c:pt>
                <c:pt idx="205">
                  <c:v>5.85</c:v>
                </c:pt>
                <c:pt idx="206">
                  <c:v>5.85</c:v>
                </c:pt>
                <c:pt idx="207">
                  <c:v>5.85</c:v>
                </c:pt>
                <c:pt idx="208">
                  <c:v>5.85</c:v>
                </c:pt>
                <c:pt idx="209">
                  <c:v>5.85</c:v>
                </c:pt>
                <c:pt idx="210">
                  <c:v>5.6</c:v>
                </c:pt>
                <c:pt idx="211">
                  <c:v>5.8</c:v>
                </c:pt>
                <c:pt idx="212">
                  <c:v>5.8</c:v>
                </c:pt>
                <c:pt idx="213">
                  <c:v>5.8</c:v>
                </c:pt>
                <c:pt idx="214">
                  <c:v>5.75</c:v>
                </c:pt>
                <c:pt idx="215">
                  <c:v>5.7</c:v>
                </c:pt>
                <c:pt idx="216">
                  <c:v>6</c:v>
                </c:pt>
                <c:pt idx="217">
                  <c:v>6</c:v>
                </c:pt>
                <c:pt idx="218">
                  <c:v>5.9</c:v>
                </c:pt>
                <c:pt idx="219">
                  <c:v>5.9</c:v>
                </c:pt>
                <c:pt idx="220">
                  <c:v>5.9</c:v>
                </c:pt>
                <c:pt idx="221">
                  <c:v>6</c:v>
                </c:pt>
                <c:pt idx="222">
                  <c:v>5.8</c:v>
                </c:pt>
                <c:pt idx="223">
                  <c:v>5.8</c:v>
                </c:pt>
                <c:pt idx="224">
                  <c:v>5.75</c:v>
                </c:pt>
                <c:pt idx="225">
                  <c:v>5.5</c:v>
                </c:pt>
                <c:pt idx="226">
                  <c:v>5.5</c:v>
                </c:pt>
                <c:pt idx="227">
                  <c:v>5.5</c:v>
                </c:pt>
                <c:pt idx="228">
                  <c:v>5.55</c:v>
                </c:pt>
                <c:pt idx="229">
                  <c:v>5.8</c:v>
                </c:pt>
                <c:pt idx="230">
                  <c:v>5.8</c:v>
                </c:pt>
                <c:pt idx="231">
                  <c:v>5.75</c:v>
                </c:pt>
                <c:pt idx="232">
                  <c:v>5.75</c:v>
                </c:pt>
                <c:pt idx="233">
                  <c:v>5.75</c:v>
                </c:pt>
                <c:pt idx="234">
                  <c:v>5.75</c:v>
                </c:pt>
                <c:pt idx="235">
                  <c:v>5.75</c:v>
                </c:pt>
                <c:pt idx="236">
                  <c:v>5.75</c:v>
                </c:pt>
                <c:pt idx="237">
                  <c:v>5.75</c:v>
                </c:pt>
                <c:pt idx="238">
                  <c:v>5.75</c:v>
                </c:pt>
                <c:pt idx="239">
                  <c:v>5.75</c:v>
                </c:pt>
                <c:pt idx="240">
                  <c:v>5.75</c:v>
                </c:pt>
                <c:pt idx="241">
                  <c:v>5.75</c:v>
                </c:pt>
                <c:pt idx="242">
                  <c:v>5.75</c:v>
                </c:pt>
                <c:pt idx="243">
                  <c:v>5.85</c:v>
                </c:pt>
                <c:pt idx="244">
                  <c:v>5.85</c:v>
                </c:pt>
                <c:pt idx="245">
                  <c:v>5.85</c:v>
                </c:pt>
                <c:pt idx="246">
                  <c:v>5.85</c:v>
                </c:pt>
                <c:pt idx="247">
                  <c:v>5.85</c:v>
                </c:pt>
                <c:pt idx="248">
                  <c:v>5.85</c:v>
                </c:pt>
                <c:pt idx="249">
                  <c:v>5.85</c:v>
                </c:pt>
                <c:pt idx="250">
                  <c:v>5.75</c:v>
                </c:pt>
                <c:pt idx="251">
                  <c:v>5.85</c:v>
                </c:pt>
                <c:pt idx="252">
                  <c:v>5.85</c:v>
                </c:pt>
                <c:pt idx="253">
                  <c:v>5.7</c:v>
                </c:pt>
                <c:pt idx="254">
                  <c:v>5.7</c:v>
                </c:pt>
                <c:pt idx="255">
                  <c:v>5.7</c:v>
                </c:pt>
                <c:pt idx="256">
                  <c:v>5.7</c:v>
                </c:pt>
                <c:pt idx="257">
                  <c:v>5.8</c:v>
                </c:pt>
                <c:pt idx="258">
                  <c:v>5.7</c:v>
                </c:pt>
                <c:pt idx="259">
                  <c:v>5.7</c:v>
                </c:pt>
                <c:pt idx="260">
                  <c:v>5.7</c:v>
                </c:pt>
                <c:pt idx="261">
                  <c:v>5.7</c:v>
                </c:pt>
                <c:pt idx="262">
                  <c:v>5.7</c:v>
                </c:pt>
                <c:pt idx="263">
                  <c:v>5.6</c:v>
                </c:pt>
                <c:pt idx="264">
                  <c:v>5.65</c:v>
                </c:pt>
                <c:pt idx="265">
                  <c:v>5.65</c:v>
                </c:pt>
                <c:pt idx="266">
                  <c:v>5.7</c:v>
                </c:pt>
                <c:pt idx="267">
                  <c:v>5.85</c:v>
                </c:pt>
                <c:pt idx="268">
                  <c:v>5.85</c:v>
                </c:pt>
                <c:pt idx="269">
                  <c:v>5.85</c:v>
                </c:pt>
                <c:pt idx="270">
                  <c:v>5.85</c:v>
                </c:pt>
                <c:pt idx="271">
                  <c:v>5.8</c:v>
                </c:pt>
                <c:pt idx="272">
                  <c:v>5.8</c:v>
                </c:pt>
                <c:pt idx="273">
                  <c:v>5.8</c:v>
                </c:pt>
                <c:pt idx="274">
                  <c:v>5.8</c:v>
                </c:pt>
                <c:pt idx="275">
                  <c:v>5.8</c:v>
                </c:pt>
                <c:pt idx="276">
                  <c:v>5.8</c:v>
                </c:pt>
                <c:pt idx="277">
                  <c:v>5.8</c:v>
                </c:pt>
                <c:pt idx="278">
                  <c:v>5.8</c:v>
                </c:pt>
                <c:pt idx="279">
                  <c:v>5.8</c:v>
                </c:pt>
                <c:pt idx="280">
                  <c:v>5.8</c:v>
                </c:pt>
                <c:pt idx="281">
                  <c:v>5.8</c:v>
                </c:pt>
                <c:pt idx="282">
                  <c:v>5.8</c:v>
                </c:pt>
                <c:pt idx="283">
                  <c:v>5.8</c:v>
                </c:pt>
                <c:pt idx="284">
                  <c:v>5.8</c:v>
                </c:pt>
                <c:pt idx="285">
                  <c:v>5.8</c:v>
                </c:pt>
                <c:pt idx="286">
                  <c:v>5.8</c:v>
                </c:pt>
                <c:pt idx="287">
                  <c:v>5.8</c:v>
                </c:pt>
                <c:pt idx="288">
                  <c:v>5.8</c:v>
                </c:pt>
                <c:pt idx="289">
                  <c:v>5.8</c:v>
                </c:pt>
                <c:pt idx="290">
                  <c:v>5.8</c:v>
                </c:pt>
                <c:pt idx="291">
                  <c:v>5.8</c:v>
                </c:pt>
                <c:pt idx="292">
                  <c:v>5.8</c:v>
                </c:pt>
                <c:pt idx="293">
                  <c:v>5.7</c:v>
                </c:pt>
                <c:pt idx="294">
                  <c:v>5.7</c:v>
                </c:pt>
                <c:pt idx="295">
                  <c:v>5.7</c:v>
                </c:pt>
                <c:pt idx="296">
                  <c:v>5.7</c:v>
                </c:pt>
                <c:pt idx="297">
                  <c:v>5.7</c:v>
                </c:pt>
                <c:pt idx="298">
                  <c:v>5.7</c:v>
                </c:pt>
                <c:pt idx="299">
                  <c:v>5.7</c:v>
                </c:pt>
                <c:pt idx="300">
                  <c:v>5.7</c:v>
                </c:pt>
                <c:pt idx="301">
                  <c:v>5.7</c:v>
                </c:pt>
                <c:pt idx="302">
                  <c:v>5.7</c:v>
                </c:pt>
                <c:pt idx="303">
                  <c:v>5.7</c:v>
                </c:pt>
                <c:pt idx="304">
                  <c:v>5.7</c:v>
                </c:pt>
                <c:pt idx="305">
                  <c:v>5.7</c:v>
                </c:pt>
                <c:pt idx="306">
                  <c:v>5.7</c:v>
                </c:pt>
                <c:pt idx="307">
                  <c:v>5.7</c:v>
                </c:pt>
                <c:pt idx="308">
                  <c:v>5.6</c:v>
                </c:pt>
                <c:pt idx="309">
                  <c:v>5.6</c:v>
                </c:pt>
                <c:pt idx="310">
                  <c:v>5.6</c:v>
                </c:pt>
                <c:pt idx="311">
                  <c:v>5.6</c:v>
                </c:pt>
                <c:pt idx="312">
                  <c:v>5.6</c:v>
                </c:pt>
                <c:pt idx="313">
                  <c:v>5.75</c:v>
                </c:pt>
                <c:pt idx="314">
                  <c:v>5.75</c:v>
                </c:pt>
                <c:pt idx="315">
                  <c:v>5.75</c:v>
                </c:pt>
                <c:pt idx="316">
                  <c:v>5.6</c:v>
                </c:pt>
                <c:pt idx="317">
                  <c:v>5.6</c:v>
                </c:pt>
                <c:pt idx="318">
                  <c:v>5.6</c:v>
                </c:pt>
                <c:pt idx="319">
                  <c:v>5.6</c:v>
                </c:pt>
                <c:pt idx="320">
                  <c:v>5.6</c:v>
                </c:pt>
                <c:pt idx="321">
                  <c:v>5.6</c:v>
                </c:pt>
                <c:pt idx="322">
                  <c:v>5.7</c:v>
                </c:pt>
                <c:pt idx="323">
                  <c:v>5.7</c:v>
                </c:pt>
                <c:pt idx="324">
                  <c:v>5.7</c:v>
                </c:pt>
                <c:pt idx="325">
                  <c:v>5.7</c:v>
                </c:pt>
                <c:pt idx="326">
                  <c:v>5.75</c:v>
                </c:pt>
                <c:pt idx="327">
                  <c:v>5.75</c:v>
                </c:pt>
                <c:pt idx="328">
                  <c:v>5.75</c:v>
                </c:pt>
                <c:pt idx="329">
                  <c:v>5.75</c:v>
                </c:pt>
                <c:pt idx="330">
                  <c:v>5.75</c:v>
                </c:pt>
                <c:pt idx="331">
                  <c:v>5.75</c:v>
                </c:pt>
                <c:pt idx="332">
                  <c:v>5.75</c:v>
                </c:pt>
                <c:pt idx="333">
                  <c:v>5.75</c:v>
                </c:pt>
                <c:pt idx="334">
                  <c:v>5.9</c:v>
                </c:pt>
                <c:pt idx="335">
                  <c:v>5.9</c:v>
                </c:pt>
                <c:pt idx="336">
                  <c:v>5.9</c:v>
                </c:pt>
                <c:pt idx="337">
                  <c:v>5.8</c:v>
                </c:pt>
                <c:pt idx="338">
                  <c:v>5.8</c:v>
                </c:pt>
                <c:pt idx="339">
                  <c:v>5.8</c:v>
                </c:pt>
                <c:pt idx="340">
                  <c:v>5.75</c:v>
                </c:pt>
                <c:pt idx="341">
                  <c:v>5.75</c:v>
                </c:pt>
                <c:pt idx="342">
                  <c:v>5.75</c:v>
                </c:pt>
                <c:pt idx="343">
                  <c:v>5.8</c:v>
                </c:pt>
                <c:pt idx="344">
                  <c:v>5.8</c:v>
                </c:pt>
                <c:pt idx="345">
                  <c:v>5.8</c:v>
                </c:pt>
                <c:pt idx="346">
                  <c:v>5.8</c:v>
                </c:pt>
                <c:pt idx="347">
                  <c:v>5.85</c:v>
                </c:pt>
                <c:pt idx="348">
                  <c:v>5.8</c:v>
                </c:pt>
                <c:pt idx="349">
                  <c:v>5.85</c:v>
                </c:pt>
                <c:pt idx="350">
                  <c:v>5.85</c:v>
                </c:pt>
                <c:pt idx="351">
                  <c:v>5.7</c:v>
                </c:pt>
                <c:pt idx="352">
                  <c:v>5.7</c:v>
                </c:pt>
                <c:pt idx="353">
                  <c:v>5.7</c:v>
                </c:pt>
                <c:pt idx="354">
                  <c:v>5.8</c:v>
                </c:pt>
                <c:pt idx="355">
                  <c:v>5.8</c:v>
                </c:pt>
                <c:pt idx="356">
                  <c:v>5.8</c:v>
                </c:pt>
                <c:pt idx="357">
                  <c:v>5.8</c:v>
                </c:pt>
                <c:pt idx="358">
                  <c:v>5.75</c:v>
                </c:pt>
                <c:pt idx="359">
                  <c:v>5.75</c:v>
                </c:pt>
                <c:pt idx="360">
                  <c:v>5.75</c:v>
                </c:pt>
                <c:pt idx="361">
                  <c:v>5.8</c:v>
                </c:pt>
                <c:pt idx="362">
                  <c:v>5.8</c:v>
                </c:pt>
                <c:pt idx="363">
                  <c:v>5.8</c:v>
                </c:pt>
                <c:pt idx="364">
                  <c:v>5.9</c:v>
                </c:pt>
                <c:pt idx="365">
                  <c:v>5.9</c:v>
                </c:pt>
                <c:pt idx="366">
                  <c:v>5.9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2DBA-401F-B290-C39FE822E2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17959920"/>
        <c:axId val="1117933808"/>
      </c:lineChart>
      <c:dateAx>
        <c:axId val="1117959920"/>
        <c:scaling>
          <c:orientation val="minMax"/>
        </c:scaling>
        <c:delete val="0"/>
        <c:axPos val="b"/>
        <c:numFmt formatCode="dd/mm/yy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bg-BG"/>
          </a:p>
        </c:txPr>
        <c:crossAx val="1117933808"/>
        <c:crosses val="autoZero"/>
        <c:auto val="1"/>
        <c:lblOffset val="100"/>
        <c:baseTimeUnit val="days"/>
      </c:dateAx>
      <c:valAx>
        <c:axId val="1117933808"/>
        <c:scaling>
          <c:orientation val="minMax"/>
          <c:min val="1.7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1117959920"/>
        <c:crosses val="autoZero"/>
        <c:crossBetween val="between"/>
      </c:valAx>
      <c:valAx>
        <c:axId val="1117955568"/>
        <c:scaling>
          <c:orientation val="minMax"/>
          <c:max val="100000"/>
        </c:scaling>
        <c:delete val="0"/>
        <c:axPos val="r"/>
        <c:numFmt formatCode="#,##0" sourceLinked="1"/>
        <c:majorTickMark val="out"/>
        <c:minorTickMark val="none"/>
        <c:tickLblPos val="nextTo"/>
        <c:crossAx val="1117936528"/>
        <c:crosses val="max"/>
        <c:crossBetween val="between"/>
        <c:dispUnits>
          <c:builtInUnit val="thousands"/>
          <c:dispUnitsLbl>
            <c:layout>
              <c:manualLayout>
                <c:xMode val="edge"/>
                <c:yMode val="edge"/>
                <c:x val="0.90636800558416208"/>
                <c:y val="0.26457279330486849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bg-BG"/>
                    <a:t>хиляди лота</a:t>
                  </a:r>
                </a:p>
              </c:rich>
            </c:tx>
          </c:dispUnitsLbl>
        </c:dispUnits>
      </c:valAx>
      <c:dateAx>
        <c:axId val="1117936528"/>
        <c:scaling>
          <c:orientation val="minMax"/>
        </c:scaling>
        <c:delete val="1"/>
        <c:axPos val="b"/>
        <c:numFmt formatCode="m/d/yyyy" sourceLinked="1"/>
        <c:majorTickMark val="out"/>
        <c:minorTickMark val="none"/>
        <c:tickLblPos val="nextTo"/>
        <c:crossAx val="1117955568"/>
        <c:crosses val="autoZero"/>
        <c:auto val="1"/>
        <c:lblOffset val="100"/>
        <c:baseTimeUnit val="days"/>
      </c:dateAx>
    </c:plotArea>
    <c:legend>
      <c:legendPos val="t"/>
      <c:layout>
        <c:manualLayout>
          <c:xMode val="edge"/>
          <c:yMode val="edge"/>
          <c:x val="5.045945249252604E-4"/>
          <c:y val="0"/>
          <c:w val="0.99090160780353187"/>
          <c:h val="5.410307108006998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923212523065409E-2"/>
          <c:y val="6.1823636180619708E-2"/>
          <c:w val="0.92504795626473202"/>
          <c:h val="0.8113749201057102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'7 BSO'!$D$17</c:f>
              <c:strCache>
                <c:ptCount val="1"/>
                <c:pt idx="0">
                  <c:v>Обем (лотове)</c:v>
                </c:pt>
              </c:strCache>
            </c:strRef>
          </c:tx>
          <c:invertIfNegative val="0"/>
          <c:cat>
            <c:numRef>
              <c:f>'7 BSO'!$H$20:$H$442</c:f>
              <c:numCache>
                <c:formatCode>dd/mm/yyyy\ hh:mm/ss</c:formatCode>
                <c:ptCount val="423"/>
                <c:pt idx="0">
                  <c:v>43102.444560185184</c:v>
                </c:pt>
                <c:pt idx="1">
                  <c:v>43103.511932870373</c:v>
                </c:pt>
                <c:pt idx="2">
                  <c:v>43103.511932870373</c:v>
                </c:pt>
                <c:pt idx="3">
                  <c:v>43103.695462962962</c:v>
                </c:pt>
                <c:pt idx="4">
                  <c:v>43104.430717592593</c:v>
                </c:pt>
                <c:pt idx="5">
                  <c:v>43104.44804398148</c:v>
                </c:pt>
                <c:pt idx="6">
                  <c:v>43104.559849537036</c:v>
                </c:pt>
                <c:pt idx="7">
                  <c:v>43104.559849537036</c:v>
                </c:pt>
                <c:pt idx="8">
                  <c:v>43104.559849537036</c:v>
                </c:pt>
                <c:pt idx="9">
                  <c:v>43104.559849537036</c:v>
                </c:pt>
                <c:pt idx="10">
                  <c:v>43104.559849537036</c:v>
                </c:pt>
                <c:pt idx="11">
                  <c:v>43104.570034722223</c:v>
                </c:pt>
                <c:pt idx="12">
                  <c:v>43104.570034722223</c:v>
                </c:pt>
                <c:pt idx="13">
                  <c:v>43104.58421296296</c:v>
                </c:pt>
                <c:pt idx="14">
                  <c:v>43104.646944444445</c:v>
                </c:pt>
                <c:pt idx="15">
                  <c:v>43105.508217592593</c:v>
                </c:pt>
                <c:pt idx="16">
                  <c:v>43105.699143518519</c:v>
                </c:pt>
                <c:pt idx="17">
                  <c:v>43105.699143518519</c:v>
                </c:pt>
                <c:pt idx="18">
                  <c:v>43108.456307870372</c:v>
                </c:pt>
                <c:pt idx="19">
                  <c:v>43108.582766203705</c:v>
                </c:pt>
                <c:pt idx="20">
                  <c:v>43108.602939814817</c:v>
                </c:pt>
                <c:pt idx="21">
                  <c:v>43108.602939814817</c:v>
                </c:pt>
                <c:pt idx="22">
                  <c:v>43108.602939814817</c:v>
                </c:pt>
                <c:pt idx="23">
                  <c:v>43108.624826388892</c:v>
                </c:pt>
                <c:pt idx="24">
                  <c:v>43109.428159722222</c:v>
                </c:pt>
                <c:pt idx="25">
                  <c:v>43109.429618055554</c:v>
                </c:pt>
                <c:pt idx="26">
                  <c:v>43109.430856481478</c:v>
                </c:pt>
                <c:pt idx="27">
                  <c:v>43109.441192129627</c:v>
                </c:pt>
                <c:pt idx="28">
                  <c:v>43109.443078703705</c:v>
                </c:pt>
                <c:pt idx="29">
                  <c:v>43109.443958333337</c:v>
                </c:pt>
                <c:pt idx="30">
                  <c:v>43109.444212962961</c:v>
                </c:pt>
                <c:pt idx="31">
                  <c:v>43109.445115740738</c:v>
                </c:pt>
                <c:pt idx="32">
                  <c:v>43109.557800925926</c:v>
                </c:pt>
                <c:pt idx="33">
                  <c:v>43109.630266203705</c:v>
                </c:pt>
                <c:pt idx="34">
                  <c:v>43109.654594907406</c:v>
                </c:pt>
                <c:pt idx="35">
                  <c:v>43109.655115740738</c:v>
                </c:pt>
                <c:pt idx="36">
                  <c:v>43109.669641203705</c:v>
                </c:pt>
                <c:pt idx="37">
                  <c:v>43109.669641203705</c:v>
                </c:pt>
                <c:pt idx="38">
                  <c:v>43109.701932870368</c:v>
                </c:pt>
                <c:pt idx="39">
                  <c:v>43109.708402777775</c:v>
                </c:pt>
                <c:pt idx="40">
                  <c:v>43109.708402777775</c:v>
                </c:pt>
                <c:pt idx="41">
                  <c:v>43110.45208333333</c:v>
                </c:pt>
                <c:pt idx="42">
                  <c:v>43110.45208333333</c:v>
                </c:pt>
                <c:pt idx="43">
                  <c:v>43110.554282407407</c:v>
                </c:pt>
                <c:pt idx="44">
                  <c:v>43111.467407407406</c:v>
                </c:pt>
                <c:pt idx="45">
                  <c:v>43111.562881944446</c:v>
                </c:pt>
                <c:pt idx="46">
                  <c:v>43111.633425925924</c:v>
                </c:pt>
                <c:pt idx="47">
                  <c:v>43111.633425925924</c:v>
                </c:pt>
                <c:pt idx="48">
                  <c:v>43112.547013888892</c:v>
                </c:pt>
                <c:pt idx="49">
                  <c:v>43112.604097222225</c:v>
                </c:pt>
                <c:pt idx="50">
                  <c:v>43112.696458333332</c:v>
                </c:pt>
                <c:pt idx="51">
                  <c:v>43112.696458333332</c:v>
                </c:pt>
                <c:pt idx="52">
                  <c:v>43112.697476851848</c:v>
                </c:pt>
                <c:pt idx="53">
                  <c:v>43115.459247685183</c:v>
                </c:pt>
                <c:pt idx="54">
                  <c:v>43115.464317129627</c:v>
                </c:pt>
                <c:pt idx="55">
                  <c:v>43115.50403935185</c:v>
                </c:pt>
                <c:pt idx="56">
                  <c:v>43116.428136574075</c:v>
                </c:pt>
                <c:pt idx="57">
                  <c:v>43116.428136574075</c:v>
                </c:pt>
                <c:pt idx="58">
                  <c:v>43116.428136574075</c:v>
                </c:pt>
                <c:pt idx="59">
                  <c:v>43116.428136574075</c:v>
                </c:pt>
                <c:pt idx="60">
                  <c:v>43116.430219907408</c:v>
                </c:pt>
                <c:pt idx="61">
                  <c:v>43116.430219907408</c:v>
                </c:pt>
                <c:pt idx="62">
                  <c:v>43116.463263888887</c:v>
                </c:pt>
                <c:pt idx="63">
                  <c:v>43116.48940972222</c:v>
                </c:pt>
                <c:pt idx="64">
                  <c:v>43116.48940972222</c:v>
                </c:pt>
                <c:pt idx="65">
                  <c:v>43116.492361111108</c:v>
                </c:pt>
                <c:pt idx="66">
                  <c:v>43116.521099537036</c:v>
                </c:pt>
                <c:pt idx="67">
                  <c:v>43118.459629629629</c:v>
                </c:pt>
                <c:pt idx="68">
                  <c:v>43125.434074074074</c:v>
                </c:pt>
                <c:pt idx="69">
                  <c:v>43126.687291666669</c:v>
                </c:pt>
                <c:pt idx="70">
                  <c:v>43126.703287037039</c:v>
                </c:pt>
                <c:pt idx="71">
                  <c:v>43126.708402777775</c:v>
                </c:pt>
                <c:pt idx="72">
                  <c:v>43129.519189814811</c:v>
                </c:pt>
                <c:pt idx="73">
                  <c:v>43129.699432870373</c:v>
                </c:pt>
                <c:pt idx="74">
                  <c:v>43130.426388888889</c:v>
                </c:pt>
                <c:pt idx="75">
                  <c:v>43131.464328703703</c:v>
                </c:pt>
                <c:pt idx="76">
                  <c:v>43131.527951388889</c:v>
                </c:pt>
                <c:pt idx="77">
                  <c:v>43131.527951388889</c:v>
                </c:pt>
                <c:pt idx="78">
                  <c:v>43131.527951388889</c:v>
                </c:pt>
                <c:pt idx="79">
                  <c:v>43131.598564814813</c:v>
                </c:pt>
                <c:pt idx="80">
                  <c:v>43131.598564814813</c:v>
                </c:pt>
                <c:pt idx="81">
                  <c:v>43131.624803240738</c:v>
                </c:pt>
                <c:pt idx="82">
                  <c:v>43131.624803240738</c:v>
                </c:pt>
                <c:pt idx="83">
                  <c:v>43131.624803240738</c:v>
                </c:pt>
                <c:pt idx="84">
                  <c:v>43131.624803240738</c:v>
                </c:pt>
                <c:pt idx="85">
                  <c:v>43131.624803240738</c:v>
                </c:pt>
                <c:pt idx="86">
                  <c:v>43132.423703703702</c:v>
                </c:pt>
                <c:pt idx="87">
                  <c:v>43132.423703703702</c:v>
                </c:pt>
                <c:pt idx="88">
                  <c:v>43132.423703703702</c:v>
                </c:pt>
                <c:pt idx="89">
                  <c:v>43132.423703703702</c:v>
                </c:pt>
                <c:pt idx="90">
                  <c:v>43132.423703703702</c:v>
                </c:pt>
                <c:pt idx="91">
                  <c:v>43132.465578703705</c:v>
                </c:pt>
                <c:pt idx="92">
                  <c:v>43132.571620370371</c:v>
                </c:pt>
                <c:pt idx="93">
                  <c:v>43132.571620370371</c:v>
                </c:pt>
                <c:pt idx="94">
                  <c:v>43133.572118055556</c:v>
                </c:pt>
                <c:pt idx="95">
                  <c:v>43136.45621527778</c:v>
                </c:pt>
                <c:pt idx="96">
                  <c:v>43136.506377314814</c:v>
                </c:pt>
                <c:pt idx="97">
                  <c:v>43136.532754629632</c:v>
                </c:pt>
                <c:pt idx="98">
                  <c:v>43136.607523148145</c:v>
                </c:pt>
                <c:pt idx="99">
                  <c:v>43136.69630787037</c:v>
                </c:pt>
                <c:pt idx="100">
                  <c:v>43137.423680555556</c:v>
                </c:pt>
                <c:pt idx="101">
                  <c:v>43137.432002314818</c:v>
                </c:pt>
                <c:pt idx="102">
                  <c:v>43137.432002314818</c:v>
                </c:pt>
                <c:pt idx="103">
                  <c:v>43137.432314814818</c:v>
                </c:pt>
                <c:pt idx="104">
                  <c:v>43137.433587962965</c:v>
                </c:pt>
                <c:pt idx="105">
                  <c:v>43137.446076388886</c:v>
                </c:pt>
                <c:pt idx="106">
                  <c:v>43137.539224537039</c:v>
                </c:pt>
                <c:pt idx="107">
                  <c:v>43137.575023148151</c:v>
                </c:pt>
                <c:pt idx="108">
                  <c:v>43137.575879629629</c:v>
                </c:pt>
                <c:pt idx="109">
                  <c:v>43137.610763888886</c:v>
                </c:pt>
                <c:pt idx="110">
                  <c:v>43137.610763888886</c:v>
                </c:pt>
                <c:pt idx="111">
                  <c:v>43138.554108796299</c:v>
                </c:pt>
                <c:pt idx="112">
                  <c:v>43138.55672453704</c:v>
                </c:pt>
                <c:pt idx="113">
                  <c:v>43139.568518518521</c:v>
                </c:pt>
                <c:pt idx="114">
                  <c:v>43139.585648148146</c:v>
                </c:pt>
                <c:pt idx="115">
                  <c:v>43139.644571759258</c:v>
                </c:pt>
                <c:pt idx="116">
                  <c:v>43139.690393518518</c:v>
                </c:pt>
                <c:pt idx="117">
                  <c:v>43139.698078703703</c:v>
                </c:pt>
                <c:pt idx="118">
                  <c:v>43140.428495370368</c:v>
                </c:pt>
                <c:pt idx="119">
                  <c:v>43140.428495370368</c:v>
                </c:pt>
                <c:pt idx="120">
                  <c:v>43140.428738425922</c:v>
                </c:pt>
                <c:pt idx="121">
                  <c:v>43140.44734953704</c:v>
                </c:pt>
                <c:pt idx="122">
                  <c:v>43140.44734953704</c:v>
                </c:pt>
                <c:pt idx="123">
                  <c:v>43140.459444444445</c:v>
                </c:pt>
                <c:pt idx="124">
                  <c:v>43140.463576388887</c:v>
                </c:pt>
                <c:pt idx="125">
                  <c:v>43140.463576388887</c:v>
                </c:pt>
                <c:pt idx="126">
                  <c:v>43140.464930555558</c:v>
                </c:pt>
                <c:pt idx="127">
                  <c:v>43140.465127314812</c:v>
                </c:pt>
                <c:pt idx="128">
                  <c:v>43140.465868055559</c:v>
                </c:pt>
                <c:pt idx="129">
                  <c:v>43143.604270833333</c:v>
                </c:pt>
                <c:pt idx="130">
                  <c:v>43143.604270833333</c:v>
                </c:pt>
                <c:pt idx="131">
                  <c:v>43143.604270833333</c:v>
                </c:pt>
                <c:pt idx="132">
                  <c:v>43144.433969907404</c:v>
                </c:pt>
                <c:pt idx="133">
                  <c:v>43144.453622685185</c:v>
                </c:pt>
                <c:pt idx="134">
                  <c:v>43144.460694444446</c:v>
                </c:pt>
                <c:pt idx="135">
                  <c:v>43144.461759259262</c:v>
                </c:pt>
                <c:pt idx="136">
                  <c:v>43144.479780092595</c:v>
                </c:pt>
                <c:pt idx="137">
                  <c:v>43144.494756944441</c:v>
                </c:pt>
                <c:pt idx="138">
                  <c:v>43144.498067129629</c:v>
                </c:pt>
                <c:pt idx="139">
                  <c:v>43144.522627314815</c:v>
                </c:pt>
                <c:pt idx="140">
                  <c:v>43144.695347222223</c:v>
                </c:pt>
                <c:pt idx="141">
                  <c:v>43146.53125</c:v>
                </c:pt>
                <c:pt idx="142">
                  <c:v>43146.53125</c:v>
                </c:pt>
                <c:pt idx="143">
                  <c:v>43146.534583333334</c:v>
                </c:pt>
                <c:pt idx="144">
                  <c:v>43150.689791666664</c:v>
                </c:pt>
                <c:pt idx="145">
                  <c:v>43150.690023148149</c:v>
                </c:pt>
                <c:pt idx="146">
                  <c:v>43150.708518518521</c:v>
                </c:pt>
                <c:pt idx="147">
                  <c:v>43150.708518518521</c:v>
                </c:pt>
                <c:pt idx="148">
                  <c:v>43151.564363425925</c:v>
                </c:pt>
                <c:pt idx="149">
                  <c:v>43151.656273148146</c:v>
                </c:pt>
                <c:pt idx="150">
                  <c:v>43154.681493055556</c:v>
                </c:pt>
                <c:pt idx="151">
                  <c:v>43157.462824074071</c:v>
                </c:pt>
                <c:pt idx="152">
                  <c:v>43157.491770833331</c:v>
                </c:pt>
                <c:pt idx="153">
                  <c:v>43157.519305555557</c:v>
                </c:pt>
                <c:pt idx="154">
                  <c:v>43157.519305555557</c:v>
                </c:pt>
                <c:pt idx="155">
                  <c:v>43157.519305555557</c:v>
                </c:pt>
                <c:pt idx="156">
                  <c:v>43157.586134259262</c:v>
                </c:pt>
                <c:pt idx="157">
                  <c:v>43158.474861111114</c:v>
                </c:pt>
                <c:pt idx="158">
                  <c:v>43158.522523148145</c:v>
                </c:pt>
                <c:pt idx="159">
                  <c:v>43165.503275462965</c:v>
                </c:pt>
                <c:pt idx="160">
                  <c:v>43166.45113425926</c:v>
                </c:pt>
                <c:pt idx="161">
                  <c:v>43168.441817129627</c:v>
                </c:pt>
                <c:pt idx="162">
                  <c:v>43168.579664351855</c:v>
                </c:pt>
                <c:pt idx="163">
                  <c:v>43168.579664351855</c:v>
                </c:pt>
                <c:pt idx="164">
                  <c:v>43168.579664351855</c:v>
                </c:pt>
                <c:pt idx="165">
                  <c:v>43168.601898148147</c:v>
                </c:pt>
                <c:pt idx="166">
                  <c:v>43168.627060185187</c:v>
                </c:pt>
                <c:pt idx="167">
                  <c:v>43168.68037037037</c:v>
                </c:pt>
                <c:pt idx="168">
                  <c:v>43172.515428240738</c:v>
                </c:pt>
                <c:pt idx="169">
                  <c:v>43173.708541666667</c:v>
                </c:pt>
                <c:pt idx="170">
                  <c:v>43178.46634259259</c:v>
                </c:pt>
                <c:pt idx="171">
                  <c:v>43178.672476851854</c:v>
                </c:pt>
                <c:pt idx="172">
                  <c:v>43179.606956018521</c:v>
                </c:pt>
                <c:pt idx="173">
                  <c:v>43181.700046296297</c:v>
                </c:pt>
                <c:pt idx="174">
                  <c:v>43182.548437500001</c:v>
                </c:pt>
                <c:pt idx="175">
                  <c:v>43182.548437500001</c:v>
                </c:pt>
                <c:pt idx="176">
                  <c:v>43185.600219907406</c:v>
                </c:pt>
                <c:pt idx="177">
                  <c:v>43185.600219907406</c:v>
                </c:pt>
                <c:pt idx="178">
                  <c:v>43186.538981481484</c:v>
                </c:pt>
                <c:pt idx="179">
                  <c:v>43187.477256944447</c:v>
                </c:pt>
                <c:pt idx="180">
                  <c:v>43188.588865740741</c:v>
                </c:pt>
                <c:pt idx="181">
                  <c:v>43193.543877314813</c:v>
                </c:pt>
                <c:pt idx="182">
                  <c:v>43193.639004629629</c:v>
                </c:pt>
                <c:pt idx="183">
                  <c:v>43194.545312499999</c:v>
                </c:pt>
                <c:pt idx="184">
                  <c:v>43194.545312499999</c:v>
                </c:pt>
                <c:pt idx="185">
                  <c:v>43194.545312499999</c:v>
                </c:pt>
                <c:pt idx="186">
                  <c:v>43201.500532407408</c:v>
                </c:pt>
                <c:pt idx="187">
                  <c:v>43203.637546296297</c:v>
                </c:pt>
                <c:pt idx="188">
                  <c:v>43206.443506944444</c:v>
                </c:pt>
                <c:pt idx="189">
                  <c:v>43207.553182870368</c:v>
                </c:pt>
                <c:pt idx="190">
                  <c:v>43208.43236111111</c:v>
                </c:pt>
                <c:pt idx="191">
                  <c:v>43208.526446759257</c:v>
                </c:pt>
                <c:pt idx="192">
                  <c:v>43209.680231481485</c:v>
                </c:pt>
                <c:pt idx="193">
                  <c:v>43209.680231481485</c:v>
                </c:pt>
                <c:pt idx="194">
                  <c:v>43217.427187499998</c:v>
                </c:pt>
                <c:pt idx="195">
                  <c:v>43217.527905092589</c:v>
                </c:pt>
                <c:pt idx="196">
                  <c:v>43217.558298611111</c:v>
                </c:pt>
                <c:pt idx="197">
                  <c:v>43223.434814814813</c:v>
                </c:pt>
                <c:pt idx="198">
                  <c:v>43224.429976851854</c:v>
                </c:pt>
                <c:pt idx="199">
                  <c:v>43224.6637962963</c:v>
                </c:pt>
                <c:pt idx="200">
                  <c:v>43228.423692129632</c:v>
                </c:pt>
                <c:pt idx="201">
                  <c:v>43228.423692129632</c:v>
                </c:pt>
                <c:pt idx="202">
                  <c:v>43228.423692129632</c:v>
                </c:pt>
                <c:pt idx="203">
                  <c:v>43228.590763888889</c:v>
                </c:pt>
                <c:pt idx="204">
                  <c:v>43229.437407407408</c:v>
                </c:pt>
                <c:pt idx="205">
                  <c:v>43231.634351851855</c:v>
                </c:pt>
                <c:pt idx="206">
                  <c:v>43237.634432870371</c:v>
                </c:pt>
                <c:pt idx="207">
                  <c:v>43237.638206018521</c:v>
                </c:pt>
                <c:pt idx="208">
                  <c:v>43237.645983796298</c:v>
                </c:pt>
                <c:pt idx="209">
                  <c:v>43241.490208333336</c:v>
                </c:pt>
                <c:pt idx="210">
                  <c:v>43241.504976851851</c:v>
                </c:pt>
                <c:pt idx="211">
                  <c:v>43241.708553240744</c:v>
                </c:pt>
                <c:pt idx="212">
                  <c:v>43242.552037037036</c:v>
                </c:pt>
                <c:pt idx="213">
                  <c:v>43242.577418981484</c:v>
                </c:pt>
                <c:pt idx="214">
                  <c:v>43243.608807870369</c:v>
                </c:pt>
                <c:pt idx="215">
                  <c:v>43243.666712962964</c:v>
                </c:pt>
                <c:pt idx="216">
                  <c:v>43245.426585648151</c:v>
                </c:pt>
                <c:pt idx="217">
                  <c:v>43245.600925925923</c:v>
                </c:pt>
                <c:pt idx="218">
                  <c:v>43245.648136574076</c:v>
                </c:pt>
                <c:pt idx="219">
                  <c:v>43245.65828703704</c:v>
                </c:pt>
                <c:pt idx="220">
                  <c:v>43249.423796296294</c:v>
                </c:pt>
                <c:pt idx="221">
                  <c:v>43249.423796296294</c:v>
                </c:pt>
                <c:pt idx="222">
                  <c:v>43249.42869212963</c:v>
                </c:pt>
                <c:pt idx="223">
                  <c:v>43249.435856481483</c:v>
                </c:pt>
                <c:pt idx="224">
                  <c:v>43249.437280092592</c:v>
                </c:pt>
                <c:pt idx="225">
                  <c:v>43249.442557870374</c:v>
                </c:pt>
                <c:pt idx="226">
                  <c:v>43249.442557870374</c:v>
                </c:pt>
                <c:pt idx="227">
                  <c:v>43249.450289351851</c:v>
                </c:pt>
                <c:pt idx="228">
                  <c:v>43249.450289351851</c:v>
                </c:pt>
                <c:pt idx="229">
                  <c:v>43249.450289351851</c:v>
                </c:pt>
                <c:pt idx="230">
                  <c:v>43249.46471064815</c:v>
                </c:pt>
                <c:pt idx="231">
                  <c:v>43249.472800925927</c:v>
                </c:pt>
                <c:pt idx="232">
                  <c:v>43249.472800925927</c:v>
                </c:pt>
                <c:pt idx="233">
                  <c:v>43249.638749999998</c:v>
                </c:pt>
                <c:pt idx="234">
                  <c:v>43250.522511574076</c:v>
                </c:pt>
                <c:pt idx="235">
                  <c:v>43252.466724537036</c:v>
                </c:pt>
                <c:pt idx="236">
                  <c:v>43252.501643518517</c:v>
                </c:pt>
                <c:pt idx="237">
                  <c:v>43252.692118055558</c:v>
                </c:pt>
                <c:pt idx="238">
                  <c:v>43255.573171296295</c:v>
                </c:pt>
                <c:pt idx="239">
                  <c:v>43255.655706018515</c:v>
                </c:pt>
                <c:pt idx="240">
                  <c:v>43258.625486111108</c:v>
                </c:pt>
                <c:pt idx="241">
                  <c:v>43262.694085648145</c:v>
                </c:pt>
                <c:pt idx="242">
                  <c:v>43263.61109953704</c:v>
                </c:pt>
                <c:pt idx="243">
                  <c:v>43263.656944444447</c:v>
                </c:pt>
                <c:pt idx="244">
                  <c:v>43263.656944444447</c:v>
                </c:pt>
                <c:pt idx="245">
                  <c:v>43263.660185185188</c:v>
                </c:pt>
                <c:pt idx="246">
                  <c:v>43264.452581018515</c:v>
                </c:pt>
                <c:pt idx="247">
                  <c:v>43264.453136574077</c:v>
                </c:pt>
                <c:pt idx="248">
                  <c:v>43264.45988425926</c:v>
                </c:pt>
                <c:pt idx="249">
                  <c:v>43264.460023148145</c:v>
                </c:pt>
                <c:pt idx="250">
                  <c:v>43264.469525462962</c:v>
                </c:pt>
                <c:pt idx="251">
                  <c:v>43264.65892361111</c:v>
                </c:pt>
                <c:pt idx="252">
                  <c:v>43264.689097222225</c:v>
                </c:pt>
                <c:pt idx="253">
                  <c:v>43266.634363425925</c:v>
                </c:pt>
                <c:pt idx="254">
                  <c:v>43266.640983796293</c:v>
                </c:pt>
                <c:pt idx="255">
                  <c:v>43266.640983796293</c:v>
                </c:pt>
                <c:pt idx="256">
                  <c:v>43266.640983796293</c:v>
                </c:pt>
                <c:pt idx="257">
                  <c:v>43266.651076388887</c:v>
                </c:pt>
                <c:pt idx="258">
                  <c:v>43266.651076388887</c:v>
                </c:pt>
                <c:pt idx="259">
                  <c:v>43269.607152777775</c:v>
                </c:pt>
                <c:pt idx="260">
                  <c:v>43273.448946759258</c:v>
                </c:pt>
                <c:pt idx="261">
                  <c:v>43273.568124999998</c:v>
                </c:pt>
                <c:pt idx="262">
                  <c:v>43276.473449074074</c:v>
                </c:pt>
                <c:pt idx="263">
                  <c:v>43276.695972222224</c:v>
                </c:pt>
                <c:pt idx="264">
                  <c:v>43277.686597222222</c:v>
                </c:pt>
                <c:pt idx="265">
                  <c:v>43277.693101851852</c:v>
                </c:pt>
                <c:pt idx="266">
                  <c:v>43278.630682870367</c:v>
                </c:pt>
                <c:pt idx="267">
                  <c:v>43279.611203703702</c:v>
                </c:pt>
                <c:pt idx="268">
                  <c:v>43279.612337962964</c:v>
                </c:pt>
                <c:pt idx="269">
                  <c:v>43279.688726851855</c:v>
                </c:pt>
                <c:pt idx="270">
                  <c:v>43279.688726851855</c:v>
                </c:pt>
                <c:pt idx="271">
                  <c:v>43279.688726851855</c:v>
                </c:pt>
                <c:pt idx="272">
                  <c:v>43279.689236111109</c:v>
                </c:pt>
                <c:pt idx="273">
                  <c:v>43279.689236111109</c:v>
                </c:pt>
                <c:pt idx="274">
                  <c:v>43279.689236111109</c:v>
                </c:pt>
                <c:pt idx="275">
                  <c:v>43279.689236111109</c:v>
                </c:pt>
                <c:pt idx="276">
                  <c:v>43279.689236111109</c:v>
                </c:pt>
                <c:pt idx="277">
                  <c:v>43279.689236111109</c:v>
                </c:pt>
                <c:pt idx="278">
                  <c:v>43279.697384259256</c:v>
                </c:pt>
                <c:pt idx="279">
                  <c:v>43280.454884259256</c:v>
                </c:pt>
                <c:pt idx="280">
                  <c:v>43280.458611111113</c:v>
                </c:pt>
                <c:pt idx="281">
                  <c:v>43280.478368055556</c:v>
                </c:pt>
                <c:pt idx="282">
                  <c:v>43280.53125</c:v>
                </c:pt>
                <c:pt idx="283">
                  <c:v>43280.618842592594</c:v>
                </c:pt>
                <c:pt idx="284">
                  <c:v>43280.62060185185</c:v>
                </c:pt>
              </c:numCache>
            </c:numRef>
          </c:cat>
          <c:val>
            <c:numRef>
              <c:f>'7 BSO'!$I$20:$I$442</c:f>
              <c:numCache>
                <c:formatCode>#,##0</c:formatCode>
                <c:ptCount val="423"/>
                <c:pt idx="0">
                  <c:v>5</c:v>
                </c:pt>
                <c:pt idx="1">
                  <c:v>200</c:v>
                </c:pt>
                <c:pt idx="2">
                  <c:v>170</c:v>
                </c:pt>
                <c:pt idx="3">
                  <c:v>100</c:v>
                </c:pt>
                <c:pt idx="4">
                  <c:v>422</c:v>
                </c:pt>
                <c:pt idx="5">
                  <c:v>200</c:v>
                </c:pt>
                <c:pt idx="6">
                  <c:v>1488</c:v>
                </c:pt>
                <c:pt idx="7">
                  <c:v>100</c:v>
                </c:pt>
                <c:pt idx="8">
                  <c:v>200</c:v>
                </c:pt>
                <c:pt idx="9">
                  <c:v>112</c:v>
                </c:pt>
                <c:pt idx="10">
                  <c:v>100</c:v>
                </c:pt>
                <c:pt idx="11">
                  <c:v>458</c:v>
                </c:pt>
                <c:pt idx="12">
                  <c:v>262</c:v>
                </c:pt>
                <c:pt idx="13">
                  <c:v>61</c:v>
                </c:pt>
                <c:pt idx="14">
                  <c:v>100</c:v>
                </c:pt>
                <c:pt idx="15">
                  <c:v>100</c:v>
                </c:pt>
                <c:pt idx="16">
                  <c:v>200</c:v>
                </c:pt>
                <c:pt idx="17">
                  <c:v>500</c:v>
                </c:pt>
                <c:pt idx="18">
                  <c:v>200</c:v>
                </c:pt>
                <c:pt idx="19">
                  <c:v>100</c:v>
                </c:pt>
                <c:pt idx="20">
                  <c:v>500</c:v>
                </c:pt>
                <c:pt idx="21">
                  <c:v>100</c:v>
                </c:pt>
                <c:pt idx="22">
                  <c:v>1000</c:v>
                </c:pt>
                <c:pt idx="23">
                  <c:v>300</c:v>
                </c:pt>
                <c:pt idx="24">
                  <c:v>250</c:v>
                </c:pt>
                <c:pt idx="25">
                  <c:v>100</c:v>
                </c:pt>
                <c:pt idx="26">
                  <c:v>650</c:v>
                </c:pt>
                <c:pt idx="27">
                  <c:v>700</c:v>
                </c:pt>
                <c:pt idx="28">
                  <c:v>110</c:v>
                </c:pt>
                <c:pt idx="29">
                  <c:v>500</c:v>
                </c:pt>
                <c:pt idx="30">
                  <c:v>4</c:v>
                </c:pt>
                <c:pt idx="31">
                  <c:v>226</c:v>
                </c:pt>
                <c:pt idx="32">
                  <c:v>800</c:v>
                </c:pt>
                <c:pt idx="33">
                  <c:v>40</c:v>
                </c:pt>
                <c:pt idx="34">
                  <c:v>500</c:v>
                </c:pt>
                <c:pt idx="35">
                  <c:v>226</c:v>
                </c:pt>
                <c:pt idx="36">
                  <c:v>100</c:v>
                </c:pt>
                <c:pt idx="37">
                  <c:v>3200</c:v>
                </c:pt>
                <c:pt idx="38">
                  <c:v>100</c:v>
                </c:pt>
                <c:pt idx="39">
                  <c:v>66</c:v>
                </c:pt>
                <c:pt idx="40">
                  <c:v>34</c:v>
                </c:pt>
                <c:pt idx="41">
                  <c:v>100</c:v>
                </c:pt>
                <c:pt idx="42">
                  <c:v>600</c:v>
                </c:pt>
                <c:pt idx="43">
                  <c:v>200</c:v>
                </c:pt>
                <c:pt idx="44">
                  <c:v>85</c:v>
                </c:pt>
                <c:pt idx="45">
                  <c:v>2500</c:v>
                </c:pt>
                <c:pt idx="46">
                  <c:v>3220</c:v>
                </c:pt>
                <c:pt idx="47">
                  <c:v>150</c:v>
                </c:pt>
                <c:pt idx="48">
                  <c:v>60</c:v>
                </c:pt>
                <c:pt idx="49">
                  <c:v>850</c:v>
                </c:pt>
                <c:pt idx="50">
                  <c:v>850</c:v>
                </c:pt>
                <c:pt idx="51">
                  <c:v>1000</c:v>
                </c:pt>
                <c:pt idx="52">
                  <c:v>10</c:v>
                </c:pt>
                <c:pt idx="53">
                  <c:v>100</c:v>
                </c:pt>
                <c:pt idx="54">
                  <c:v>1000</c:v>
                </c:pt>
                <c:pt idx="55">
                  <c:v>75</c:v>
                </c:pt>
                <c:pt idx="56">
                  <c:v>266</c:v>
                </c:pt>
                <c:pt idx="57">
                  <c:v>100</c:v>
                </c:pt>
                <c:pt idx="58">
                  <c:v>200</c:v>
                </c:pt>
                <c:pt idx="59">
                  <c:v>70</c:v>
                </c:pt>
                <c:pt idx="60">
                  <c:v>230</c:v>
                </c:pt>
                <c:pt idx="61">
                  <c:v>134</c:v>
                </c:pt>
                <c:pt idx="62">
                  <c:v>50</c:v>
                </c:pt>
                <c:pt idx="63">
                  <c:v>500</c:v>
                </c:pt>
                <c:pt idx="64">
                  <c:v>100</c:v>
                </c:pt>
                <c:pt idx="65">
                  <c:v>350</c:v>
                </c:pt>
                <c:pt idx="66">
                  <c:v>85</c:v>
                </c:pt>
                <c:pt idx="67">
                  <c:v>15</c:v>
                </c:pt>
                <c:pt idx="68">
                  <c:v>5</c:v>
                </c:pt>
                <c:pt idx="69">
                  <c:v>90</c:v>
                </c:pt>
                <c:pt idx="70">
                  <c:v>80</c:v>
                </c:pt>
                <c:pt idx="71">
                  <c:v>130</c:v>
                </c:pt>
                <c:pt idx="72">
                  <c:v>1000</c:v>
                </c:pt>
                <c:pt idx="73">
                  <c:v>100</c:v>
                </c:pt>
                <c:pt idx="74">
                  <c:v>100</c:v>
                </c:pt>
                <c:pt idx="75">
                  <c:v>134</c:v>
                </c:pt>
                <c:pt idx="76">
                  <c:v>150</c:v>
                </c:pt>
                <c:pt idx="77">
                  <c:v>100</c:v>
                </c:pt>
                <c:pt idx="78">
                  <c:v>250</c:v>
                </c:pt>
                <c:pt idx="79">
                  <c:v>750</c:v>
                </c:pt>
                <c:pt idx="80">
                  <c:v>150</c:v>
                </c:pt>
                <c:pt idx="81">
                  <c:v>78</c:v>
                </c:pt>
                <c:pt idx="82">
                  <c:v>100</c:v>
                </c:pt>
                <c:pt idx="83">
                  <c:v>500</c:v>
                </c:pt>
                <c:pt idx="84">
                  <c:v>600</c:v>
                </c:pt>
                <c:pt idx="85">
                  <c:v>350</c:v>
                </c:pt>
                <c:pt idx="86">
                  <c:v>100</c:v>
                </c:pt>
                <c:pt idx="87">
                  <c:v>200</c:v>
                </c:pt>
                <c:pt idx="88">
                  <c:v>400</c:v>
                </c:pt>
                <c:pt idx="89">
                  <c:v>300</c:v>
                </c:pt>
                <c:pt idx="90">
                  <c:v>200</c:v>
                </c:pt>
                <c:pt idx="91">
                  <c:v>15</c:v>
                </c:pt>
                <c:pt idx="92">
                  <c:v>50</c:v>
                </c:pt>
                <c:pt idx="93">
                  <c:v>500</c:v>
                </c:pt>
                <c:pt idx="94">
                  <c:v>350</c:v>
                </c:pt>
                <c:pt idx="95">
                  <c:v>50</c:v>
                </c:pt>
                <c:pt idx="96">
                  <c:v>700</c:v>
                </c:pt>
                <c:pt idx="97">
                  <c:v>260</c:v>
                </c:pt>
                <c:pt idx="98">
                  <c:v>140</c:v>
                </c:pt>
                <c:pt idx="99">
                  <c:v>332</c:v>
                </c:pt>
                <c:pt idx="100">
                  <c:v>200</c:v>
                </c:pt>
                <c:pt idx="101">
                  <c:v>50</c:v>
                </c:pt>
                <c:pt idx="102">
                  <c:v>40</c:v>
                </c:pt>
                <c:pt idx="103">
                  <c:v>410</c:v>
                </c:pt>
                <c:pt idx="104">
                  <c:v>100</c:v>
                </c:pt>
                <c:pt idx="105">
                  <c:v>2000</c:v>
                </c:pt>
                <c:pt idx="106">
                  <c:v>400</c:v>
                </c:pt>
                <c:pt idx="107">
                  <c:v>250</c:v>
                </c:pt>
                <c:pt idx="108">
                  <c:v>600</c:v>
                </c:pt>
                <c:pt idx="109">
                  <c:v>300</c:v>
                </c:pt>
                <c:pt idx="110">
                  <c:v>750</c:v>
                </c:pt>
                <c:pt idx="111">
                  <c:v>495</c:v>
                </c:pt>
                <c:pt idx="112">
                  <c:v>3505</c:v>
                </c:pt>
                <c:pt idx="113">
                  <c:v>60</c:v>
                </c:pt>
                <c:pt idx="114">
                  <c:v>40</c:v>
                </c:pt>
                <c:pt idx="115">
                  <c:v>200</c:v>
                </c:pt>
                <c:pt idx="116">
                  <c:v>100</c:v>
                </c:pt>
                <c:pt idx="117">
                  <c:v>200</c:v>
                </c:pt>
                <c:pt idx="118">
                  <c:v>2000</c:v>
                </c:pt>
                <c:pt idx="119">
                  <c:v>17992</c:v>
                </c:pt>
                <c:pt idx="120">
                  <c:v>900</c:v>
                </c:pt>
                <c:pt idx="121">
                  <c:v>475</c:v>
                </c:pt>
                <c:pt idx="122">
                  <c:v>500</c:v>
                </c:pt>
                <c:pt idx="123">
                  <c:v>700</c:v>
                </c:pt>
                <c:pt idx="124">
                  <c:v>500</c:v>
                </c:pt>
                <c:pt idx="125">
                  <c:v>1000</c:v>
                </c:pt>
                <c:pt idx="126">
                  <c:v>2000</c:v>
                </c:pt>
                <c:pt idx="127">
                  <c:v>2370</c:v>
                </c:pt>
                <c:pt idx="128">
                  <c:v>460</c:v>
                </c:pt>
                <c:pt idx="129">
                  <c:v>1600</c:v>
                </c:pt>
                <c:pt idx="130">
                  <c:v>400</c:v>
                </c:pt>
                <c:pt idx="131">
                  <c:v>500</c:v>
                </c:pt>
                <c:pt idx="132">
                  <c:v>200</c:v>
                </c:pt>
                <c:pt idx="133">
                  <c:v>300</c:v>
                </c:pt>
                <c:pt idx="134">
                  <c:v>100</c:v>
                </c:pt>
                <c:pt idx="135">
                  <c:v>303</c:v>
                </c:pt>
                <c:pt idx="136">
                  <c:v>55</c:v>
                </c:pt>
                <c:pt idx="137">
                  <c:v>500</c:v>
                </c:pt>
                <c:pt idx="138">
                  <c:v>42</c:v>
                </c:pt>
                <c:pt idx="139">
                  <c:v>700</c:v>
                </c:pt>
                <c:pt idx="140">
                  <c:v>1336</c:v>
                </c:pt>
                <c:pt idx="141">
                  <c:v>600</c:v>
                </c:pt>
                <c:pt idx="142">
                  <c:v>143</c:v>
                </c:pt>
                <c:pt idx="143">
                  <c:v>600</c:v>
                </c:pt>
                <c:pt idx="144">
                  <c:v>100</c:v>
                </c:pt>
                <c:pt idx="145">
                  <c:v>780</c:v>
                </c:pt>
                <c:pt idx="146">
                  <c:v>330</c:v>
                </c:pt>
                <c:pt idx="147">
                  <c:v>2000</c:v>
                </c:pt>
                <c:pt idx="148">
                  <c:v>2000</c:v>
                </c:pt>
                <c:pt idx="149">
                  <c:v>3000</c:v>
                </c:pt>
                <c:pt idx="150">
                  <c:v>200</c:v>
                </c:pt>
                <c:pt idx="151">
                  <c:v>400</c:v>
                </c:pt>
                <c:pt idx="152">
                  <c:v>1870</c:v>
                </c:pt>
                <c:pt idx="153">
                  <c:v>100</c:v>
                </c:pt>
                <c:pt idx="154">
                  <c:v>400</c:v>
                </c:pt>
                <c:pt idx="155">
                  <c:v>500</c:v>
                </c:pt>
                <c:pt idx="156">
                  <c:v>1130</c:v>
                </c:pt>
                <c:pt idx="157">
                  <c:v>657</c:v>
                </c:pt>
                <c:pt idx="158">
                  <c:v>100</c:v>
                </c:pt>
                <c:pt idx="159">
                  <c:v>200</c:v>
                </c:pt>
                <c:pt idx="160">
                  <c:v>250</c:v>
                </c:pt>
                <c:pt idx="161">
                  <c:v>1200</c:v>
                </c:pt>
                <c:pt idx="162">
                  <c:v>115</c:v>
                </c:pt>
                <c:pt idx="163">
                  <c:v>435</c:v>
                </c:pt>
                <c:pt idx="164">
                  <c:v>200</c:v>
                </c:pt>
                <c:pt idx="165">
                  <c:v>1000</c:v>
                </c:pt>
                <c:pt idx="166">
                  <c:v>345</c:v>
                </c:pt>
                <c:pt idx="167">
                  <c:v>1000</c:v>
                </c:pt>
                <c:pt idx="168">
                  <c:v>169</c:v>
                </c:pt>
                <c:pt idx="169">
                  <c:v>40</c:v>
                </c:pt>
                <c:pt idx="170">
                  <c:v>65</c:v>
                </c:pt>
                <c:pt idx="171">
                  <c:v>100</c:v>
                </c:pt>
                <c:pt idx="172">
                  <c:v>285</c:v>
                </c:pt>
                <c:pt idx="173">
                  <c:v>799</c:v>
                </c:pt>
                <c:pt idx="174">
                  <c:v>250</c:v>
                </c:pt>
                <c:pt idx="175">
                  <c:v>100</c:v>
                </c:pt>
                <c:pt idx="176">
                  <c:v>250</c:v>
                </c:pt>
                <c:pt idx="177">
                  <c:v>210</c:v>
                </c:pt>
                <c:pt idx="178">
                  <c:v>250</c:v>
                </c:pt>
                <c:pt idx="179">
                  <c:v>200</c:v>
                </c:pt>
                <c:pt idx="180">
                  <c:v>200</c:v>
                </c:pt>
                <c:pt idx="181">
                  <c:v>200</c:v>
                </c:pt>
                <c:pt idx="182">
                  <c:v>292</c:v>
                </c:pt>
                <c:pt idx="183">
                  <c:v>25800</c:v>
                </c:pt>
                <c:pt idx="184">
                  <c:v>200</c:v>
                </c:pt>
                <c:pt idx="185">
                  <c:v>150</c:v>
                </c:pt>
                <c:pt idx="186">
                  <c:v>200</c:v>
                </c:pt>
                <c:pt idx="187">
                  <c:v>150</c:v>
                </c:pt>
                <c:pt idx="188">
                  <c:v>8500</c:v>
                </c:pt>
                <c:pt idx="189">
                  <c:v>352</c:v>
                </c:pt>
                <c:pt idx="190">
                  <c:v>100</c:v>
                </c:pt>
                <c:pt idx="191">
                  <c:v>2000</c:v>
                </c:pt>
                <c:pt idx="192">
                  <c:v>50</c:v>
                </c:pt>
                <c:pt idx="193">
                  <c:v>100</c:v>
                </c:pt>
                <c:pt idx="194">
                  <c:v>100</c:v>
                </c:pt>
                <c:pt idx="195">
                  <c:v>200</c:v>
                </c:pt>
                <c:pt idx="196">
                  <c:v>8740</c:v>
                </c:pt>
                <c:pt idx="197">
                  <c:v>400</c:v>
                </c:pt>
                <c:pt idx="198">
                  <c:v>16</c:v>
                </c:pt>
                <c:pt idx="199">
                  <c:v>40</c:v>
                </c:pt>
                <c:pt idx="200">
                  <c:v>240</c:v>
                </c:pt>
                <c:pt idx="201">
                  <c:v>33</c:v>
                </c:pt>
                <c:pt idx="202">
                  <c:v>60</c:v>
                </c:pt>
                <c:pt idx="203">
                  <c:v>19</c:v>
                </c:pt>
                <c:pt idx="204">
                  <c:v>200</c:v>
                </c:pt>
                <c:pt idx="205">
                  <c:v>150</c:v>
                </c:pt>
                <c:pt idx="206">
                  <c:v>207</c:v>
                </c:pt>
                <c:pt idx="207">
                  <c:v>20</c:v>
                </c:pt>
                <c:pt idx="208">
                  <c:v>980</c:v>
                </c:pt>
                <c:pt idx="209">
                  <c:v>2000</c:v>
                </c:pt>
                <c:pt idx="210">
                  <c:v>1000</c:v>
                </c:pt>
                <c:pt idx="211">
                  <c:v>2000</c:v>
                </c:pt>
                <c:pt idx="212">
                  <c:v>1000</c:v>
                </c:pt>
                <c:pt idx="213">
                  <c:v>1000</c:v>
                </c:pt>
                <c:pt idx="214">
                  <c:v>1000</c:v>
                </c:pt>
                <c:pt idx="215">
                  <c:v>1000</c:v>
                </c:pt>
                <c:pt idx="216">
                  <c:v>100</c:v>
                </c:pt>
                <c:pt idx="217">
                  <c:v>136</c:v>
                </c:pt>
                <c:pt idx="218">
                  <c:v>60</c:v>
                </c:pt>
                <c:pt idx="219">
                  <c:v>40</c:v>
                </c:pt>
                <c:pt idx="220">
                  <c:v>450</c:v>
                </c:pt>
                <c:pt idx="221">
                  <c:v>100</c:v>
                </c:pt>
                <c:pt idx="222">
                  <c:v>50</c:v>
                </c:pt>
                <c:pt idx="223">
                  <c:v>156</c:v>
                </c:pt>
                <c:pt idx="224">
                  <c:v>200</c:v>
                </c:pt>
                <c:pt idx="225">
                  <c:v>29</c:v>
                </c:pt>
                <c:pt idx="226">
                  <c:v>44</c:v>
                </c:pt>
                <c:pt idx="227">
                  <c:v>400</c:v>
                </c:pt>
                <c:pt idx="228">
                  <c:v>1271</c:v>
                </c:pt>
                <c:pt idx="229">
                  <c:v>1000</c:v>
                </c:pt>
                <c:pt idx="230">
                  <c:v>170</c:v>
                </c:pt>
                <c:pt idx="231">
                  <c:v>120</c:v>
                </c:pt>
                <c:pt idx="232">
                  <c:v>80</c:v>
                </c:pt>
                <c:pt idx="233">
                  <c:v>40</c:v>
                </c:pt>
                <c:pt idx="234">
                  <c:v>60</c:v>
                </c:pt>
                <c:pt idx="235">
                  <c:v>100</c:v>
                </c:pt>
                <c:pt idx="236">
                  <c:v>100</c:v>
                </c:pt>
                <c:pt idx="237">
                  <c:v>1900</c:v>
                </c:pt>
                <c:pt idx="238">
                  <c:v>30</c:v>
                </c:pt>
                <c:pt idx="239">
                  <c:v>265</c:v>
                </c:pt>
                <c:pt idx="240">
                  <c:v>500</c:v>
                </c:pt>
                <c:pt idx="241">
                  <c:v>700</c:v>
                </c:pt>
                <c:pt idx="242">
                  <c:v>200</c:v>
                </c:pt>
                <c:pt idx="243">
                  <c:v>50</c:v>
                </c:pt>
                <c:pt idx="244">
                  <c:v>300</c:v>
                </c:pt>
                <c:pt idx="245">
                  <c:v>145</c:v>
                </c:pt>
                <c:pt idx="246">
                  <c:v>73</c:v>
                </c:pt>
                <c:pt idx="247">
                  <c:v>2000</c:v>
                </c:pt>
                <c:pt idx="248">
                  <c:v>200</c:v>
                </c:pt>
                <c:pt idx="249">
                  <c:v>2000</c:v>
                </c:pt>
                <c:pt idx="250">
                  <c:v>500</c:v>
                </c:pt>
                <c:pt idx="251">
                  <c:v>200</c:v>
                </c:pt>
                <c:pt idx="252">
                  <c:v>100</c:v>
                </c:pt>
                <c:pt idx="253">
                  <c:v>205</c:v>
                </c:pt>
                <c:pt idx="254">
                  <c:v>100</c:v>
                </c:pt>
                <c:pt idx="255">
                  <c:v>199</c:v>
                </c:pt>
                <c:pt idx="256">
                  <c:v>200</c:v>
                </c:pt>
                <c:pt idx="257">
                  <c:v>400</c:v>
                </c:pt>
                <c:pt idx="258">
                  <c:v>301</c:v>
                </c:pt>
                <c:pt idx="259">
                  <c:v>100</c:v>
                </c:pt>
                <c:pt idx="260">
                  <c:v>1000</c:v>
                </c:pt>
                <c:pt idx="261">
                  <c:v>200</c:v>
                </c:pt>
                <c:pt idx="262">
                  <c:v>100</c:v>
                </c:pt>
                <c:pt idx="263">
                  <c:v>248</c:v>
                </c:pt>
                <c:pt idx="264">
                  <c:v>252</c:v>
                </c:pt>
                <c:pt idx="265">
                  <c:v>500</c:v>
                </c:pt>
                <c:pt idx="266">
                  <c:v>150</c:v>
                </c:pt>
                <c:pt idx="267">
                  <c:v>370</c:v>
                </c:pt>
                <c:pt idx="268">
                  <c:v>230</c:v>
                </c:pt>
                <c:pt idx="269">
                  <c:v>500</c:v>
                </c:pt>
                <c:pt idx="270">
                  <c:v>125</c:v>
                </c:pt>
                <c:pt idx="271">
                  <c:v>200</c:v>
                </c:pt>
                <c:pt idx="272">
                  <c:v>100</c:v>
                </c:pt>
                <c:pt idx="273">
                  <c:v>200</c:v>
                </c:pt>
                <c:pt idx="274">
                  <c:v>150</c:v>
                </c:pt>
                <c:pt idx="275">
                  <c:v>100</c:v>
                </c:pt>
                <c:pt idx="276">
                  <c:v>500</c:v>
                </c:pt>
                <c:pt idx="277">
                  <c:v>200</c:v>
                </c:pt>
                <c:pt idx="278">
                  <c:v>25</c:v>
                </c:pt>
                <c:pt idx="279">
                  <c:v>10</c:v>
                </c:pt>
                <c:pt idx="280">
                  <c:v>280</c:v>
                </c:pt>
                <c:pt idx="281">
                  <c:v>500</c:v>
                </c:pt>
                <c:pt idx="282">
                  <c:v>50</c:v>
                </c:pt>
                <c:pt idx="283">
                  <c:v>113</c:v>
                </c:pt>
                <c:pt idx="284">
                  <c:v>500</c:v>
                </c:pt>
                <c:pt idx="285">
                  <c:v>183430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BB1-44C6-A356-F823B1AC2A0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17934896"/>
        <c:axId val="1117934352"/>
      </c:barChart>
      <c:lineChart>
        <c:grouping val="standard"/>
        <c:varyColors val="0"/>
        <c:ser>
          <c:idx val="1"/>
          <c:order val="1"/>
          <c:tx>
            <c:strRef>
              <c:f>'7 BSO'!$E$17</c:f>
              <c:strCache>
                <c:ptCount val="1"/>
                <c:pt idx="0">
                  <c:v>Цена</c:v>
                </c:pt>
              </c:strCache>
            </c:strRef>
          </c:tx>
          <c:spPr>
            <a:ln w="19050">
              <a:solidFill>
                <a:srgbClr val="FF0000"/>
              </a:solidFill>
            </a:ln>
          </c:spPr>
          <c:marker>
            <c:symbol val="none"/>
          </c:marker>
          <c:cat>
            <c:numRef>
              <c:f>'7 BSO'!$H$20:$H$442</c:f>
              <c:numCache>
                <c:formatCode>dd/mm/yyyy\ hh:mm/ss</c:formatCode>
                <c:ptCount val="423"/>
                <c:pt idx="0">
                  <c:v>43102.444560185184</c:v>
                </c:pt>
                <c:pt idx="1">
                  <c:v>43103.511932870373</c:v>
                </c:pt>
                <c:pt idx="2">
                  <c:v>43103.511932870373</c:v>
                </c:pt>
                <c:pt idx="3">
                  <c:v>43103.695462962962</c:v>
                </c:pt>
                <c:pt idx="4">
                  <c:v>43104.430717592593</c:v>
                </c:pt>
                <c:pt idx="5">
                  <c:v>43104.44804398148</c:v>
                </c:pt>
                <c:pt idx="6">
                  <c:v>43104.559849537036</c:v>
                </c:pt>
                <c:pt idx="7">
                  <c:v>43104.559849537036</c:v>
                </c:pt>
                <c:pt idx="8">
                  <c:v>43104.559849537036</c:v>
                </c:pt>
                <c:pt idx="9">
                  <c:v>43104.559849537036</c:v>
                </c:pt>
                <c:pt idx="10">
                  <c:v>43104.559849537036</c:v>
                </c:pt>
                <c:pt idx="11">
                  <c:v>43104.570034722223</c:v>
                </c:pt>
                <c:pt idx="12">
                  <c:v>43104.570034722223</c:v>
                </c:pt>
                <c:pt idx="13">
                  <c:v>43104.58421296296</c:v>
                </c:pt>
                <c:pt idx="14">
                  <c:v>43104.646944444445</c:v>
                </c:pt>
                <c:pt idx="15">
                  <c:v>43105.508217592593</c:v>
                </c:pt>
                <c:pt idx="16">
                  <c:v>43105.699143518519</c:v>
                </c:pt>
                <c:pt idx="17">
                  <c:v>43105.699143518519</c:v>
                </c:pt>
                <c:pt idx="18">
                  <c:v>43108.456307870372</c:v>
                </c:pt>
                <c:pt idx="19">
                  <c:v>43108.582766203705</c:v>
                </c:pt>
                <c:pt idx="20">
                  <c:v>43108.602939814817</c:v>
                </c:pt>
                <c:pt idx="21">
                  <c:v>43108.602939814817</c:v>
                </c:pt>
                <c:pt idx="22">
                  <c:v>43108.602939814817</c:v>
                </c:pt>
                <c:pt idx="23">
                  <c:v>43108.624826388892</c:v>
                </c:pt>
                <c:pt idx="24">
                  <c:v>43109.428159722222</c:v>
                </c:pt>
                <c:pt idx="25">
                  <c:v>43109.429618055554</c:v>
                </c:pt>
                <c:pt idx="26">
                  <c:v>43109.430856481478</c:v>
                </c:pt>
                <c:pt idx="27">
                  <c:v>43109.441192129627</c:v>
                </c:pt>
                <c:pt idx="28">
                  <c:v>43109.443078703705</c:v>
                </c:pt>
                <c:pt idx="29">
                  <c:v>43109.443958333337</c:v>
                </c:pt>
                <c:pt idx="30">
                  <c:v>43109.444212962961</c:v>
                </c:pt>
                <c:pt idx="31">
                  <c:v>43109.445115740738</c:v>
                </c:pt>
                <c:pt idx="32">
                  <c:v>43109.557800925926</c:v>
                </c:pt>
                <c:pt idx="33">
                  <c:v>43109.630266203705</c:v>
                </c:pt>
                <c:pt idx="34">
                  <c:v>43109.654594907406</c:v>
                </c:pt>
                <c:pt idx="35">
                  <c:v>43109.655115740738</c:v>
                </c:pt>
                <c:pt idx="36">
                  <c:v>43109.669641203705</c:v>
                </c:pt>
                <c:pt idx="37">
                  <c:v>43109.669641203705</c:v>
                </c:pt>
                <c:pt idx="38">
                  <c:v>43109.701932870368</c:v>
                </c:pt>
                <c:pt idx="39">
                  <c:v>43109.708402777775</c:v>
                </c:pt>
                <c:pt idx="40">
                  <c:v>43109.708402777775</c:v>
                </c:pt>
                <c:pt idx="41">
                  <c:v>43110.45208333333</c:v>
                </c:pt>
                <c:pt idx="42">
                  <c:v>43110.45208333333</c:v>
                </c:pt>
                <c:pt idx="43">
                  <c:v>43110.554282407407</c:v>
                </c:pt>
                <c:pt idx="44">
                  <c:v>43111.467407407406</c:v>
                </c:pt>
                <c:pt idx="45">
                  <c:v>43111.562881944446</c:v>
                </c:pt>
                <c:pt idx="46">
                  <c:v>43111.633425925924</c:v>
                </c:pt>
                <c:pt idx="47">
                  <c:v>43111.633425925924</c:v>
                </c:pt>
                <c:pt idx="48">
                  <c:v>43112.547013888892</c:v>
                </c:pt>
                <c:pt idx="49">
                  <c:v>43112.604097222225</c:v>
                </c:pt>
                <c:pt idx="50">
                  <c:v>43112.696458333332</c:v>
                </c:pt>
                <c:pt idx="51">
                  <c:v>43112.696458333332</c:v>
                </c:pt>
                <c:pt idx="52">
                  <c:v>43112.697476851848</c:v>
                </c:pt>
                <c:pt idx="53">
                  <c:v>43115.459247685183</c:v>
                </c:pt>
                <c:pt idx="54">
                  <c:v>43115.464317129627</c:v>
                </c:pt>
                <c:pt idx="55">
                  <c:v>43115.50403935185</c:v>
                </c:pt>
                <c:pt idx="56">
                  <c:v>43116.428136574075</c:v>
                </c:pt>
                <c:pt idx="57">
                  <c:v>43116.428136574075</c:v>
                </c:pt>
                <c:pt idx="58">
                  <c:v>43116.428136574075</c:v>
                </c:pt>
                <c:pt idx="59">
                  <c:v>43116.428136574075</c:v>
                </c:pt>
                <c:pt idx="60">
                  <c:v>43116.430219907408</c:v>
                </c:pt>
                <c:pt idx="61">
                  <c:v>43116.430219907408</c:v>
                </c:pt>
                <c:pt idx="62">
                  <c:v>43116.463263888887</c:v>
                </c:pt>
                <c:pt idx="63">
                  <c:v>43116.48940972222</c:v>
                </c:pt>
                <c:pt idx="64">
                  <c:v>43116.48940972222</c:v>
                </c:pt>
                <c:pt idx="65">
                  <c:v>43116.492361111108</c:v>
                </c:pt>
                <c:pt idx="66">
                  <c:v>43116.521099537036</c:v>
                </c:pt>
                <c:pt idx="67">
                  <c:v>43118.459629629629</c:v>
                </c:pt>
                <c:pt idx="68">
                  <c:v>43125.434074074074</c:v>
                </c:pt>
                <c:pt idx="69">
                  <c:v>43126.687291666669</c:v>
                </c:pt>
                <c:pt idx="70">
                  <c:v>43126.703287037039</c:v>
                </c:pt>
                <c:pt idx="71">
                  <c:v>43126.708402777775</c:v>
                </c:pt>
                <c:pt idx="72">
                  <c:v>43129.519189814811</c:v>
                </c:pt>
                <c:pt idx="73">
                  <c:v>43129.699432870373</c:v>
                </c:pt>
                <c:pt idx="74">
                  <c:v>43130.426388888889</c:v>
                </c:pt>
                <c:pt idx="75">
                  <c:v>43131.464328703703</c:v>
                </c:pt>
                <c:pt idx="76">
                  <c:v>43131.527951388889</c:v>
                </c:pt>
                <c:pt idx="77">
                  <c:v>43131.527951388889</c:v>
                </c:pt>
                <c:pt idx="78">
                  <c:v>43131.527951388889</c:v>
                </c:pt>
                <c:pt idx="79">
                  <c:v>43131.598564814813</c:v>
                </c:pt>
                <c:pt idx="80">
                  <c:v>43131.598564814813</c:v>
                </c:pt>
                <c:pt idx="81">
                  <c:v>43131.624803240738</c:v>
                </c:pt>
                <c:pt idx="82">
                  <c:v>43131.624803240738</c:v>
                </c:pt>
                <c:pt idx="83">
                  <c:v>43131.624803240738</c:v>
                </c:pt>
                <c:pt idx="84">
                  <c:v>43131.624803240738</c:v>
                </c:pt>
                <c:pt idx="85">
                  <c:v>43131.624803240738</c:v>
                </c:pt>
                <c:pt idx="86">
                  <c:v>43132.423703703702</c:v>
                </c:pt>
                <c:pt idx="87">
                  <c:v>43132.423703703702</c:v>
                </c:pt>
                <c:pt idx="88">
                  <c:v>43132.423703703702</c:v>
                </c:pt>
                <c:pt idx="89">
                  <c:v>43132.423703703702</c:v>
                </c:pt>
                <c:pt idx="90">
                  <c:v>43132.423703703702</c:v>
                </c:pt>
                <c:pt idx="91">
                  <c:v>43132.465578703705</c:v>
                </c:pt>
                <c:pt idx="92">
                  <c:v>43132.571620370371</c:v>
                </c:pt>
                <c:pt idx="93">
                  <c:v>43132.571620370371</c:v>
                </c:pt>
                <c:pt idx="94">
                  <c:v>43133.572118055556</c:v>
                </c:pt>
                <c:pt idx="95">
                  <c:v>43136.45621527778</c:v>
                </c:pt>
                <c:pt idx="96">
                  <c:v>43136.506377314814</c:v>
                </c:pt>
                <c:pt idx="97">
                  <c:v>43136.532754629632</c:v>
                </c:pt>
                <c:pt idx="98">
                  <c:v>43136.607523148145</c:v>
                </c:pt>
                <c:pt idx="99">
                  <c:v>43136.69630787037</c:v>
                </c:pt>
                <c:pt idx="100">
                  <c:v>43137.423680555556</c:v>
                </c:pt>
                <c:pt idx="101">
                  <c:v>43137.432002314818</c:v>
                </c:pt>
                <c:pt idx="102">
                  <c:v>43137.432002314818</c:v>
                </c:pt>
                <c:pt idx="103">
                  <c:v>43137.432314814818</c:v>
                </c:pt>
                <c:pt idx="104">
                  <c:v>43137.433587962965</c:v>
                </c:pt>
                <c:pt idx="105">
                  <c:v>43137.446076388886</c:v>
                </c:pt>
                <c:pt idx="106">
                  <c:v>43137.539224537039</c:v>
                </c:pt>
                <c:pt idx="107">
                  <c:v>43137.575023148151</c:v>
                </c:pt>
                <c:pt idx="108">
                  <c:v>43137.575879629629</c:v>
                </c:pt>
                <c:pt idx="109">
                  <c:v>43137.610763888886</c:v>
                </c:pt>
                <c:pt idx="110">
                  <c:v>43137.610763888886</c:v>
                </c:pt>
                <c:pt idx="111">
                  <c:v>43138.554108796299</c:v>
                </c:pt>
                <c:pt idx="112">
                  <c:v>43138.55672453704</c:v>
                </c:pt>
                <c:pt idx="113">
                  <c:v>43139.568518518521</c:v>
                </c:pt>
                <c:pt idx="114">
                  <c:v>43139.585648148146</c:v>
                </c:pt>
                <c:pt idx="115">
                  <c:v>43139.644571759258</c:v>
                </c:pt>
                <c:pt idx="116">
                  <c:v>43139.690393518518</c:v>
                </c:pt>
                <c:pt idx="117">
                  <c:v>43139.698078703703</c:v>
                </c:pt>
                <c:pt idx="118">
                  <c:v>43140.428495370368</c:v>
                </c:pt>
                <c:pt idx="119">
                  <c:v>43140.428495370368</c:v>
                </c:pt>
                <c:pt idx="120">
                  <c:v>43140.428738425922</c:v>
                </c:pt>
                <c:pt idx="121">
                  <c:v>43140.44734953704</c:v>
                </c:pt>
                <c:pt idx="122">
                  <c:v>43140.44734953704</c:v>
                </c:pt>
                <c:pt idx="123">
                  <c:v>43140.459444444445</c:v>
                </c:pt>
                <c:pt idx="124">
                  <c:v>43140.463576388887</c:v>
                </c:pt>
                <c:pt idx="125">
                  <c:v>43140.463576388887</c:v>
                </c:pt>
                <c:pt idx="126">
                  <c:v>43140.464930555558</c:v>
                </c:pt>
                <c:pt idx="127">
                  <c:v>43140.465127314812</c:v>
                </c:pt>
                <c:pt idx="128">
                  <c:v>43140.465868055559</c:v>
                </c:pt>
                <c:pt idx="129">
                  <c:v>43143.604270833333</c:v>
                </c:pt>
                <c:pt idx="130">
                  <c:v>43143.604270833333</c:v>
                </c:pt>
                <c:pt idx="131">
                  <c:v>43143.604270833333</c:v>
                </c:pt>
                <c:pt idx="132">
                  <c:v>43144.433969907404</c:v>
                </c:pt>
                <c:pt idx="133">
                  <c:v>43144.453622685185</c:v>
                </c:pt>
                <c:pt idx="134">
                  <c:v>43144.460694444446</c:v>
                </c:pt>
                <c:pt idx="135">
                  <c:v>43144.461759259262</c:v>
                </c:pt>
                <c:pt idx="136">
                  <c:v>43144.479780092595</c:v>
                </c:pt>
                <c:pt idx="137">
                  <c:v>43144.494756944441</c:v>
                </c:pt>
                <c:pt idx="138">
                  <c:v>43144.498067129629</c:v>
                </c:pt>
                <c:pt idx="139">
                  <c:v>43144.522627314815</c:v>
                </c:pt>
                <c:pt idx="140">
                  <c:v>43144.695347222223</c:v>
                </c:pt>
                <c:pt idx="141">
                  <c:v>43146.53125</c:v>
                </c:pt>
                <c:pt idx="142">
                  <c:v>43146.53125</c:v>
                </c:pt>
                <c:pt idx="143">
                  <c:v>43146.534583333334</c:v>
                </c:pt>
                <c:pt idx="144">
                  <c:v>43150.689791666664</c:v>
                </c:pt>
                <c:pt idx="145">
                  <c:v>43150.690023148149</c:v>
                </c:pt>
                <c:pt idx="146">
                  <c:v>43150.708518518521</c:v>
                </c:pt>
                <c:pt idx="147">
                  <c:v>43150.708518518521</c:v>
                </c:pt>
                <c:pt idx="148">
                  <c:v>43151.564363425925</c:v>
                </c:pt>
                <c:pt idx="149">
                  <c:v>43151.656273148146</c:v>
                </c:pt>
                <c:pt idx="150">
                  <c:v>43154.681493055556</c:v>
                </c:pt>
                <c:pt idx="151">
                  <c:v>43157.462824074071</c:v>
                </c:pt>
                <c:pt idx="152">
                  <c:v>43157.491770833331</c:v>
                </c:pt>
                <c:pt idx="153">
                  <c:v>43157.519305555557</c:v>
                </c:pt>
                <c:pt idx="154">
                  <c:v>43157.519305555557</c:v>
                </c:pt>
                <c:pt idx="155">
                  <c:v>43157.519305555557</c:v>
                </c:pt>
                <c:pt idx="156">
                  <c:v>43157.586134259262</c:v>
                </c:pt>
                <c:pt idx="157">
                  <c:v>43158.474861111114</c:v>
                </c:pt>
                <c:pt idx="158">
                  <c:v>43158.522523148145</c:v>
                </c:pt>
                <c:pt idx="159">
                  <c:v>43165.503275462965</c:v>
                </c:pt>
                <c:pt idx="160">
                  <c:v>43166.45113425926</c:v>
                </c:pt>
                <c:pt idx="161">
                  <c:v>43168.441817129627</c:v>
                </c:pt>
                <c:pt idx="162">
                  <c:v>43168.579664351855</c:v>
                </c:pt>
                <c:pt idx="163">
                  <c:v>43168.579664351855</c:v>
                </c:pt>
                <c:pt idx="164">
                  <c:v>43168.579664351855</c:v>
                </c:pt>
                <c:pt idx="165">
                  <c:v>43168.601898148147</c:v>
                </c:pt>
                <c:pt idx="166">
                  <c:v>43168.627060185187</c:v>
                </c:pt>
                <c:pt idx="167">
                  <c:v>43168.68037037037</c:v>
                </c:pt>
                <c:pt idx="168">
                  <c:v>43172.515428240738</c:v>
                </c:pt>
                <c:pt idx="169">
                  <c:v>43173.708541666667</c:v>
                </c:pt>
                <c:pt idx="170">
                  <c:v>43178.46634259259</c:v>
                </c:pt>
                <c:pt idx="171">
                  <c:v>43178.672476851854</c:v>
                </c:pt>
                <c:pt idx="172">
                  <c:v>43179.606956018521</c:v>
                </c:pt>
                <c:pt idx="173">
                  <c:v>43181.700046296297</c:v>
                </c:pt>
                <c:pt idx="174">
                  <c:v>43182.548437500001</c:v>
                </c:pt>
                <c:pt idx="175">
                  <c:v>43182.548437500001</c:v>
                </c:pt>
                <c:pt idx="176">
                  <c:v>43185.600219907406</c:v>
                </c:pt>
                <c:pt idx="177">
                  <c:v>43185.600219907406</c:v>
                </c:pt>
                <c:pt idx="178">
                  <c:v>43186.538981481484</c:v>
                </c:pt>
                <c:pt idx="179">
                  <c:v>43187.477256944447</c:v>
                </c:pt>
                <c:pt idx="180">
                  <c:v>43188.588865740741</c:v>
                </c:pt>
                <c:pt idx="181">
                  <c:v>43193.543877314813</c:v>
                </c:pt>
                <c:pt idx="182">
                  <c:v>43193.639004629629</c:v>
                </c:pt>
                <c:pt idx="183">
                  <c:v>43194.545312499999</c:v>
                </c:pt>
                <c:pt idx="184">
                  <c:v>43194.545312499999</c:v>
                </c:pt>
                <c:pt idx="185">
                  <c:v>43194.545312499999</c:v>
                </c:pt>
                <c:pt idx="186">
                  <c:v>43201.500532407408</c:v>
                </c:pt>
                <c:pt idx="187">
                  <c:v>43203.637546296297</c:v>
                </c:pt>
                <c:pt idx="188">
                  <c:v>43206.443506944444</c:v>
                </c:pt>
                <c:pt idx="189">
                  <c:v>43207.553182870368</c:v>
                </c:pt>
                <c:pt idx="190">
                  <c:v>43208.43236111111</c:v>
                </c:pt>
                <c:pt idx="191">
                  <c:v>43208.526446759257</c:v>
                </c:pt>
                <c:pt idx="192">
                  <c:v>43209.680231481485</c:v>
                </c:pt>
                <c:pt idx="193">
                  <c:v>43209.680231481485</c:v>
                </c:pt>
                <c:pt idx="194">
                  <c:v>43217.427187499998</c:v>
                </c:pt>
                <c:pt idx="195">
                  <c:v>43217.527905092589</c:v>
                </c:pt>
                <c:pt idx="196">
                  <c:v>43217.558298611111</c:v>
                </c:pt>
                <c:pt idx="197">
                  <c:v>43223.434814814813</c:v>
                </c:pt>
                <c:pt idx="198">
                  <c:v>43224.429976851854</c:v>
                </c:pt>
                <c:pt idx="199">
                  <c:v>43224.6637962963</c:v>
                </c:pt>
                <c:pt idx="200">
                  <c:v>43228.423692129632</c:v>
                </c:pt>
                <c:pt idx="201">
                  <c:v>43228.423692129632</c:v>
                </c:pt>
                <c:pt idx="202">
                  <c:v>43228.423692129632</c:v>
                </c:pt>
                <c:pt idx="203">
                  <c:v>43228.590763888889</c:v>
                </c:pt>
                <c:pt idx="204">
                  <c:v>43229.437407407408</c:v>
                </c:pt>
                <c:pt idx="205">
                  <c:v>43231.634351851855</c:v>
                </c:pt>
                <c:pt idx="206">
                  <c:v>43237.634432870371</c:v>
                </c:pt>
                <c:pt idx="207">
                  <c:v>43237.638206018521</c:v>
                </c:pt>
                <c:pt idx="208">
                  <c:v>43237.645983796298</c:v>
                </c:pt>
                <c:pt idx="209">
                  <c:v>43241.490208333336</c:v>
                </c:pt>
                <c:pt idx="210">
                  <c:v>43241.504976851851</c:v>
                </c:pt>
                <c:pt idx="211">
                  <c:v>43241.708553240744</c:v>
                </c:pt>
                <c:pt idx="212">
                  <c:v>43242.552037037036</c:v>
                </c:pt>
                <c:pt idx="213">
                  <c:v>43242.577418981484</c:v>
                </c:pt>
                <c:pt idx="214">
                  <c:v>43243.608807870369</c:v>
                </c:pt>
                <c:pt idx="215">
                  <c:v>43243.666712962964</c:v>
                </c:pt>
                <c:pt idx="216">
                  <c:v>43245.426585648151</c:v>
                </c:pt>
                <c:pt idx="217">
                  <c:v>43245.600925925923</c:v>
                </c:pt>
                <c:pt idx="218">
                  <c:v>43245.648136574076</c:v>
                </c:pt>
                <c:pt idx="219">
                  <c:v>43245.65828703704</c:v>
                </c:pt>
                <c:pt idx="220">
                  <c:v>43249.423796296294</c:v>
                </c:pt>
                <c:pt idx="221">
                  <c:v>43249.423796296294</c:v>
                </c:pt>
                <c:pt idx="222">
                  <c:v>43249.42869212963</c:v>
                </c:pt>
                <c:pt idx="223">
                  <c:v>43249.435856481483</c:v>
                </c:pt>
                <c:pt idx="224">
                  <c:v>43249.437280092592</c:v>
                </c:pt>
                <c:pt idx="225">
                  <c:v>43249.442557870374</c:v>
                </c:pt>
                <c:pt idx="226">
                  <c:v>43249.442557870374</c:v>
                </c:pt>
                <c:pt idx="227">
                  <c:v>43249.450289351851</c:v>
                </c:pt>
                <c:pt idx="228">
                  <c:v>43249.450289351851</c:v>
                </c:pt>
                <c:pt idx="229">
                  <c:v>43249.450289351851</c:v>
                </c:pt>
                <c:pt idx="230">
                  <c:v>43249.46471064815</c:v>
                </c:pt>
                <c:pt idx="231">
                  <c:v>43249.472800925927</c:v>
                </c:pt>
                <c:pt idx="232">
                  <c:v>43249.472800925927</c:v>
                </c:pt>
                <c:pt idx="233">
                  <c:v>43249.638749999998</c:v>
                </c:pt>
                <c:pt idx="234">
                  <c:v>43250.522511574076</c:v>
                </c:pt>
                <c:pt idx="235">
                  <c:v>43252.466724537036</c:v>
                </c:pt>
                <c:pt idx="236">
                  <c:v>43252.501643518517</c:v>
                </c:pt>
                <c:pt idx="237">
                  <c:v>43252.692118055558</c:v>
                </c:pt>
                <c:pt idx="238">
                  <c:v>43255.573171296295</c:v>
                </c:pt>
                <c:pt idx="239">
                  <c:v>43255.655706018515</c:v>
                </c:pt>
                <c:pt idx="240">
                  <c:v>43258.625486111108</c:v>
                </c:pt>
                <c:pt idx="241">
                  <c:v>43262.694085648145</c:v>
                </c:pt>
                <c:pt idx="242">
                  <c:v>43263.61109953704</c:v>
                </c:pt>
                <c:pt idx="243">
                  <c:v>43263.656944444447</c:v>
                </c:pt>
                <c:pt idx="244">
                  <c:v>43263.656944444447</c:v>
                </c:pt>
                <c:pt idx="245">
                  <c:v>43263.660185185188</c:v>
                </c:pt>
                <c:pt idx="246">
                  <c:v>43264.452581018515</c:v>
                </c:pt>
                <c:pt idx="247">
                  <c:v>43264.453136574077</c:v>
                </c:pt>
                <c:pt idx="248">
                  <c:v>43264.45988425926</c:v>
                </c:pt>
                <c:pt idx="249">
                  <c:v>43264.460023148145</c:v>
                </c:pt>
                <c:pt idx="250">
                  <c:v>43264.469525462962</c:v>
                </c:pt>
                <c:pt idx="251">
                  <c:v>43264.65892361111</c:v>
                </c:pt>
                <c:pt idx="252">
                  <c:v>43264.689097222225</c:v>
                </c:pt>
                <c:pt idx="253">
                  <c:v>43266.634363425925</c:v>
                </c:pt>
                <c:pt idx="254">
                  <c:v>43266.640983796293</c:v>
                </c:pt>
                <c:pt idx="255">
                  <c:v>43266.640983796293</c:v>
                </c:pt>
                <c:pt idx="256">
                  <c:v>43266.640983796293</c:v>
                </c:pt>
                <c:pt idx="257">
                  <c:v>43266.651076388887</c:v>
                </c:pt>
                <c:pt idx="258">
                  <c:v>43266.651076388887</c:v>
                </c:pt>
                <c:pt idx="259">
                  <c:v>43269.607152777775</c:v>
                </c:pt>
                <c:pt idx="260">
                  <c:v>43273.448946759258</c:v>
                </c:pt>
                <c:pt idx="261">
                  <c:v>43273.568124999998</c:v>
                </c:pt>
                <c:pt idx="262">
                  <c:v>43276.473449074074</c:v>
                </c:pt>
                <c:pt idx="263">
                  <c:v>43276.695972222224</c:v>
                </c:pt>
                <c:pt idx="264">
                  <c:v>43277.686597222222</c:v>
                </c:pt>
                <c:pt idx="265">
                  <c:v>43277.693101851852</c:v>
                </c:pt>
                <c:pt idx="266">
                  <c:v>43278.630682870367</c:v>
                </c:pt>
                <c:pt idx="267">
                  <c:v>43279.611203703702</c:v>
                </c:pt>
                <c:pt idx="268">
                  <c:v>43279.612337962964</c:v>
                </c:pt>
                <c:pt idx="269">
                  <c:v>43279.688726851855</c:v>
                </c:pt>
                <c:pt idx="270">
                  <c:v>43279.688726851855</c:v>
                </c:pt>
                <c:pt idx="271">
                  <c:v>43279.688726851855</c:v>
                </c:pt>
                <c:pt idx="272">
                  <c:v>43279.689236111109</c:v>
                </c:pt>
                <c:pt idx="273">
                  <c:v>43279.689236111109</c:v>
                </c:pt>
                <c:pt idx="274">
                  <c:v>43279.689236111109</c:v>
                </c:pt>
                <c:pt idx="275">
                  <c:v>43279.689236111109</c:v>
                </c:pt>
                <c:pt idx="276">
                  <c:v>43279.689236111109</c:v>
                </c:pt>
                <c:pt idx="277">
                  <c:v>43279.689236111109</c:v>
                </c:pt>
                <c:pt idx="278">
                  <c:v>43279.697384259256</c:v>
                </c:pt>
                <c:pt idx="279">
                  <c:v>43280.454884259256</c:v>
                </c:pt>
                <c:pt idx="280">
                  <c:v>43280.458611111113</c:v>
                </c:pt>
                <c:pt idx="281">
                  <c:v>43280.478368055556</c:v>
                </c:pt>
                <c:pt idx="282">
                  <c:v>43280.53125</c:v>
                </c:pt>
                <c:pt idx="283">
                  <c:v>43280.618842592594</c:v>
                </c:pt>
                <c:pt idx="284">
                  <c:v>43280.62060185185</c:v>
                </c:pt>
              </c:numCache>
            </c:numRef>
          </c:cat>
          <c:val>
            <c:numRef>
              <c:f>'7 BSO'!$J$20:$J$304</c:f>
              <c:numCache>
                <c:formatCode>General</c:formatCode>
                <c:ptCount val="285"/>
                <c:pt idx="0">
                  <c:v>6</c:v>
                </c:pt>
                <c:pt idx="1">
                  <c:v>5.45</c:v>
                </c:pt>
                <c:pt idx="2">
                  <c:v>5.5</c:v>
                </c:pt>
                <c:pt idx="3">
                  <c:v>5.45</c:v>
                </c:pt>
                <c:pt idx="4">
                  <c:v>5.5</c:v>
                </c:pt>
                <c:pt idx="5">
                  <c:v>5.6</c:v>
                </c:pt>
                <c:pt idx="6">
                  <c:v>5.75</c:v>
                </c:pt>
                <c:pt idx="7">
                  <c:v>5.7</c:v>
                </c:pt>
                <c:pt idx="8">
                  <c:v>5.75</c:v>
                </c:pt>
                <c:pt idx="9">
                  <c:v>5.75</c:v>
                </c:pt>
                <c:pt idx="10">
                  <c:v>5.7</c:v>
                </c:pt>
                <c:pt idx="11">
                  <c:v>5.75</c:v>
                </c:pt>
                <c:pt idx="12">
                  <c:v>5.75</c:v>
                </c:pt>
                <c:pt idx="13">
                  <c:v>5.75</c:v>
                </c:pt>
                <c:pt idx="14">
                  <c:v>5.8</c:v>
                </c:pt>
                <c:pt idx="15">
                  <c:v>5.8</c:v>
                </c:pt>
                <c:pt idx="16">
                  <c:v>5.85</c:v>
                </c:pt>
                <c:pt idx="17">
                  <c:v>5.85</c:v>
                </c:pt>
                <c:pt idx="18">
                  <c:v>5.85</c:v>
                </c:pt>
                <c:pt idx="19">
                  <c:v>5.9</c:v>
                </c:pt>
                <c:pt idx="20">
                  <c:v>5.95</c:v>
                </c:pt>
                <c:pt idx="21">
                  <c:v>5.95</c:v>
                </c:pt>
                <c:pt idx="22">
                  <c:v>6</c:v>
                </c:pt>
                <c:pt idx="23">
                  <c:v>5.65</c:v>
                </c:pt>
                <c:pt idx="24">
                  <c:v>5.75</c:v>
                </c:pt>
                <c:pt idx="25">
                  <c:v>5.75</c:v>
                </c:pt>
                <c:pt idx="26">
                  <c:v>5.75</c:v>
                </c:pt>
                <c:pt idx="27">
                  <c:v>5.75</c:v>
                </c:pt>
                <c:pt idx="28">
                  <c:v>5.75</c:v>
                </c:pt>
                <c:pt idx="29">
                  <c:v>5.75</c:v>
                </c:pt>
                <c:pt idx="30">
                  <c:v>5.75</c:v>
                </c:pt>
                <c:pt idx="31">
                  <c:v>5.75</c:v>
                </c:pt>
                <c:pt idx="32">
                  <c:v>5.85</c:v>
                </c:pt>
                <c:pt idx="33">
                  <c:v>5.85</c:v>
                </c:pt>
                <c:pt idx="34">
                  <c:v>5.85</c:v>
                </c:pt>
                <c:pt idx="35">
                  <c:v>5.85</c:v>
                </c:pt>
                <c:pt idx="36">
                  <c:v>5.9</c:v>
                </c:pt>
                <c:pt idx="37">
                  <c:v>5.9</c:v>
                </c:pt>
                <c:pt idx="38">
                  <c:v>5.9</c:v>
                </c:pt>
                <c:pt idx="39">
                  <c:v>5.85</c:v>
                </c:pt>
                <c:pt idx="40">
                  <c:v>5.85</c:v>
                </c:pt>
                <c:pt idx="41">
                  <c:v>5.95</c:v>
                </c:pt>
                <c:pt idx="42">
                  <c:v>5.95</c:v>
                </c:pt>
                <c:pt idx="43">
                  <c:v>5.95</c:v>
                </c:pt>
                <c:pt idx="44">
                  <c:v>6</c:v>
                </c:pt>
                <c:pt idx="45">
                  <c:v>5.9</c:v>
                </c:pt>
                <c:pt idx="46">
                  <c:v>5.85</c:v>
                </c:pt>
                <c:pt idx="47">
                  <c:v>5.85</c:v>
                </c:pt>
                <c:pt idx="48">
                  <c:v>5.9</c:v>
                </c:pt>
                <c:pt idx="49">
                  <c:v>5.9</c:v>
                </c:pt>
                <c:pt idx="50">
                  <c:v>5.9</c:v>
                </c:pt>
                <c:pt idx="51">
                  <c:v>5.85</c:v>
                </c:pt>
                <c:pt idx="52">
                  <c:v>5.75</c:v>
                </c:pt>
                <c:pt idx="53">
                  <c:v>5.6</c:v>
                </c:pt>
                <c:pt idx="54">
                  <c:v>5.65</c:v>
                </c:pt>
                <c:pt idx="55">
                  <c:v>5.9</c:v>
                </c:pt>
                <c:pt idx="56">
                  <c:v>5.6</c:v>
                </c:pt>
                <c:pt idx="57">
                  <c:v>5.6</c:v>
                </c:pt>
                <c:pt idx="58">
                  <c:v>5.55</c:v>
                </c:pt>
                <c:pt idx="59">
                  <c:v>5.6</c:v>
                </c:pt>
                <c:pt idx="60">
                  <c:v>5.55</c:v>
                </c:pt>
                <c:pt idx="61">
                  <c:v>5.55</c:v>
                </c:pt>
                <c:pt idx="62">
                  <c:v>5.85</c:v>
                </c:pt>
                <c:pt idx="63">
                  <c:v>5.5</c:v>
                </c:pt>
                <c:pt idx="64">
                  <c:v>5.5</c:v>
                </c:pt>
                <c:pt idx="65">
                  <c:v>5.45</c:v>
                </c:pt>
                <c:pt idx="66">
                  <c:v>5.75</c:v>
                </c:pt>
                <c:pt idx="67">
                  <c:v>5.85</c:v>
                </c:pt>
                <c:pt idx="68">
                  <c:v>5.6</c:v>
                </c:pt>
                <c:pt idx="69">
                  <c:v>5.8</c:v>
                </c:pt>
                <c:pt idx="70">
                  <c:v>5.8</c:v>
                </c:pt>
                <c:pt idx="71">
                  <c:v>5.8</c:v>
                </c:pt>
                <c:pt idx="72">
                  <c:v>5.8</c:v>
                </c:pt>
                <c:pt idx="73">
                  <c:v>5.75</c:v>
                </c:pt>
                <c:pt idx="74">
                  <c:v>5.7</c:v>
                </c:pt>
                <c:pt idx="75">
                  <c:v>5.8</c:v>
                </c:pt>
                <c:pt idx="76">
                  <c:v>5.9</c:v>
                </c:pt>
                <c:pt idx="77">
                  <c:v>5.9</c:v>
                </c:pt>
                <c:pt idx="78">
                  <c:v>5.95</c:v>
                </c:pt>
                <c:pt idx="79">
                  <c:v>5.95</c:v>
                </c:pt>
                <c:pt idx="80">
                  <c:v>5.95</c:v>
                </c:pt>
                <c:pt idx="81">
                  <c:v>5.95</c:v>
                </c:pt>
                <c:pt idx="82">
                  <c:v>5.95</c:v>
                </c:pt>
                <c:pt idx="83">
                  <c:v>5.95</c:v>
                </c:pt>
                <c:pt idx="84">
                  <c:v>6</c:v>
                </c:pt>
                <c:pt idx="85">
                  <c:v>5.95</c:v>
                </c:pt>
                <c:pt idx="86">
                  <c:v>6</c:v>
                </c:pt>
                <c:pt idx="87">
                  <c:v>6</c:v>
                </c:pt>
                <c:pt idx="88">
                  <c:v>6</c:v>
                </c:pt>
                <c:pt idx="89">
                  <c:v>6</c:v>
                </c:pt>
                <c:pt idx="90">
                  <c:v>6</c:v>
                </c:pt>
                <c:pt idx="91">
                  <c:v>6.15</c:v>
                </c:pt>
                <c:pt idx="92">
                  <c:v>6</c:v>
                </c:pt>
                <c:pt idx="93">
                  <c:v>6</c:v>
                </c:pt>
                <c:pt idx="94">
                  <c:v>5.9</c:v>
                </c:pt>
                <c:pt idx="95">
                  <c:v>6</c:v>
                </c:pt>
                <c:pt idx="96">
                  <c:v>5.9</c:v>
                </c:pt>
                <c:pt idx="97">
                  <c:v>5.9</c:v>
                </c:pt>
                <c:pt idx="98">
                  <c:v>5.9</c:v>
                </c:pt>
                <c:pt idx="99">
                  <c:v>6</c:v>
                </c:pt>
                <c:pt idx="100">
                  <c:v>5.8</c:v>
                </c:pt>
                <c:pt idx="101">
                  <c:v>5.8</c:v>
                </c:pt>
                <c:pt idx="102">
                  <c:v>5.8</c:v>
                </c:pt>
                <c:pt idx="103">
                  <c:v>5.8</c:v>
                </c:pt>
                <c:pt idx="104">
                  <c:v>5.75</c:v>
                </c:pt>
                <c:pt idx="105">
                  <c:v>5.8</c:v>
                </c:pt>
                <c:pt idx="106">
                  <c:v>5.8</c:v>
                </c:pt>
                <c:pt idx="107">
                  <c:v>5.8</c:v>
                </c:pt>
                <c:pt idx="108">
                  <c:v>5.8</c:v>
                </c:pt>
                <c:pt idx="109">
                  <c:v>5.8</c:v>
                </c:pt>
                <c:pt idx="110">
                  <c:v>5.8</c:v>
                </c:pt>
                <c:pt idx="111">
                  <c:v>5.8</c:v>
                </c:pt>
                <c:pt idx="112">
                  <c:v>5.8</c:v>
                </c:pt>
                <c:pt idx="113">
                  <c:v>5.75</c:v>
                </c:pt>
                <c:pt idx="114">
                  <c:v>5.75</c:v>
                </c:pt>
                <c:pt idx="115">
                  <c:v>5.65</c:v>
                </c:pt>
                <c:pt idx="116">
                  <c:v>5.7</c:v>
                </c:pt>
                <c:pt idx="117">
                  <c:v>5.75</c:v>
                </c:pt>
                <c:pt idx="118">
                  <c:v>5.75</c:v>
                </c:pt>
                <c:pt idx="119">
                  <c:v>5.75</c:v>
                </c:pt>
                <c:pt idx="120">
                  <c:v>5.7</c:v>
                </c:pt>
                <c:pt idx="121">
                  <c:v>5.7</c:v>
                </c:pt>
                <c:pt idx="122">
                  <c:v>5.7</c:v>
                </c:pt>
                <c:pt idx="123">
                  <c:v>5.65</c:v>
                </c:pt>
                <c:pt idx="124">
                  <c:v>5.6</c:v>
                </c:pt>
                <c:pt idx="125">
                  <c:v>5.65</c:v>
                </c:pt>
                <c:pt idx="126">
                  <c:v>5.6</c:v>
                </c:pt>
                <c:pt idx="127">
                  <c:v>5.6</c:v>
                </c:pt>
                <c:pt idx="128">
                  <c:v>5.5</c:v>
                </c:pt>
                <c:pt idx="129">
                  <c:v>5.55</c:v>
                </c:pt>
                <c:pt idx="130">
                  <c:v>5.6</c:v>
                </c:pt>
                <c:pt idx="131">
                  <c:v>5.65</c:v>
                </c:pt>
                <c:pt idx="132">
                  <c:v>5.85</c:v>
                </c:pt>
                <c:pt idx="133">
                  <c:v>5.85</c:v>
                </c:pt>
                <c:pt idx="134">
                  <c:v>5.85</c:v>
                </c:pt>
                <c:pt idx="135">
                  <c:v>5.85</c:v>
                </c:pt>
                <c:pt idx="136">
                  <c:v>5.85</c:v>
                </c:pt>
                <c:pt idx="137">
                  <c:v>5.85</c:v>
                </c:pt>
                <c:pt idx="138">
                  <c:v>5.85</c:v>
                </c:pt>
                <c:pt idx="139">
                  <c:v>5.85</c:v>
                </c:pt>
                <c:pt idx="140">
                  <c:v>5.8</c:v>
                </c:pt>
                <c:pt idx="141">
                  <c:v>5.8</c:v>
                </c:pt>
                <c:pt idx="142">
                  <c:v>5.8</c:v>
                </c:pt>
                <c:pt idx="143">
                  <c:v>5.75</c:v>
                </c:pt>
                <c:pt idx="144">
                  <c:v>5.75</c:v>
                </c:pt>
                <c:pt idx="145">
                  <c:v>5.75</c:v>
                </c:pt>
                <c:pt idx="146">
                  <c:v>5.75</c:v>
                </c:pt>
                <c:pt idx="147">
                  <c:v>5.75</c:v>
                </c:pt>
                <c:pt idx="148">
                  <c:v>5.75</c:v>
                </c:pt>
                <c:pt idx="149">
                  <c:v>5.75</c:v>
                </c:pt>
                <c:pt idx="150">
                  <c:v>5.75</c:v>
                </c:pt>
                <c:pt idx="151">
                  <c:v>5.7</c:v>
                </c:pt>
                <c:pt idx="152">
                  <c:v>5.75</c:v>
                </c:pt>
                <c:pt idx="153">
                  <c:v>5.7</c:v>
                </c:pt>
                <c:pt idx="154">
                  <c:v>5.7</c:v>
                </c:pt>
                <c:pt idx="155">
                  <c:v>5.7</c:v>
                </c:pt>
                <c:pt idx="156">
                  <c:v>5.75</c:v>
                </c:pt>
                <c:pt idx="157">
                  <c:v>5.85</c:v>
                </c:pt>
                <c:pt idx="158">
                  <c:v>5.85</c:v>
                </c:pt>
                <c:pt idx="159">
                  <c:v>5.75</c:v>
                </c:pt>
                <c:pt idx="160">
                  <c:v>5.85</c:v>
                </c:pt>
                <c:pt idx="161">
                  <c:v>5.75</c:v>
                </c:pt>
                <c:pt idx="162">
                  <c:v>5.7</c:v>
                </c:pt>
                <c:pt idx="163">
                  <c:v>5.7</c:v>
                </c:pt>
                <c:pt idx="164">
                  <c:v>5.7</c:v>
                </c:pt>
                <c:pt idx="165">
                  <c:v>5.7</c:v>
                </c:pt>
                <c:pt idx="166">
                  <c:v>5.7</c:v>
                </c:pt>
                <c:pt idx="167">
                  <c:v>5.7</c:v>
                </c:pt>
                <c:pt idx="168">
                  <c:v>5.8</c:v>
                </c:pt>
                <c:pt idx="169">
                  <c:v>5.7</c:v>
                </c:pt>
                <c:pt idx="170">
                  <c:v>5.65</c:v>
                </c:pt>
                <c:pt idx="171">
                  <c:v>5.6</c:v>
                </c:pt>
                <c:pt idx="172">
                  <c:v>5.65</c:v>
                </c:pt>
                <c:pt idx="173">
                  <c:v>5.7</c:v>
                </c:pt>
                <c:pt idx="174">
                  <c:v>5.85</c:v>
                </c:pt>
                <c:pt idx="175">
                  <c:v>5.85</c:v>
                </c:pt>
                <c:pt idx="176">
                  <c:v>5.85</c:v>
                </c:pt>
                <c:pt idx="177">
                  <c:v>5.85</c:v>
                </c:pt>
                <c:pt idx="178">
                  <c:v>5.8</c:v>
                </c:pt>
                <c:pt idx="179">
                  <c:v>5.8</c:v>
                </c:pt>
                <c:pt idx="180">
                  <c:v>5.8</c:v>
                </c:pt>
                <c:pt idx="181">
                  <c:v>5.8</c:v>
                </c:pt>
                <c:pt idx="182">
                  <c:v>5.8</c:v>
                </c:pt>
                <c:pt idx="183">
                  <c:v>5.8</c:v>
                </c:pt>
                <c:pt idx="184">
                  <c:v>5.8</c:v>
                </c:pt>
                <c:pt idx="185">
                  <c:v>5.8</c:v>
                </c:pt>
                <c:pt idx="186">
                  <c:v>5.8</c:v>
                </c:pt>
                <c:pt idx="187">
                  <c:v>5.8</c:v>
                </c:pt>
                <c:pt idx="188">
                  <c:v>5.8</c:v>
                </c:pt>
                <c:pt idx="189">
                  <c:v>5.8</c:v>
                </c:pt>
                <c:pt idx="190">
                  <c:v>5.85</c:v>
                </c:pt>
                <c:pt idx="191">
                  <c:v>5.7</c:v>
                </c:pt>
                <c:pt idx="192">
                  <c:v>5.7</c:v>
                </c:pt>
                <c:pt idx="193">
                  <c:v>5.7</c:v>
                </c:pt>
                <c:pt idx="194">
                  <c:v>5.7</c:v>
                </c:pt>
                <c:pt idx="195">
                  <c:v>5.7</c:v>
                </c:pt>
                <c:pt idx="196">
                  <c:v>5.7</c:v>
                </c:pt>
                <c:pt idx="197">
                  <c:v>5.6</c:v>
                </c:pt>
                <c:pt idx="198">
                  <c:v>5.75</c:v>
                </c:pt>
                <c:pt idx="199">
                  <c:v>5.6</c:v>
                </c:pt>
                <c:pt idx="200">
                  <c:v>5.55</c:v>
                </c:pt>
                <c:pt idx="201">
                  <c:v>5.55</c:v>
                </c:pt>
                <c:pt idx="202">
                  <c:v>5.55</c:v>
                </c:pt>
                <c:pt idx="203">
                  <c:v>5.75</c:v>
                </c:pt>
                <c:pt idx="204">
                  <c:v>5.75</c:v>
                </c:pt>
                <c:pt idx="205">
                  <c:v>5.6</c:v>
                </c:pt>
                <c:pt idx="206">
                  <c:v>5.65</c:v>
                </c:pt>
                <c:pt idx="207">
                  <c:v>5.7</c:v>
                </c:pt>
                <c:pt idx="208">
                  <c:v>5.7</c:v>
                </c:pt>
                <c:pt idx="209">
                  <c:v>5.7</c:v>
                </c:pt>
                <c:pt idx="210">
                  <c:v>5.75</c:v>
                </c:pt>
                <c:pt idx="211">
                  <c:v>5.75</c:v>
                </c:pt>
                <c:pt idx="212">
                  <c:v>5.75</c:v>
                </c:pt>
                <c:pt idx="213">
                  <c:v>5.75</c:v>
                </c:pt>
                <c:pt idx="214">
                  <c:v>5.75</c:v>
                </c:pt>
                <c:pt idx="215">
                  <c:v>5.75</c:v>
                </c:pt>
                <c:pt idx="216">
                  <c:v>5.75</c:v>
                </c:pt>
                <c:pt idx="217">
                  <c:v>5.75</c:v>
                </c:pt>
                <c:pt idx="218">
                  <c:v>5.75</c:v>
                </c:pt>
                <c:pt idx="219">
                  <c:v>5.75</c:v>
                </c:pt>
                <c:pt idx="220">
                  <c:v>5.8</c:v>
                </c:pt>
                <c:pt idx="221">
                  <c:v>5.8</c:v>
                </c:pt>
                <c:pt idx="222">
                  <c:v>5.8</c:v>
                </c:pt>
                <c:pt idx="223">
                  <c:v>5.85</c:v>
                </c:pt>
                <c:pt idx="224">
                  <c:v>5.85</c:v>
                </c:pt>
                <c:pt idx="225">
                  <c:v>5.85</c:v>
                </c:pt>
                <c:pt idx="226">
                  <c:v>5.85</c:v>
                </c:pt>
                <c:pt idx="227">
                  <c:v>5.95</c:v>
                </c:pt>
                <c:pt idx="228">
                  <c:v>5.85</c:v>
                </c:pt>
                <c:pt idx="229">
                  <c:v>5.9</c:v>
                </c:pt>
                <c:pt idx="230">
                  <c:v>5.8</c:v>
                </c:pt>
                <c:pt idx="231">
                  <c:v>5.95</c:v>
                </c:pt>
                <c:pt idx="232">
                  <c:v>5.8</c:v>
                </c:pt>
                <c:pt idx="233">
                  <c:v>5.9</c:v>
                </c:pt>
                <c:pt idx="234">
                  <c:v>5.9</c:v>
                </c:pt>
                <c:pt idx="235">
                  <c:v>5.85</c:v>
                </c:pt>
                <c:pt idx="236">
                  <c:v>5.8</c:v>
                </c:pt>
                <c:pt idx="237">
                  <c:v>5.8</c:v>
                </c:pt>
                <c:pt idx="238">
                  <c:v>5.75</c:v>
                </c:pt>
                <c:pt idx="239">
                  <c:v>5.75</c:v>
                </c:pt>
                <c:pt idx="240">
                  <c:v>5.8</c:v>
                </c:pt>
                <c:pt idx="241">
                  <c:v>5.85</c:v>
                </c:pt>
                <c:pt idx="242">
                  <c:v>5.8</c:v>
                </c:pt>
                <c:pt idx="243">
                  <c:v>5.8</c:v>
                </c:pt>
                <c:pt idx="244">
                  <c:v>5.8</c:v>
                </c:pt>
                <c:pt idx="245">
                  <c:v>5.8</c:v>
                </c:pt>
                <c:pt idx="246">
                  <c:v>5.85</c:v>
                </c:pt>
                <c:pt idx="247">
                  <c:v>5.85</c:v>
                </c:pt>
                <c:pt idx="248">
                  <c:v>5.85</c:v>
                </c:pt>
                <c:pt idx="249">
                  <c:v>5.85</c:v>
                </c:pt>
                <c:pt idx="250">
                  <c:v>5.8</c:v>
                </c:pt>
                <c:pt idx="251">
                  <c:v>5.85</c:v>
                </c:pt>
                <c:pt idx="252">
                  <c:v>5.85</c:v>
                </c:pt>
                <c:pt idx="253">
                  <c:v>5.8</c:v>
                </c:pt>
                <c:pt idx="254">
                  <c:v>5.7</c:v>
                </c:pt>
                <c:pt idx="255">
                  <c:v>5.7</c:v>
                </c:pt>
                <c:pt idx="256">
                  <c:v>5.75</c:v>
                </c:pt>
                <c:pt idx="257">
                  <c:v>5.7</c:v>
                </c:pt>
                <c:pt idx="258">
                  <c:v>5.7</c:v>
                </c:pt>
                <c:pt idx="259">
                  <c:v>5.8</c:v>
                </c:pt>
                <c:pt idx="260">
                  <c:v>5.85</c:v>
                </c:pt>
                <c:pt idx="261">
                  <c:v>5.75</c:v>
                </c:pt>
                <c:pt idx="262">
                  <c:v>5.85</c:v>
                </c:pt>
                <c:pt idx="263">
                  <c:v>5.8</c:v>
                </c:pt>
                <c:pt idx="264">
                  <c:v>5.8</c:v>
                </c:pt>
                <c:pt idx="265">
                  <c:v>5.8</c:v>
                </c:pt>
                <c:pt idx="266">
                  <c:v>5.8</c:v>
                </c:pt>
                <c:pt idx="267">
                  <c:v>5.8</c:v>
                </c:pt>
                <c:pt idx="268">
                  <c:v>5.8</c:v>
                </c:pt>
                <c:pt idx="269">
                  <c:v>5.75</c:v>
                </c:pt>
                <c:pt idx="270">
                  <c:v>5.75</c:v>
                </c:pt>
                <c:pt idx="271">
                  <c:v>5.75</c:v>
                </c:pt>
                <c:pt idx="272">
                  <c:v>5.7</c:v>
                </c:pt>
                <c:pt idx="273">
                  <c:v>5.7</c:v>
                </c:pt>
                <c:pt idx="274">
                  <c:v>5.7</c:v>
                </c:pt>
                <c:pt idx="275">
                  <c:v>5.7</c:v>
                </c:pt>
                <c:pt idx="276">
                  <c:v>5.7</c:v>
                </c:pt>
                <c:pt idx="277">
                  <c:v>5.7</c:v>
                </c:pt>
                <c:pt idx="278">
                  <c:v>5.9</c:v>
                </c:pt>
                <c:pt idx="279">
                  <c:v>6.4</c:v>
                </c:pt>
                <c:pt idx="280">
                  <c:v>6.45</c:v>
                </c:pt>
                <c:pt idx="281">
                  <c:v>5.8</c:v>
                </c:pt>
                <c:pt idx="282">
                  <c:v>5.75</c:v>
                </c:pt>
                <c:pt idx="283">
                  <c:v>5.75</c:v>
                </c:pt>
                <c:pt idx="284">
                  <c:v>5.9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DBB1-44C6-A356-F823B1AC2A0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17951216"/>
        <c:axId val="1117940880"/>
      </c:lineChart>
      <c:dateAx>
        <c:axId val="1117951216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bg-BG"/>
          </a:p>
        </c:txPr>
        <c:crossAx val="1117940880"/>
        <c:crosses val="autoZero"/>
        <c:auto val="1"/>
        <c:lblOffset val="100"/>
        <c:baseTimeUnit val="days"/>
        <c:majorUnit val="5"/>
        <c:majorTimeUnit val="days"/>
      </c:dateAx>
      <c:valAx>
        <c:axId val="1117940880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1117951216"/>
        <c:crosses val="autoZero"/>
        <c:crossBetween val="between"/>
      </c:valAx>
      <c:valAx>
        <c:axId val="1117934352"/>
        <c:scaling>
          <c:orientation val="minMax"/>
          <c:max val="30000"/>
        </c:scaling>
        <c:delete val="0"/>
        <c:axPos val="r"/>
        <c:numFmt formatCode="#,##0" sourceLinked="1"/>
        <c:majorTickMark val="out"/>
        <c:minorTickMark val="none"/>
        <c:tickLblPos val="nextTo"/>
        <c:crossAx val="1117934896"/>
        <c:crosses val="max"/>
        <c:crossBetween val="between"/>
        <c:dispUnits>
          <c:builtInUnit val="thousands"/>
          <c:dispUnitsLbl>
            <c:layout>
              <c:manualLayout>
                <c:xMode val="edge"/>
                <c:yMode val="edge"/>
                <c:x val="0.90092164617791992"/>
                <c:y val="0.56219668628193065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en-US"/>
                    <a:t>thousands</a:t>
                  </a:r>
                </a:p>
              </c:rich>
            </c:tx>
          </c:dispUnitsLbl>
        </c:dispUnits>
      </c:valAx>
      <c:dateAx>
        <c:axId val="1117934896"/>
        <c:scaling>
          <c:orientation val="minMax"/>
        </c:scaling>
        <c:delete val="1"/>
        <c:axPos val="b"/>
        <c:numFmt formatCode="dd/mm/yyyy\ hh:mm/ss" sourceLinked="1"/>
        <c:majorTickMark val="out"/>
        <c:minorTickMark val="none"/>
        <c:tickLblPos val="nextTo"/>
        <c:crossAx val="1117934352"/>
        <c:crosses val="autoZero"/>
        <c:auto val="1"/>
        <c:lblOffset val="100"/>
        <c:baseTimeUnit val="days"/>
      </c:dateAx>
    </c:plotArea>
    <c:legend>
      <c:legendPos val="t"/>
      <c:layout>
        <c:manualLayout>
          <c:xMode val="edge"/>
          <c:yMode val="edge"/>
          <c:x val="4.9047919486590819E-2"/>
          <c:y val="0"/>
          <c:w val="0.90170154339602715"/>
          <c:h val="5.364876622006913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index'!$W$17</c:f>
              <c:strCache>
                <c:ptCount val="1"/>
                <c:pt idx="0">
                  <c:v>CGIX</c:v>
                </c:pt>
              </c:strCache>
            </c:strRef>
          </c:tx>
          <c:spPr>
            <a:pattFill prst="pct75">
              <a:fgClr>
                <a:schemeClr val="accent2"/>
              </a:fgClr>
              <a:bgClr>
                <a:schemeClr val="bg1"/>
              </a:bgClr>
            </a:pattFill>
          </c:spPr>
          <c:cat>
            <c:numRef>
              <c:f>'5 index'!$X$18:$X$198</c:f>
              <c:numCache>
                <c:formatCode>m/d/yyyy</c:formatCode>
                <c:ptCount val="181"/>
                <c:pt idx="0">
                  <c:v>43101.71875</c:v>
                </c:pt>
                <c:pt idx="1">
                  <c:v>43102.71875</c:v>
                </c:pt>
                <c:pt idx="2">
                  <c:v>43103.71875</c:v>
                </c:pt>
                <c:pt idx="3">
                  <c:v>43104.71875</c:v>
                </c:pt>
                <c:pt idx="4">
                  <c:v>43105.71875</c:v>
                </c:pt>
                <c:pt idx="5">
                  <c:v>43106.71875</c:v>
                </c:pt>
                <c:pt idx="6">
                  <c:v>43107.71875</c:v>
                </c:pt>
                <c:pt idx="7">
                  <c:v>43108.71875</c:v>
                </c:pt>
                <c:pt idx="8">
                  <c:v>43109.71875</c:v>
                </c:pt>
                <c:pt idx="9">
                  <c:v>43110.71875</c:v>
                </c:pt>
                <c:pt idx="10">
                  <c:v>43111.71875</c:v>
                </c:pt>
                <c:pt idx="11">
                  <c:v>43112.71875</c:v>
                </c:pt>
                <c:pt idx="12">
                  <c:v>43113.71875</c:v>
                </c:pt>
                <c:pt idx="13">
                  <c:v>43114.71875</c:v>
                </c:pt>
                <c:pt idx="14">
                  <c:v>43115.71875</c:v>
                </c:pt>
                <c:pt idx="15">
                  <c:v>43116.71875</c:v>
                </c:pt>
                <c:pt idx="16">
                  <c:v>43117.71875</c:v>
                </c:pt>
                <c:pt idx="17">
                  <c:v>43118.71875</c:v>
                </c:pt>
                <c:pt idx="18">
                  <c:v>43119.71875</c:v>
                </c:pt>
                <c:pt idx="19">
                  <c:v>43120.71875</c:v>
                </c:pt>
                <c:pt idx="20">
                  <c:v>43121.71875</c:v>
                </c:pt>
                <c:pt idx="21">
                  <c:v>43122.71875</c:v>
                </c:pt>
                <c:pt idx="22">
                  <c:v>43123.71875</c:v>
                </c:pt>
                <c:pt idx="23">
                  <c:v>43124.71875</c:v>
                </c:pt>
                <c:pt idx="24">
                  <c:v>43125.71875</c:v>
                </c:pt>
                <c:pt idx="25">
                  <c:v>43126.71875</c:v>
                </c:pt>
                <c:pt idx="26">
                  <c:v>43127.71875</c:v>
                </c:pt>
                <c:pt idx="27">
                  <c:v>43128.71875</c:v>
                </c:pt>
                <c:pt idx="28">
                  <c:v>43129.71875</c:v>
                </c:pt>
                <c:pt idx="29">
                  <c:v>43130.71875</c:v>
                </c:pt>
                <c:pt idx="30">
                  <c:v>43131.71875</c:v>
                </c:pt>
                <c:pt idx="31">
                  <c:v>43132.71875</c:v>
                </c:pt>
                <c:pt idx="32">
                  <c:v>43133.71875</c:v>
                </c:pt>
                <c:pt idx="33">
                  <c:v>43134.71875</c:v>
                </c:pt>
                <c:pt idx="34">
                  <c:v>43135.71875</c:v>
                </c:pt>
                <c:pt idx="35">
                  <c:v>43136.71875</c:v>
                </c:pt>
                <c:pt idx="36">
                  <c:v>43137.71875</c:v>
                </c:pt>
                <c:pt idx="37">
                  <c:v>43138.71875</c:v>
                </c:pt>
                <c:pt idx="38">
                  <c:v>43139.71875</c:v>
                </c:pt>
                <c:pt idx="39">
                  <c:v>43140.71875</c:v>
                </c:pt>
                <c:pt idx="40">
                  <c:v>43141.71875</c:v>
                </c:pt>
                <c:pt idx="41">
                  <c:v>43142.71875</c:v>
                </c:pt>
                <c:pt idx="42">
                  <c:v>43143.71875</c:v>
                </c:pt>
                <c:pt idx="43">
                  <c:v>43144.71875</c:v>
                </c:pt>
                <c:pt idx="44">
                  <c:v>43145.71875</c:v>
                </c:pt>
                <c:pt idx="45">
                  <c:v>43146.71875</c:v>
                </c:pt>
                <c:pt idx="46">
                  <c:v>43147.71875</c:v>
                </c:pt>
                <c:pt idx="47">
                  <c:v>43148.71875</c:v>
                </c:pt>
                <c:pt idx="48">
                  <c:v>43149.71875</c:v>
                </c:pt>
                <c:pt idx="49">
                  <c:v>43150.71875</c:v>
                </c:pt>
                <c:pt idx="50">
                  <c:v>43151.71875</c:v>
                </c:pt>
                <c:pt idx="51">
                  <c:v>43152.71875</c:v>
                </c:pt>
                <c:pt idx="52">
                  <c:v>43153.71875</c:v>
                </c:pt>
                <c:pt idx="53">
                  <c:v>43154.71875</c:v>
                </c:pt>
                <c:pt idx="54">
                  <c:v>43155.71875</c:v>
                </c:pt>
                <c:pt idx="55">
                  <c:v>43156.71875</c:v>
                </c:pt>
                <c:pt idx="56">
                  <c:v>43157.71875</c:v>
                </c:pt>
                <c:pt idx="57">
                  <c:v>43158.71875</c:v>
                </c:pt>
                <c:pt idx="58">
                  <c:v>43159.71875</c:v>
                </c:pt>
                <c:pt idx="59">
                  <c:v>43160.71875</c:v>
                </c:pt>
                <c:pt idx="60">
                  <c:v>43161.71875</c:v>
                </c:pt>
                <c:pt idx="61">
                  <c:v>43162.71875</c:v>
                </c:pt>
                <c:pt idx="62">
                  <c:v>43163.71875</c:v>
                </c:pt>
                <c:pt idx="63">
                  <c:v>43164.71875</c:v>
                </c:pt>
                <c:pt idx="64">
                  <c:v>43165.71875</c:v>
                </c:pt>
                <c:pt idx="65">
                  <c:v>43166.71875</c:v>
                </c:pt>
                <c:pt idx="66">
                  <c:v>43167.71875</c:v>
                </c:pt>
                <c:pt idx="67">
                  <c:v>43168.71875</c:v>
                </c:pt>
                <c:pt idx="68">
                  <c:v>43169.71875</c:v>
                </c:pt>
                <c:pt idx="69">
                  <c:v>43170.71875</c:v>
                </c:pt>
                <c:pt idx="70">
                  <c:v>43171.71875</c:v>
                </c:pt>
                <c:pt idx="71">
                  <c:v>43172.71875</c:v>
                </c:pt>
                <c:pt idx="72">
                  <c:v>43173.71875</c:v>
                </c:pt>
                <c:pt idx="73">
                  <c:v>43174.71875</c:v>
                </c:pt>
                <c:pt idx="74">
                  <c:v>43175.71875</c:v>
                </c:pt>
                <c:pt idx="75">
                  <c:v>43176.71875</c:v>
                </c:pt>
                <c:pt idx="76">
                  <c:v>43177.71875</c:v>
                </c:pt>
                <c:pt idx="77">
                  <c:v>43178.71875</c:v>
                </c:pt>
                <c:pt idx="78">
                  <c:v>43179.71875</c:v>
                </c:pt>
                <c:pt idx="79">
                  <c:v>43180.71875</c:v>
                </c:pt>
                <c:pt idx="80">
                  <c:v>43181.71875</c:v>
                </c:pt>
                <c:pt idx="81">
                  <c:v>43182.71875</c:v>
                </c:pt>
                <c:pt idx="82">
                  <c:v>43183.71875</c:v>
                </c:pt>
                <c:pt idx="83">
                  <c:v>43184.71875</c:v>
                </c:pt>
                <c:pt idx="84">
                  <c:v>43185.71875</c:v>
                </c:pt>
                <c:pt idx="85">
                  <c:v>43186.71875</c:v>
                </c:pt>
                <c:pt idx="86">
                  <c:v>43187.71875</c:v>
                </c:pt>
                <c:pt idx="87">
                  <c:v>43188.71875</c:v>
                </c:pt>
                <c:pt idx="88">
                  <c:v>43189.71875</c:v>
                </c:pt>
                <c:pt idx="89">
                  <c:v>43190.71875</c:v>
                </c:pt>
                <c:pt idx="90">
                  <c:v>43191.71875</c:v>
                </c:pt>
                <c:pt idx="91">
                  <c:v>43192.71875</c:v>
                </c:pt>
                <c:pt idx="92">
                  <c:v>43193.71875</c:v>
                </c:pt>
                <c:pt idx="93">
                  <c:v>43194.71875</c:v>
                </c:pt>
                <c:pt idx="94">
                  <c:v>43195.71875</c:v>
                </c:pt>
                <c:pt idx="95">
                  <c:v>43196.71875</c:v>
                </c:pt>
                <c:pt idx="96">
                  <c:v>43197.71875</c:v>
                </c:pt>
                <c:pt idx="97">
                  <c:v>43198.71875</c:v>
                </c:pt>
                <c:pt idx="98">
                  <c:v>43199.71875</c:v>
                </c:pt>
                <c:pt idx="99">
                  <c:v>43200.71875</c:v>
                </c:pt>
                <c:pt idx="100">
                  <c:v>43201.71875</c:v>
                </c:pt>
                <c:pt idx="101">
                  <c:v>43202.71875</c:v>
                </c:pt>
                <c:pt idx="102">
                  <c:v>43203.71875</c:v>
                </c:pt>
                <c:pt idx="103">
                  <c:v>43204.71875</c:v>
                </c:pt>
                <c:pt idx="104">
                  <c:v>43205.71875</c:v>
                </c:pt>
                <c:pt idx="105">
                  <c:v>43206.71875</c:v>
                </c:pt>
                <c:pt idx="106">
                  <c:v>43207.71875</c:v>
                </c:pt>
                <c:pt idx="107">
                  <c:v>43208.71875</c:v>
                </c:pt>
                <c:pt idx="108">
                  <c:v>43209.71875</c:v>
                </c:pt>
                <c:pt idx="109">
                  <c:v>43210.71875</c:v>
                </c:pt>
                <c:pt idx="110">
                  <c:v>43211.71875</c:v>
                </c:pt>
                <c:pt idx="111">
                  <c:v>43212.71875</c:v>
                </c:pt>
                <c:pt idx="112">
                  <c:v>43213.71875</c:v>
                </c:pt>
                <c:pt idx="113">
                  <c:v>43214.71875</c:v>
                </c:pt>
                <c:pt idx="114">
                  <c:v>43215.71875</c:v>
                </c:pt>
                <c:pt idx="115">
                  <c:v>43216.71875</c:v>
                </c:pt>
                <c:pt idx="116">
                  <c:v>43217.71875</c:v>
                </c:pt>
                <c:pt idx="117">
                  <c:v>43218.71875</c:v>
                </c:pt>
                <c:pt idx="118">
                  <c:v>43219.71875</c:v>
                </c:pt>
                <c:pt idx="119">
                  <c:v>43220.71875</c:v>
                </c:pt>
                <c:pt idx="120">
                  <c:v>43221.71875</c:v>
                </c:pt>
                <c:pt idx="121">
                  <c:v>43222.71875</c:v>
                </c:pt>
                <c:pt idx="122">
                  <c:v>43223.71875</c:v>
                </c:pt>
                <c:pt idx="123">
                  <c:v>43224.71875</c:v>
                </c:pt>
                <c:pt idx="124">
                  <c:v>43225.71875</c:v>
                </c:pt>
                <c:pt idx="125">
                  <c:v>43226.71875</c:v>
                </c:pt>
                <c:pt idx="126">
                  <c:v>43227.71875</c:v>
                </c:pt>
                <c:pt idx="127">
                  <c:v>43228.71875</c:v>
                </c:pt>
                <c:pt idx="128">
                  <c:v>43229.71875</c:v>
                </c:pt>
                <c:pt idx="129">
                  <c:v>43230.71875</c:v>
                </c:pt>
                <c:pt idx="130">
                  <c:v>43231.71875</c:v>
                </c:pt>
                <c:pt idx="131">
                  <c:v>43232.71875</c:v>
                </c:pt>
                <c:pt idx="132">
                  <c:v>43233.71875</c:v>
                </c:pt>
                <c:pt idx="133">
                  <c:v>43234.71875</c:v>
                </c:pt>
                <c:pt idx="134">
                  <c:v>43235.71875</c:v>
                </c:pt>
                <c:pt idx="135">
                  <c:v>43236.71875</c:v>
                </c:pt>
                <c:pt idx="136">
                  <c:v>43237.71875</c:v>
                </c:pt>
                <c:pt idx="137">
                  <c:v>43238.71875</c:v>
                </c:pt>
                <c:pt idx="138">
                  <c:v>43239.71875</c:v>
                </c:pt>
                <c:pt idx="139">
                  <c:v>43240.71875</c:v>
                </c:pt>
                <c:pt idx="140">
                  <c:v>43241.71875</c:v>
                </c:pt>
                <c:pt idx="141">
                  <c:v>43242.71875</c:v>
                </c:pt>
                <c:pt idx="142">
                  <c:v>43243.71875</c:v>
                </c:pt>
                <c:pt idx="143">
                  <c:v>43244.71875</c:v>
                </c:pt>
                <c:pt idx="144">
                  <c:v>43245.71875</c:v>
                </c:pt>
                <c:pt idx="145">
                  <c:v>43246.71875</c:v>
                </c:pt>
                <c:pt idx="146">
                  <c:v>43247.71875</c:v>
                </c:pt>
                <c:pt idx="147">
                  <c:v>43248.71875</c:v>
                </c:pt>
                <c:pt idx="148">
                  <c:v>43249.71875</c:v>
                </c:pt>
                <c:pt idx="149">
                  <c:v>43250.71875</c:v>
                </c:pt>
                <c:pt idx="150">
                  <c:v>43251.71875</c:v>
                </c:pt>
                <c:pt idx="151">
                  <c:v>43252.71875</c:v>
                </c:pt>
                <c:pt idx="152">
                  <c:v>43253.71875</c:v>
                </c:pt>
                <c:pt idx="153">
                  <c:v>43254.71875</c:v>
                </c:pt>
                <c:pt idx="154">
                  <c:v>43255.71875</c:v>
                </c:pt>
                <c:pt idx="155">
                  <c:v>43256.71875</c:v>
                </c:pt>
                <c:pt idx="156">
                  <c:v>43257.71875</c:v>
                </c:pt>
                <c:pt idx="157">
                  <c:v>43258.71875</c:v>
                </c:pt>
                <c:pt idx="158">
                  <c:v>43259.71875</c:v>
                </c:pt>
                <c:pt idx="159">
                  <c:v>43260.71875</c:v>
                </c:pt>
                <c:pt idx="160">
                  <c:v>43261.71875</c:v>
                </c:pt>
                <c:pt idx="161">
                  <c:v>43262.71875</c:v>
                </c:pt>
                <c:pt idx="162">
                  <c:v>43263.71875</c:v>
                </c:pt>
                <c:pt idx="163">
                  <c:v>43264.71875</c:v>
                </c:pt>
                <c:pt idx="164">
                  <c:v>43265.71875</c:v>
                </c:pt>
                <c:pt idx="165">
                  <c:v>43266.71875</c:v>
                </c:pt>
                <c:pt idx="166">
                  <c:v>43267.71875</c:v>
                </c:pt>
                <c:pt idx="167">
                  <c:v>43268.71875</c:v>
                </c:pt>
                <c:pt idx="168">
                  <c:v>43269.71875</c:v>
                </c:pt>
                <c:pt idx="169">
                  <c:v>43270.71875</c:v>
                </c:pt>
                <c:pt idx="170">
                  <c:v>43271.71875</c:v>
                </c:pt>
                <c:pt idx="171">
                  <c:v>43272.71875</c:v>
                </c:pt>
                <c:pt idx="172">
                  <c:v>43273.71875</c:v>
                </c:pt>
                <c:pt idx="173">
                  <c:v>43274.71875</c:v>
                </c:pt>
                <c:pt idx="174">
                  <c:v>43275.71875</c:v>
                </c:pt>
                <c:pt idx="175">
                  <c:v>43276.71875</c:v>
                </c:pt>
                <c:pt idx="176">
                  <c:v>43277.71875</c:v>
                </c:pt>
                <c:pt idx="177">
                  <c:v>43278.71875</c:v>
                </c:pt>
                <c:pt idx="178">
                  <c:v>43279.71875</c:v>
                </c:pt>
                <c:pt idx="179">
                  <c:v>43280.71875</c:v>
                </c:pt>
                <c:pt idx="180">
                  <c:v>43281.71875</c:v>
                </c:pt>
              </c:numCache>
            </c:numRef>
          </c:cat>
          <c:val>
            <c:numRef>
              <c:f>'5 index'!$Y$18:$Y$198</c:f>
              <c:numCache>
                <c:formatCode>#,##0.00</c:formatCode>
                <c:ptCount val="181"/>
                <c:pt idx="0">
                  <c:v>177.07</c:v>
                </c:pt>
                <c:pt idx="1">
                  <c:v>180.43</c:v>
                </c:pt>
                <c:pt idx="2">
                  <c:v>179.48</c:v>
                </c:pt>
                <c:pt idx="3">
                  <c:v>182.08</c:v>
                </c:pt>
                <c:pt idx="4">
                  <c:v>182.56</c:v>
                </c:pt>
                <c:pt idx="5">
                  <c:v>182.56</c:v>
                </c:pt>
                <c:pt idx="6">
                  <c:v>182.56</c:v>
                </c:pt>
                <c:pt idx="7">
                  <c:v>182.27</c:v>
                </c:pt>
                <c:pt idx="8">
                  <c:v>180.93</c:v>
                </c:pt>
                <c:pt idx="9">
                  <c:v>184.1</c:v>
                </c:pt>
                <c:pt idx="10">
                  <c:v>184.68</c:v>
                </c:pt>
                <c:pt idx="11">
                  <c:v>188.22</c:v>
                </c:pt>
                <c:pt idx="12">
                  <c:v>188.22</c:v>
                </c:pt>
                <c:pt idx="13">
                  <c:v>188.22</c:v>
                </c:pt>
                <c:pt idx="14">
                  <c:v>188.02</c:v>
                </c:pt>
                <c:pt idx="15">
                  <c:v>187.73</c:v>
                </c:pt>
                <c:pt idx="16">
                  <c:v>186.13</c:v>
                </c:pt>
                <c:pt idx="17">
                  <c:v>185.69</c:v>
                </c:pt>
                <c:pt idx="18">
                  <c:v>186.47</c:v>
                </c:pt>
                <c:pt idx="19">
                  <c:v>186.47</c:v>
                </c:pt>
                <c:pt idx="20">
                  <c:v>186.47</c:v>
                </c:pt>
                <c:pt idx="21">
                  <c:v>185.76</c:v>
                </c:pt>
                <c:pt idx="22">
                  <c:v>185.99</c:v>
                </c:pt>
                <c:pt idx="23">
                  <c:v>185.95</c:v>
                </c:pt>
                <c:pt idx="24">
                  <c:v>185.89</c:v>
                </c:pt>
                <c:pt idx="25">
                  <c:v>185.2</c:v>
                </c:pt>
                <c:pt idx="26">
                  <c:v>185.2</c:v>
                </c:pt>
                <c:pt idx="27">
                  <c:v>185.2</c:v>
                </c:pt>
                <c:pt idx="28">
                  <c:v>185.85</c:v>
                </c:pt>
                <c:pt idx="29">
                  <c:v>186.23</c:v>
                </c:pt>
                <c:pt idx="30">
                  <c:v>188.01</c:v>
                </c:pt>
                <c:pt idx="31">
                  <c:v>186.8</c:v>
                </c:pt>
                <c:pt idx="32">
                  <c:v>187.83</c:v>
                </c:pt>
                <c:pt idx="33">
                  <c:v>187.83</c:v>
                </c:pt>
                <c:pt idx="34">
                  <c:v>187.83</c:v>
                </c:pt>
                <c:pt idx="35">
                  <c:v>186</c:v>
                </c:pt>
                <c:pt idx="36">
                  <c:v>179.38</c:v>
                </c:pt>
                <c:pt idx="37">
                  <c:v>182.2</c:v>
                </c:pt>
                <c:pt idx="38">
                  <c:v>181</c:v>
                </c:pt>
                <c:pt idx="39">
                  <c:v>179.45</c:v>
                </c:pt>
                <c:pt idx="40">
                  <c:v>179.45</c:v>
                </c:pt>
                <c:pt idx="41">
                  <c:v>179.45</c:v>
                </c:pt>
                <c:pt idx="42">
                  <c:v>181.94</c:v>
                </c:pt>
                <c:pt idx="43">
                  <c:v>182.22</c:v>
                </c:pt>
                <c:pt idx="44">
                  <c:v>180.73</c:v>
                </c:pt>
                <c:pt idx="45">
                  <c:v>181.09</c:v>
                </c:pt>
                <c:pt idx="46">
                  <c:v>181.57</c:v>
                </c:pt>
                <c:pt idx="47">
                  <c:v>181.57</c:v>
                </c:pt>
                <c:pt idx="48">
                  <c:v>181.57</c:v>
                </c:pt>
                <c:pt idx="49">
                  <c:v>180.4</c:v>
                </c:pt>
                <c:pt idx="50">
                  <c:v>181.1</c:v>
                </c:pt>
                <c:pt idx="51">
                  <c:v>180.92</c:v>
                </c:pt>
                <c:pt idx="52">
                  <c:v>179.82</c:v>
                </c:pt>
                <c:pt idx="53">
                  <c:v>178.11</c:v>
                </c:pt>
                <c:pt idx="54">
                  <c:v>178.11</c:v>
                </c:pt>
                <c:pt idx="55">
                  <c:v>178.11</c:v>
                </c:pt>
                <c:pt idx="56">
                  <c:v>178.39</c:v>
                </c:pt>
                <c:pt idx="57">
                  <c:v>179.63</c:v>
                </c:pt>
                <c:pt idx="58">
                  <c:v>180.03</c:v>
                </c:pt>
                <c:pt idx="59">
                  <c:v>179.49</c:v>
                </c:pt>
                <c:pt idx="60">
                  <c:v>179.35</c:v>
                </c:pt>
                <c:pt idx="61">
                  <c:v>179.35</c:v>
                </c:pt>
                <c:pt idx="62">
                  <c:v>179.35</c:v>
                </c:pt>
                <c:pt idx="63">
                  <c:v>179.35</c:v>
                </c:pt>
                <c:pt idx="64">
                  <c:v>178.49</c:v>
                </c:pt>
                <c:pt idx="65">
                  <c:v>179.27</c:v>
                </c:pt>
                <c:pt idx="66">
                  <c:v>177.98</c:v>
                </c:pt>
                <c:pt idx="67">
                  <c:v>180.24</c:v>
                </c:pt>
                <c:pt idx="68">
                  <c:v>180.24</c:v>
                </c:pt>
                <c:pt idx="69">
                  <c:v>180.24</c:v>
                </c:pt>
                <c:pt idx="70">
                  <c:v>178.79</c:v>
                </c:pt>
                <c:pt idx="71">
                  <c:v>178.24</c:v>
                </c:pt>
                <c:pt idx="72">
                  <c:v>179.45</c:v>
                </c:pt>
                <c:pt idx="73">
                  <c:v>178.05</c:v>
                </c:pt>
                <c:pt idx="74">
                  <c:v>178.84</c:v>
                </c:pt>
                <c:pt idx="75">
                  <c:v>178.84</c:v>
                </c:pt>
                <c:pt idx="76">
                  <c:v>178.84</c:v>
                </c:pt>
                <c:pt idx="77">
                  <c:v>177.47</c:v>
                </c:pt>
                <c:pt idx="78">
                  <c:v>173.79</c:v>
                </c:pt>
                <c:pt idx="79">
                  <c:v>174.44</c:v>
                </c:pt>
                <c:pt idx="80">
                  <c:v>173.11</c:v>
                </c:pt>
                <c:pt idx="81">
                  <c:v>172.48</c:v>
                </c:pt>
                <c:pt idx="82">
                  <c:v>172.48</c:v>
                </c:pt>
                <c:pt idx="83">
                  <c:v>172.48</c:v>
                </c:pt>
                <c:pt idx="84">
                  <c:v>171.68</c:v>
                </c:pt>
                <c:pt idx="85">
                  <c:v>173.24</c:v>
                </c:pt>
                <c:pt idx="86">
                  <c:v>172.54</c:v>
                </c:pt>
                <c:pt idx="87">
                  <c:v>170.8</c:v>
                </c:pt>
                <c:pt idx="88">
                  <c:v>170.8</c:v>
                </c:pt>
                <c:pt idx="89">
                  <c:v>170.8</c:v>
                </c:pt>
                <c:pt idx="90">
                  <c:v>170.8</c:v>
                </c:pt>
                <c:pt idx="91">
                  <c:v>170.8</c:v>
                </c:pt>
                <c:pt idx="92">
                  <c:v>172.31</c:v>
                </c:pt>
                <c:pt idx="93">
                  <c:v>173.57</c:v>
                </c:pt>
                <c:pt idx="94">
                  <c:v>174.67</c:v>
                </c:pt>
                <c:pt idx="95">
                  <c:v>174.67</c:v>
                </c:pt>
                <c:pt idx="96">
                  <c:v>174.67</c:v>
                </c:pt>
                <c:pt idx="97">
                  <c:v>174.67</c:v>
                </c:pt>
                <c:pt idx="98">
                  <c:v>174.67</c:v>
                </c:pt>
                <c:pt idx="99">
                  <c:v>175.8</c:v>
                </c:pt>
                <c:pt idx="100">
                  <c:v>173.02</c:v>
                </c:pt>
                <c:pt idx="101">
                  <c:v>172.27</c:v>
                </c:pt>
                <c:pt idx="102">
                  <c:v>173.24</c:v>
                </c:pt>
                <c:pt idx="103">
                  <c:v>173.24</c:v>
                </c:pt>
                <c:pt idx="104">
                  <c:v>173.24</c:v>
                </c:pt>
                <c:pt idx="105">
                  <c:v>172.58</c:v>
                </c:pt>
                <c:pt idx="106">
                  <c:v>172.17</c:v>
                </c:pt>
                <c:pt idx="107">
                  <c:v>170.99</c:v>
                </c:pt>
                <c:pt idx="108">
                  <c:v>172.35</c:v>
                </c:pt>
                <c:pt idx="109">
                  <c:v>172.05</c:v>
                </c:pt>
                <c:pt idx="110">
                  <c:v>172.05</c:v>
                </c:pt>
                <c:pt idx="111">
                  <c:v>172.05</c:v>
                </c:pt>
                <c:pt idx="112">
                  <c:v>172.36</c:v>
                </c:pt>
                <c:pt idx="113">
                  <c:v>172.97</c:v>
                </c:pt>
                <c:pt idx="114">
                  <c:v>174.54</c:v>
                </c:pt>
                <c:pt idx="115">
                  <c:v>174.32</c:v>
                </c:pt>
                <c:pt idx="116">
                  <c:v>173.39</c:v>
                </c:pt>
                <c:pt idx="117">
                  <c:v>173.39</c:v>
                </c:pt>
                <c:pt idx="118">
                  <c:v>173.39</c:v>
                </c:pt>
                <c:pt idx="119">
                  <c:v>174.34</c:v>
                </c:pt>
                <c:pt idx="120">
                  <c:v>174.34</c:v>
                </c:pt>
                <c:pt idx="121">
                  <c:v>173.86</c:v>
                </c:pt>
                <c:pt idx="122">
                  <c:v>174.7</c:v>
                </c:pt>
                <c:pt idx="123">
                  <c:v>172.59</c:v>
                </c:pt>
                <c:pt idx="124">
                  <c:v>172.59</c:v>
                </c:pt>
                <c:pt idx="125">
                  <c:v>172.59</c:v>
                </c:pt>
                <c:pt idx="126">
                  <c:v>172.59</c:v>
                </c:pt>
                <c:pt idx="127">
                  <c:v>172.25</c:v>
                </c:pt>
                <c:pt idx="128">
                  <c:v>171.32</c:v>
                </c:pt>
                <c:pt idx="129">
                  <c:v>171.09</c:v>
                </c:pt>
                <c:pt idx="130">
                  <c:v>171.57</c:v>
                </c:pt>
                <c:pt idx="131">
                  <c:v>171.57</c:v>
                </c:pt>
                <c:pt idx="132">
                  <c:v>171.57</c:v>
                </c:pt>
                <c:pt idx="133">
                  <c:v>171.28</c:v>
                </c:pt>
                <c:pt idx="134">
                  <c:v>171.76</c:v>
                </c:pt>
                <c:pt idx="135">
                  <c:v>171.71</c:v>
                </c:pt>
                <c:pt idx="136">
                  <c:v>172.77</c:v>
                </c:pt>
                <c:pt idx="137">
                  <c:v>172.77</c:v>
                </c:pt>
                <c:pt idx="138">
                  <c:v>172.77</c:v>
                </c:pt>
                <c:pt idx="139">
                  <c:v>172.77</c:v>
                </c:pt>
                <c:pt idx="140">
                  <c:v>172.74</c:v>
                </c:pt>
                <c:pt idx="141">
                  <c:v>171.95</c:v>
                </c:pt>
                <c:pt idx="142">
                  <c:v>171.79</c:v>
                </c:pt>
                <c:pt idx="143">
                  <c:v>171.79</c:v>
                </c:pt>
                <c:pt idx="144">
                  <c:v>171.61</c:v>
                </c:pt>
                <c:pt idx="145">
                  <c:v>171.61</c:v>
                </c:pt>
                <c:pt idx="146">
                  <c:v>171.61</c:v>
                </c:pt>
                <c:pt idx="147">
                  <c:v>170.04</c:v>
                </c:pt>
                <c:pt idx="148">
                  <c:v>170.3</c:v>
                </c:pt>
                <c:pt idx="149">
                  <c:v>170.3</c:v>
                </c:pt>
                <c:pt idx="150">
                  <c:v>172.53</c:v>
                </c:pt>
                <c:pt idx="151">
                  <c:v>173.36</c:v>
                </c:pt>
                <c:pt idx="152">
                  <c:v>173.36</c:v>
                </c:pt>
                <c:pt idx="153">
                  <c:v>173.36</c:v>
                </c:pt>
                <c:pt idx="154">
                  <c:v>171.58</c:v>
                </c:pt>
                <c:pt idx="155">
                  <c:v>169.66</c:v>
                </c:pt>
                <c:pt idx="156">
                  <c:v>170.12</c:v>
                </c:pt>
                <c:pt idx="157">
                  <c:v>170.3</c:v>
                </c:pt>
                <c:pt idx="158">
                  <c:v>169.97</c:v>
                </c:pt>
                <c:pt idx="159">
                  <c:v>169.97</c:v>
                </c:pt>
                <c:pt idx="160">
                  <c:v>169.97</c:v>
                </c:pt>
                <c:pt idx="161">
                  <c:v>169.26</c:v>
                </c:pt>
                <c:pt idx="162">
                  <c:v>169.53</c:v>
                </c:pt>
                <c:pt idx="163">
                  <c:v>172</c:v>
                </c:pt>
                <c:pt idx="164">
                  <c:v>171.9</c:v>
                </c:pt>
                <c:pt idx="165">
                  <c:v>167.46</c:v>
                </c:pt>
                <c:pt idx="166">
                  <c:v>167.46</c:v>
                </c:pt>
                <c:pt idx="167">
                  <c:v>167.46</c:v>
                </c:pt>
                <c:pt idx="168">
                  <c:v>168.24</c:v>
                </c:pt>
                <c:pt idx="169">
                  <c:v>168.33</c:v>
                </c:pt>
                <c:pt idx="170">
                  <c:v>169.49</c:v>
                </c:pt>
                <c:pt idx="171">
                  <c:v>169.54</c:v>
                </c:pt>
                <c:pt idx="172">
                  <c:v>169.87</c:v>
                </c:pt>
                <c:pt idx="173">
                  <c:v>169.87</c:v>
                </c:pt>
                <c:pt idx="174">
                  <c:v>169.87</c:v>
                </c:pt>
                <c:pt idx="175">
                  <c:v>168.27</c:v>
                </c:pt>
                <c:pt idx="176">
                  <c:v>167.51</c:v>
                </c:pt>
                <c:pt idx="177">
                  <c:v>168.58</c:v>
                </c:pt>
                <c:pt idx="178">
                  <c:v>168.13</c:v>
                </c:pt>
                <c:pt idx="179">
                  <c:v>167.84</c:v>
                </c:pt>
                <c:pt idx="180">
                  <c:v>167.84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B9E-4293-9668-A01516B711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17935440"/>
        <c:axId val="1117937072"/>
      </c:areaChart>
      <c:dateAx>
        <c:axId val="1117935440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117937072"/>
        <c:crosses val="autoZero"/>
        <c:auto val="0"/>
        <c:lblOffset val="100"/>
        <c:baseTimeUnit val="days"/>
        <c:majorUnit val="7"/>
        <c:majorTimeUnit val="days"/>
      </c:dateAx>
      <c:valAx>
        <c:axId val="1117937072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117935440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3055555555555558E-2"/>
          <c:y val="2.0833333333333332E-2"/>
          <c:w val="0.90694444444444444"/>
          <c:h val="0.8657407407407407"/>
        </c:manualLayout>
      </c:layout>
      <c:pie3DChart>
        <c:varyColors val="1"/>
        <c:ser>
          <c:idx val="0"/>
          <c:order val="0"/>
          <c:explosion val="25"/>
          <c:dLbls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bg-BG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Shareholders!$B$3:$B$6</c:f>
              <c:strCache>
                <c:ptCount val="4"/>
                <c:pt idx="0">
                  <c:v>Министерство на финансите</c:v>
                </c:pt>
                <c:pt idx="1">
                  <c:v>Инвестиционни посредници и търговски банки</c:v>
                </c:pt>
                <c:pt idx="2">
                  <c:v>Други юридически лица</c:v>
                </c:pt>
                <c:pt idx="3">
                  <c:v>Физически лица</c:v>
                </c:pt>
              </c:strCache>
            </c:strRef>
          </c:cat>
          <c:val>
            <c:numRef>
              <c:f>Shareholders!$C$3:$C$6</c:f>
              <c:numCache>
                <c:formatCode>#,##0</c:formatCode>
                <c:ptCount val="4"/>
                <c:pt idx="0">
                  <c:v>3295000</c:v>
                </c:pt>
                <c:pt idx="1">
                  <c:v>1155677</c:v>
                </c:pt>
                <c:pt idx="2">
                  <c:v>1238931</c:v>
                </c:pt>
                <c:pt idx="3">
                  <c:v>893252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180-495D-852C-D86C5E57444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0.14524</cdr:x>
      <cdr:y>0.00634</cdr:y>
    </cdr:from>
    <cdr:to>
      <cdr:x>0.25874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447297" y="15162"/>
          <a:ext cx="349552" cy="30342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0.51638</cdr:x>
      <cdr:y>0.05862</cdr:y>
    </cdr:from>
    <cdr:to>
      <cdr:x>0.9428</cdr:x>
      <cdr:y>0.80581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2073306" y="188772"/>
          <a:ext cx="1712121" cy="2406015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6">
            <a:alpha val="1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0.11321</cdr:x>
      <cdr:y>0.071</cdr:y>
    </cdr:from>
    <cdr:to>
      <cdr:x>0.24673</cdr:x>
      <cdr:y>0.14268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17962" y="221210"/>
          <a:ext cx="610914" cy="22334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H2</a:t>
          </a:r>
          <a:r>
            <a:rPr lang="en-US" sz="1100" baseline="0"/>
            <a:t> '17</a:t>
          </a:r>
          <a:endParaRPr lang="en-US" sz="1100"/>
        </a:p>
      </cdr:txBody>
    </cdr:sp>
  </cdr:relSizeAnchor>
  <cdr:relSizeAnchor xmlns:cdr="http://schemas.openxmlformats.org/drawingml/2006/chartDrawing">
    <cdr:from>
      <cdr:x>0.79789</cdr:x>
      <cdr:y>0.07534</cdr:y>
    </cdr:from>
    <cdr:to>
      <cdr:x>0.93142</cdr:x>
      <cdr:y>0.14702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3650593" y="234731"/>
          <a:ext cx="610914" cy="22334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H1</a:t>
          </a:r>
          <a:r>
            <a:rPr lang="en-US" sz="1100" baseline="0"/>
            <a:t> '18</a:t>
          </a:r>
          <a:endParaRPr lang="en-US" sz="1100"/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0.24571</cdr:x>
      <cdr:y>0.00634</cdr:y>
    </cdr:from>
    <cdr:to>
      <cdr:x>0.35921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803068" y="14018"/>
          <a:ext cx="370958" cy="28054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E10F8D-E7A1-4F1D-B6C7-B5407AFD6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4836</TotalTime>
  <Pages>29</Pages>
  <Words>8494</Words>
  <Characters>48421</Characters>
  <Application>Microsoft Office Word</Application>
  <DocSecurity>0</DocSecurity>
  <Lines>403</Lines>
  <Paragraphs>113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Доклад за дейността за Q4 2015</vt:lpstr>
      <vt:lpstr>През първите шест месеца на 2006г</vt:lpstr>
    </vt:vector>
  </TitlesOfParts>
  <Company/>
  <LinksUpToDate>false</LinksUpToDate>
  <CharactersWithSpaces>56802</CharactersWithSpaces>
  <SharedDoc>false</SharedDoc>
  <HLinks>
    <vt:vector size="186" baseType="variant">
      <vt:variant>
        <vt:i4>1835059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_Toc291160636</vt:lpwstr>
      </vt:variant>
      <vt:variant>
        <vt:i4>1835059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_Toc291160635</vt:lpwstr>
      </vt:variant>
      <vt:variant>
        <vt:i4>1835059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_Toc291160634</vt:lpwstr>
      </vt:variant>
      <vt:variant>
        <vt:i4>1835059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_Toc291160633</vt:lpwstr>
      </vt:variant>
      <vt:variant>
        <vt:i4>1835059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_Toc291160632</vt:lpwstr>
      </vt:variant>
      <vt:variant>
        <vt:i4>1835059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_Toc291160631</vt:lpwstr>
      </vt:variant>
      <vt:variant>
        <vt:i4>1835059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_Toc291160630</vt:lpwstr>
      </vt:variant>
      <vt:variant>
        <vt:i4>1900595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_Toc291160629</vt:lpwstr>
      </vt:variant>
      <vt:variant>
        <vt:i4>1900595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_Toc291160628</vt:lpwstr>
      </vt:variant>
      <vt:variant>
        <vt:i4>1900595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_Toc291160627</vt:lpwstr>
      </vt:variant>
      <vt:variant>
        <vt:i4>1900595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_Toc291160626</vt:lpwstr>
      </vt:variant>
      <vt:variant>
        <vt:i4>1900595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_Toc291160625</vt:lpwstr>
      </vt:variant>
      <vt:variant>
        <vt:i4>1900595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_Toc291160624</vt:lpwstr>
      </vt:variant>
      <vt:variant>
        <vt:i4>1900595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_Toc291160623</vt:lpwstr>
      </vt:variant>
      <vt:variant>
        <vt:i4>1900595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_Toc291160622</vt:lpwstr>
      </vt:variant>
      <vt:variant>
        <vt:i4>1900595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_Toc291160621</vt:lpwstr>
      </vt:variant>
      <vt:variant>
        <vt:i4>1900595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_Toc291160620</vt:lpwstr>
      </vt:variant>
      <vt:variant>
        <vt:i4>1966131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_Toc291160619</vt:lpwstr>
      </vt:variant>
      <vt:variant>
        <vt:i4>1966131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_Toc291160618</vt:lpwstr>
      </vt:variant>
      <vt:variant>
        <vt:i4>1966131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_Toc291160617</vt:lpwstr>
      </vt:variant>
      <vt:variant>
        <vt:i4>1966131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_Toc291160616</vt:lpwstr>
      </vt:variant>
      <vt:variant>
        <vt:i4>1966131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_Toc291160615</vt:lpwstr>
      </vt:variant>
      <vt:variant>
        <vt:i4>1966131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_Toc291160614</vt:lpwstr>
      </vt:variant>
      <vt:variant>
        <vt:i4>1966131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_Toc291160613</vt:lpwstr>
      </vt:variant>
      <vt:variant>
        <vt:i4>1966131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_Toc291160612</vt:lpwstr>
      </vt:variant>
      <vt:variant>
        <vt:i4>1966131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_Toc291160611</vt:lpwstr>
      </vt:variant>
      <vt:variant>
        <vt:i4>1966131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_Toc291160610</vt:lpwstr>
      </vt:variant>
      <vt:variant>
        <vt:i4>2031667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_Toc291160609</vt:lpwstr>
      </vt:variant>
      <vt:variant>
        <vt:i4>2031667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_Toc291160608</vt:lpwstr>
      </vt:variant>
      <vt:variant>
        <vt:i4>2031667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_Toc291160607</vt:lpwstr>
      </vt:variant>
      <vt:variant>
        <vt:i4>2031667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_Toc291160606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Доклад за дейността за Q4 2015</dc:title>
  <dc:creator>ivo stankov</dc:creator>
  <cp:lastModifiedBy>Иво Станков</cp:lastModifiedBy>
  <cp:revision>175</cp:revision>
  <cp:lastPrinted>2015-10-28T12:37:00Z</cp:lastPrinted>
  <dcterms:created xsi:type="dcterms:W3CDTF">2015-10-28T14:09:00Z</dcterms:created>
  <dcterms:modified xsi:type="dcterms:W3CDTF">2018-07-27T13:56:00Z</dcterms:modified>
</cp:coreProperties>
</file>