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00C1F" w14:textId="77777777" w:rsidR="004E0746" w:rsidRPr="00DA0515" w:rsidRDefault="006F05A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0515">
        <w:rPr>
          <w:rFonts w:ascii="Times New Roman" w:hAnsi="Times New Roman" w:cs="Times New Roman"/>
          <w:b/>
          <w:sz w:val="32"/>
          <w:szCs w:val="32"/>
        </w:rPr>
        <w:t>Техническ</w:t>
      </w:r>
      <w:r w:rsidR="00641C15" w:rsidRPr="00DA0515">
        <w:rPr>
          <w:rFonts w:ascii="Times New Roman" w:hAnsi="Times New Roman" w:cs="Times New Roman"/>
          <w:b/>
          <w:sz w:val="32"/>
          <w:szCs w:val="32"/>
        </w:rPr>
        <w:t>а</w:t>
      </w:r>
      <w:r w:rsidRPr="00DA051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41C15" w:rsidRPr="00DA0515">
        <w:rPr>
          <w:rFonts w:ascii="Times New Roman" w:hAnsi="Times New Roman" w:cs="Times New Roman"/>
          <w:b/>
          <w:sz w:val="32"/>
          <w:szCs w:val="32"/>
        </w:rPr>
        <w:t>спецификация</w:t>
      </w:r>
      <w:r w:rsidRPr="00DA051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3F8DD0D6" w14:textId="2411D1CE" w:rsidR="004E0746" w:rsidRPr="00DA0515" w:rsidRDefault="006F05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>за възлагане на обществена поръчка с предмет</w:t>
      </w:r>
      <w:r w:rsidR="00A27A8E">
        <w:rPr>
          <w:rFonts w:ascii="Times New Roman" w:hAnsi="Times New Roman" w:cs="Times New Roman"/>
          <w:b/>
          <w:sz w:val="24"/>
          <w:szCs w:val="24"/>
        </w:rPr>
        <w:t>:</w:t>
      </w:r>
      <w:r w:rsidRPr="00DA05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9177D6" w14:textId="648AEDDE" w:rsidR="006D303C" w:rsidRPr="00DA0515" w:rsidRDefault="006F05A8" w:rsidP="006D30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>„</w:t>
      </w:r>
      <w:r w:rsidR="005E1119">
        <w:rPr>
          <w:rFonts w:ascii="Times New Roman" w:hAnsi="Times New Roman" w:cs="Times New Roman"/>
          <w:b/>
          <w:sz w:val="24"/>
          <w:szCs w:val="24"/>
        </w:rPr>
        <w:t>Създаване</w:t>
      </w:r>
      <w:r w:rsidR="005E1119" w:rsidRPr="00DA05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0515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DA0515">
        <w:rPr>
          <w:rFonts w:ascii="Times New Roman" w:hAnsi="Times New Roman" w:cs="Times New Roman"/>
          <w:b/>
          <w:sz w:val="24"/>
          <w:szCs w:val="24"/>
        </w:rPr>
        <w:t>симулационен</w:t>
      </w:r>
      <w:proofErr w:type="spellEnd"/>
      <w:r w:rsidRPr="00DA05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178" w:rsidRPr="00DA0515">
        <w:rPr>
          <w:rFonts w:ascii="Times New Roman" w:hAnsi="Times New Roman" w:cs="Times New Roman"/>
          <w:b/>
          <w:sz w:val="24"/>
          <w:szCs w:val="24"/>
        </w:rPr>
        <w:t xml:space="preserve">макроикономически </w:t>
      </w:r>
      <w:r w:rsidRPr="00DA0515">
        <w:rPr>
          <w:rFonts w:ascii="Times New Roman" w:hAnsi="Times New Roman" w:cs="Times New Roman"/>
          <w:b/>
          <w:sz w:val="24"/>
          <w:szCs w:val="24"/>
        </w:rPr>
        <w:t>модел за оценка на ефекти</w:t>
      </w:r>
    </w:p>
    <w:p w14:paraId="6DAF1B44" w14:textId="77EFF11E" w:rsidR="004E0746" w:rsidRPr="00DA0515" w:rsidRDefault="006F05A8">
      <w:pPr>
        <w:spacing w:after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 xml:space="preserve">върху </w:t>
      </w:r>
      <w:r w:rsidR="007C3178" w:rsidRPr="00DA0515">
        <w:rPr>
          <w:rFonts w:ascii="Times New Roman" w:hAnsi="Times New Roman" w:cs="Times New Roman"/>
          <w:b/>
          <w:sz w:val="24"/>
          <w:szCs w:val="24"/>
        </w:rPr>
        <w:t xml:space="preserve">основни макроикономически </w:t>
      </w:r>
      <w:r w:rsidRPr="00DA0515">
        <w:rPr>
          <w:rFonts w:ascii="Times New Roman" w:hAnsi="Times New Roman" w:cs="Times New Roman"/>
          <w:b/>
          <w:sz w:val="24"/>
          <w:szCs w:val="24"/>
        </w:rPr>
        <w:t>и бюджет</w:t>
      </w:r>
      <w:r w:rsidR="007C3178" w:rsidRPr="00DA0515">
        <w:rPr>
          <w:rFonts w:ascii="Times New Roman" w:hAnsi="Times New Roman" w:cs="Times New Roman"/>
          <w:b/>
          <w:sz w:val="24"/>
          <w:szCs w:val="24"/>
        </w:rPr>
        <w:t>ни показатели</w:t>
      </w:r>
      <w:r w:rsidRPr="00DA0515">
        <w:rPr>
          <w:rFonts w:ascii="Times New Roman" w:hAnsi="Times New Roman" w:cs="Times New Roman"/>
          <w:b/>
          <w:sz w:val="24"/>
          <w:szCs w:val="24"/>
        </w:rPr>
        <w:t>“</w:t>
      </w:r>
    </w:p>
    <w:p w14:paraId="71B5E754" w14:textId="7D0E7959" w:rsidR="004E0746" w:rsidRPr="00DA0515" w:rsidRDefault="006F05A8" w:rsidP="0015298E">
      <w:pPr>
        <w:pStyle w:val="ListParagraph"/>
        <w:numPr>
          <w:ilvl w:val="0"/>
          <w:numId w:val="1"/>
        </w:numPr>
        <w:spacing w:after="120"/>
        <w:ind w:left="709" w:hanging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 xml:space="preserve">Общо описание на </w:t>
      </w:r>
      <w:r w:rsidR="00790131" w:rsidRPr="00DA0515">
        <w:rPr>
          <w:rFonts w:ascii="Times New Roman" w:hAnsi="Times New Roman" w:cs="Times New Roman"/>
          <w:b/>
          <w:sz w:val="24"/>
          <w:szCs w:val="24"/>
        </w:rPr>
        <w:t xml:space="preserve">обекта и </w:t>
      </w:r>
      <w:r w:rsidRPr="00DA0515">
        <w:rPr>
          <w:rFonts w:ascii="Times New Roman" w:hAnsi="Times New Roman" w:cs="Times New Roman"/>
          <w:b/>
          <w:sz w:val="24"/>
          <w:szCs w:val="24"/>
        </w:rPr>
        <w:t>предмета на обществената поръчка</w:t>
      </w:r>
    </w:p>
    <w:p w14:paraId="6A786372" w14:textId="2D638E67" w:rsidR="004E0746" w:rsidRPr="00DA0515" w:rsidRDefault="00790131" w:rsidP="0015298E">
      <w:pPr>
        <w:pStyle w:val="ListParagraph"/>
        <w:spacing w:after="120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Чрез </w:t>
      </w:r>
      <w:r w:rsidR="007C3178" w:rsidRPr="00DA0515">
        <w:rPr>
          <w:rFonts w:ascii="Times New Roman" w:hAnsi="Times New Roman" w:cs="Times New Roman"/>
          <w:sz w:val="24"/>
          <w:szCs w:val="24"/>
        </w:rPr>
        <w:t>настоящата</w:t>
      </w:r>
      <w:r w:rsidRPr="00DA0515">
        <w:rPr>
          <w:rFonts w:ascii="Times New Roman" w:hAnsi="Times New Roman" w:cs="Times New Roman"/>
          <w:sz w:val="24"/>
          <w:szCs w:val="24"/>
        </w:rPr>
        <w:t xml:space="preserve"> процедура за възлагане на обществена поръчка се цели сключване на договор за предоставяне на Министерството на финансите (МФ) на услуга по </w:t>
      </w:r>
      <w:r w:rsidR="00753EF4">
        <w:rPr>
          <w:rFonts w:ascii="Times New Roman" w:hAnsi="Times New Roman" w:cs="Times New Roman"/>
          <w:sz w:val="24"/>
          <w:szCs w:val="24"/>
        </w:rPr>
        <w:t>създаване</w:t>
      </w:r>
      <w:r w:rsidR="00753EF4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="006F05A8" w:rsidRPr="00DA0515">
        <w:rPr>
          <w:rFonts w:ascii="Times New Roman" w:hAnsi="Times New Roman" w:cs="Times New Roman"/>
          <w:sz w:val="24"/>
          <w:szCs w:val="24"/>
        </w:rPr>
        <w:t xml:space="preserve">на </w:t>
      </w:r>
      <w:r w:rsidRPr="00DA0515">
        <w:rPr>
          <w:rFonts w:ascii="Times New Roman" w:hAnsi="Times New Roman" w:cs="Times New Roman"/>
          <w:sz w:val="24"/>
          <w:szCs w:val="24"/>
        </w:rPr>
        <w:t xml:space="preserve">макроикономически </w:t>
      </w:r>
      <w:r w:rsidR="006F05A8" w:rsidRPr="00DA0515">
        <w:rPr>
          <w:rFonts w:ascii="Times New Roman" w:hAnsi="Times New Roman" w:cs="Times New Roman"/>
          <w:sz w:val="24"/>
          <w:szCs w:val="24"/>
        </w:rPr>
        <w:t xml:space="preserve">модел за </w:t>
      </w:r>
      <w:r w:rsidRPr="00DA0515">
        <w:rPr>
          <w:rFonts w:ascii="Times New Roman" w:hAnsi="Times New Roman" w:cs="Times New Roman"/>
          <w:sz w:val="24"/>
          <w:szCs w:val="24"/>
        </w:rPr>
        <w:t xml:space="preserve">симулационен </w:t>
      </w:r>
      <w:r w:rsidR="006F05A8" w:rsidRPr="00DA0515">
        <w:rPr>
          <w:rFonts w:ascii="Times New Roman" w:hAnsi="Times New Roman" w:cs="Times New Roman"/>
          <w:sz w:val="24"/>
          <w:szCs w:val="24"/>
        </w:rPr>
        <w:t xml:space="preserve">анализ на алтернативни сценарии, който да позволи </w:t>
      </w:r>
      <w:r w:rsidRPr="00DA0515">
        <w:rPr>
          <w:rFonts w:ascii="Times New Roman" w:hAnsi="Times New Roman" w:cs="Times New Roman"/>
          <w:sz w:val="24"/>
          <w:szCs w:val="24"/>
        </w:rPr>
        <w:t>оценка на чувствителността върху основни макроикономически и бюджетни показатели от промени във външната и вътрешната икономическа среда</w:t>
      </w:r>
      <w:r w:rsidR="00274B0D">
        <w:rPr>
          <w:rFonts w:ascii="Times New Roman" w:hAnsi="Times New Roman" w:cs="Times New Roman"/>
          <w:sz w:val="24"/>
          <w:szCs w:val="24"/>
        </w:rPr>
        <w:t>,</w:t>
      </w:r>
      <w:r w:rsidRPr="00DA0515">
        <w:rPr>
          <w:rFonts w:ascii="Times New Roman" w:hAnsi="Times New Roman" w:cs="Times New Roman"/>
          <w:sz w:val="24"/>
          <w:szCs w:val="24"/>
        </w:rPr>
        <w:t xml:space="preserve"> или в провежданите политики. Моделът следва да представлява </w:t>
      </w:r>
      <w:r w:rsidR="007C3178" w:rsidRPr="00DA0515">
        <w:rPr>
          <w:rFonts w:ascii="Times New Roman" w:hAnsi="Times New Roman" w:cs="Times New Roman"/>
          <w:sz w:val="24"/>
          <w:szCs w:val="24"/>
        </w:rPr>
        <w:t>система от уравнения, калибрирани с подходящ инструментариум (иконометрични оценки, посредством използването на ясно установени стойности от други изследвания, на база на икономическата теория и пр.), а структурата му - да отразява реалистично структурата на българската икономика, като възпроизвежда взаимовръзките между отделните променливи в дефинираните сектори на икономиката – външен сектор, реален сектор (вкл. пазар на труда), финансов сектор и фискален сектор. Във всеки от секторите на модела следва да могат да се задават стойности на екзогенните променливи, с шокове чрез които да се правят симулации както поотделно, така и в съвкупност</w:t>
      </w:r>
      <w:r w:rsidR="006F05A8" w:rsidRPr="00DA0515">
        <w:rPr>
          <w:rFonts w:ascii="Times New Roman" w:hAnsi="Times New Roman" w:cs="Times New Roman"/>
          <w:sz w:val="24"/>
          <w:szCs w:val="24"/>
        </w:rPr>
        <w:t>.</w:t>
      </w:r>
    </w:p>
    <w:p w14:paraId="278BF5D7" w14:textId="77777777" w:rsidR="004E0746" w:rsidRPr="00DA0515" w:rsidRDefault="006F05A8" w:rsidP="0015298E">
      <w:pPr>
        <w:pStyle w:val="ListParagraph"/>
        <w:numPr>
          <w:ilvl w:val="0"/>
          <w:numId w:val="1"/>
        </w:numPr>
        <w:spacing w:after="120"/>
        <w:ind w:left="709" w:hanging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>Текущо състояние и обосновка</w:t>
      </w:r>
    </w:p>
    <w:p w14:paraId="3F630263" w14:textId="60707A17" w:rsidR="004E0746" w:rsidRPr="00DA0515" w:rsidRDefault="006F05A8" w:rsidP="00095500">
      <w:pPr>
        <w:pStyle w:val="ListParagraph"/>
        <w:spacing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Дирекция „Икономическа и финансова политика“ при Министерство на финансите (МФ) осигурява аналитична подкрепа и отговаря за координацията на политиките и ефективното представителство на МФ и органите на изпълнителната власт по икономическите и финансови</w:t>
      </w:r>
      <w:r w:rsidR="00427AE8">
        <w:rPr>
          <w:rFonts w:ascii="Times New Roman" w:hAnsi="Times New Roman" w:cs="Times New Roman"/>
          <w:sz w:val="24"/>
          <w:szCs w:val="24"/>
        </w:rPr>
        <w:t>те</w:t>
      </w:r>
      <w:r w:rsidRPr="00DA0515">
        <w:rPr>
          <w:rFonts w:ascii="Times New Roman" w:hAnsi="Times New Roman" w:cs="Times New Roman"/>
          <w:sz w:val="24"/>
          <w:szCs w:val="24"/>
        </w:rPr>
        <w:t xml:space="preserve"> въпроси</w:t>
      </w:r>
      <w:r w:rsidR="00F113EC" w:rsidRPr="00DA0515">
        <w:rPr>
          <w:rFonts w:ascii="Times New Roman" w:hAnsi="Times New Roman" w:cs="Times New Roman"/>
          <w:sz w:val="24"/>
          <w:szCs w:val="24"/>
        </w:rPr>
        <w:t xml:space="preserve"> в рамките на Европейския съюз.</w:t>
      </w:r>
    </w:p>
    <w:p w14:paraId="545F5C2A" w14:textId="5F5AE241" w:rsidR="004E0746" w:rsidRPr="00DA0515" w:rsidRDefault="006F05A8" w:rsidP="00095500">
      <w:pPr>
        <w:pStyle w:val="ListParagraph"/>
        <w:spacing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По-конкретно, част от функциите на дирекцията, които попадат в компетенциите на отдел „Макроикономически анализи и прогнози“, са свързани с </w:t>
      </w:r>
      <w:r w:rsidR="008F7DDD">
        <w:rPr>
          <w:rFonts w:ascii="Times New Roman" w:hAnsi="Times New Roman" w:cs="Times New Roman"/>
          <w:sz w:val="24"/>
          <w:szCs w:val="24"/>
        </w:rPr>
        <w:t>изготвяне</w:t>
      </w:r>
      <w:r w:rsidR="008F7DDD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Pr="00DA0515">
        <w:rPr>
          <w:rFonts w:ascii="Times New Roman" w:hAnsi="Times New Roman" w:cs="Times New Roman"/>
          <w:sz w:val="24"/>
          <w:szCs w:val="24"/>
        </w:rPr>
        <w:t xml:space="preserve">на анализи и прогнози на основните макроикономически показатели и симулации на алтернативни икономически политики, както и извършване на оценки на въздействието от прилаганите политики, заложени в националните стратегически документи на Република България, върху икономиката на страната, чрез използване на 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иконометрични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 модели</w:t>
      </w:r>
      <w:r w:rsidR="00F113EC" w:rsidRPr="00DA0515">
        <w:rPr>
          <w:rFonts w:ascii="Times New Roman" w:hAnsi="Times New Roman" w:cs="Times New Roman"/>
          <w:sz w:val="24"/>
          <w:szCs w:val="24"/>
        </w:rPr>
        <w:t xml:space="preserve"> и други инструменти за оценка.</w:t>
      </w:r>
    </w:p>
    <w:p w14:paraId="695FAD0B" w14:textId="77777777" w:rsidR="004E0746" w:rsidRPr="00DA0515" w:rsidRDefault="006F05A8" w:rsidP="00095500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Според чл. 75</w:t>
      </w:r>
      <w:r w:rsidR="00F113EC" w:rsidRPr="00DA0515">
        <w:rPr>
          <w:rFonts w:ascii="Times New Roman" w:hAnsi="Times New Roman" w:cs="Times New Roman"/>
          <w:sz w:val="24"/>
          <w:szCs w:val="24"/>
        </w:rPr>
        <w:t>,</w:t>
      </w:r>
      <w:r w:rsidRPr="00DA0515">
        <w:rPr>
          <w:rFonts w:ascii="Times New Roman" w:hAnsi="Times New Roman" w:cs="Times New Roman"/>
          <w:sz w:val="24"/>
          <w:szCs w:val="24"/>
        </w:rPr>
        <w:t xml:space="preserve"> ал. 3 от Закона за публичните финанси, който транспонира изискванията на Директива 2011/85/ЕС на Съвета, при разработването на средносрочната бюджетна прогноза и на проекта на държавния бюджет, МФ и в частност дирекция „Икономическа и финансова политика“ изготвя алтернативен сценарий, свързан със съответни рискове, при различни допускания. Този анализ на чувствителността, допълващ основния макроикономически сценарий, </w:t>
      </w:r>
      <w:r w:rsidRPr="00DA0515">
        <w:rPr>
          <w:rFonts w:ascii="Times New Roman" w:hAnsi="Times New Roman" w:cs="Times New Roman"/>
          <w:sz w:val="24"/>
          <w:szCs w:val="24"/>
        </w:rPr>
        <w:lastRenderedPageBreak/>
        <w:t xml:space="preserve">позволява анализ за вероятното развитие на фискални променливи при различни допускания за някои основни макроикономически променливи. По този начин се цели намаляване на риска от нарушаване на бюджетната дисциплина </w:t>
      </w:r>
      <w:r w:rsidR="00F113EC" w:rsidRPr="00DA0515">
        <w:rPr>
          <w:rFonts w:ascii="Times New Roman" w:hAnsi="Times New Roman" w:cs="Times New Roman"/>
          <w:sz w:val="24"/>
          <w:szCs w:val="24"/>
        </w:rPr>
        <w:t>поради грешки в прогнозирането.</w:t>
      </w:r>
    </w:p>
    <w:p w14:paraId="167E6D85" w14:textId="3CA6B37A" w:rsidR="004E0746" w:rsidRPr="00DA0515" w:rsidRDefault="006F05A8" w:rsidP="00095500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С оглед изпълнението на гореописаните задължения, дирекцията има нужда от </w:t>
      </w:r>
      <w:r w:rsidR="00635168">
        <w:rPr>
          <w:rFonts w:ascii="Times New Roman" w:hAnsi="Times New Roman" w:cs="Times New Roman"/>
          <w:sz w:val="24"/>
          <w:szCs w:val="24"/>
        </w:rPr>
        <w:t>създаване</w:t>
      </w:r>
      <w:r w:rsidR="00635168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Pr="00DA0515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симулационен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 модел за анализ на алтернативни макроикономически сценарии, който да позволи оценка на ефектите върху основни макроикономически и фискални показатели, с опция за разглеждане не само на самостоятелната, но също така и на съвкупната реализация на определени шокове за икономиката.</w:t>
      </w:r>
    </w:p>
    <w:p w14:paraId="0B3C37B9" w14:textId="77777777" w:rsidR="004E0746" w:rsidRPr="00DA0515" w:rsidRDefault="006F05A8" w:rsidP="00095500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Подобен модел може да бъде използван не само при ежегодното разработване на 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Конвергентната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 програма на Република България и Проекта на държавния бюджет, но също при симулации за анализ и оценка на ефекти от промени във външната среда и икономическата политика</w:t>
      </w:r>
      <w:r w:rsidR="00F113EC" w:rsidRPr="00DA0515">
        <w:rPr>
          <w:rFonts w:ascii="Times New Roman" w:hAnsi="Times New Roman" w:cs="Times New Roman"/>
          <w:sz w:val="24"/>
          <w:szCs w:val="24"/>
        </w:rPr>
        <w:t>,</w:t>
      </w:r>
      <w:r w:rsidRPr="00DA0515">
        <w:rPr>
          <w:rFonts w:ascii="Times New Roman" w:hAnsi="Times New Roman" w:cs="Times New Roman"/>
          <w:sz w:val="24"/>
          <w:szCs w:val="24"/>
        </w:rPr>
        <w:t xml:space="preserve"> и влиянието им върху българската икономика. </w:t>
      </w:r>
    </w:p>
    <w:p w14:paraId="203274B9" w14:textId="77777777" w:rsidR="004E0746" w:rsidRPr="00DA0515" w:rsidRDefault="006F05A8" w:rsidP="00095500">
      <w:pPr>
        <w:pStyle w:val="ListParagraph"/>
        <w:numPr>
          <w:ilvl w:val="0"/>
          <w:numId w:val="1"/>
        </w:numPr>
        <w:spacing w:after="120"/>
        <w:ind w:left="709" w:hanging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>Цели и дейности</w:t>
      </w:r>
    </w:p>
    <w:p w14:paraId="4AB49FBE" w14:textId="62401D52" w:rsidR="004E0746" w:rsidRPr="00DA0515" w:rsidRDefault="006F05A8" w:rsidP="00095500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Основната цел на настоящата обществена поръчка е </w:t>
      </w:r>
      <w:r w:rsidR="00753EF4">
        <w:rPr>
          <w:rFonts w:ascii="Times New Roman" w:hAnsi="Times New Roman" w:cs="Times New Roman"/>
          <w:sz w:val="24"/>
          <w:szCs w:val="24"/>
        </w:rPr>
        <w:t>създаването</w:t>
      </w:r>
      <w:r w:rsidR="00753EF4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Pr="00DA0515">
        <w:rPr>
          <w:rFonts w:ascii="Times New Roman" w:hAnsi="Times New Roman" w:cs="Times New Roman"/>
          <w:sz w:val="24"/>
          <w:szCs w:val="24"/>
        </w:rPr>
        <w:t xml:space="preserve">на инструментариум за макроикономически 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симулационен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 анализ и повишаването на капацитета на Възложителя за оценка на чувствителността върху основни макроикономически и бюджетни показатели от промени във външната и вътрешната среда</w:t>
      </w:r>
      <w:r w:rsidR="00274B0D">
        <w:rPr>
          <w:rFonts w:ascii="Times New Roman" w:hAnsi="Times New Roman" w:cs="Times New Roman"/>
          <w:sz w:val="24"/>
          <w:szCs w:val="24"/>
        </w:rPr>
        <w:t>,</w:t>
      </w:r>
      <w:r w:rsidRPr="00DA0515">
        <w:rPr>
          <w:rFonts w:ascii="Times New Roman" w:hAnsi="Times New Roman" w:cs="Times New Roman"/>
          <w:sz w:val="24"/>
          <w:szCs w:val="24"/>
        </w:rPr>
        <w:t xml:space="preserve"> или в провежданите политики.</w:t>
      </w:r>
    </w:p>
    <w:p w14:paraId="0E612141" w14:textId="77777777" w:rsidR="004E0746" w:rsidRPr="00DA0515" w:rsidRDefault="006F05A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Постигането на посочената цел ще позволи различни симулации относно реализирането на най-вероятните рискове за макроикономическия и бюджетния сценарии, залегнали в основни документи на МФ, което ще подпомогне дирекция „Икономическа и финансова политика“ в изпълнение на отговорностите ѝ, произтичащи от Закона за публичните финанси и Пакта за стабилност и растеж.</w:t>
      </w:r>
    </w:p>
    <w:p w14:paraId="3F457D4D" w14:textId="77777777" w:rsidR="004E0746" w:rsidRPr="00DA0515" w:rsidRDefault="006F05A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Реализирането на общата цел ще бъде осъществено чрез следните специфични цели, които съответстват на предвидените по </w:t>
      </w:r>
      <w:r w:rsidR="00D85D4F" w:rsidRPr="00DA0515">
        <w:rPr>
          <w:rFonts w:ascii="Times New Roman" w:hAnsi="Times New Roman" w:cs="Times New Roman"/>
          <w:sz w:val="24"/>
          <w:szCs w:val="24"/>
        </w:rPr>
        <w:t>поръчката</w:t>
      </w:r>
      <w:r w:rsidRPr="00DA0515">
        <w:rPr>
          <w:rFonts w:ascii="Times New Roman" w:hAnsi="Times New Roman" w:cs="Times New Roman"/>
          <w:sz w:val="24"/>
          <w:szCs w:val="24"/>
        </w:rPr>
        <w:t xml:space="preserve"> дейности:</w:t>
      </w:r>
    </w:p>
    <w:p w14:paraId="67E4BFC6" w14:textId="50B1B000" w:rsidR="004E0746" w:rsidRPr="00DA0515" w:rsidRDefault="006F05A8">
      <w:pPr>
        <w:numPr>
          <w:ilvl w:val="0"/>
          <w:numId w:val="2"/>
        </w:numPr>
        <w:spacing w:after="120"/>
        <w:ind w:left="714" w:hanging="43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  <w:u w:val="single"/>
        </w:rPr>
        <w:t>Специфична цел 1</w:t>
      </w:r>
      <w:r w:rsidRPr="00DA0515">
        <w:rPr>
          <w:rFonts w:ascii="Times New Roman" w:hAnsi="Times New Roman" w:cs="Times New Roman"/>
          <w:sz w:val="24"/>
          <w:szCs w:val="24"/>
        </w:rPr>
        <w:t xml:space="preserve">: </w:t>
      </w:r>
      <w:r w:rsidR="005E1119">
        <w:rPr>
          <w:rFonts w:ascii="Times New Roman" w:hAnsi="Times New Roman" w:cs="Times New Roman"/>
          <w:sz w:val="24"/>
          <w:szCs w:val="24"/>
        </w:rPr>
        <w:t>Създаване</w:t>
      </w:r>
      <w:r w:rsidR="005E1119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Pr="00DA0515">
        <w:rPr>
          <w:rFonts w:ascii="Times New Roman" w:hAnsi="Times New Roman" w:cs="Times New Roman"/>
          <w:sz w:val="24"/>
          <w:szCs w:val="24"/>
        </w:rPr>
        <w:t xml:space="preserve">на макроикономически модел за оценка на ефекти от симулации върху </w:t>
      </w:r>
      <w:r w:rsidR="00554A95" w:rsidRPr="00DA0515">
        <w:rPr>
          <w:rFonts w:ascii="Times New Roman" w:hAnsi="Times New Roman" w:cs="Times New Roman"/>
          <w:sz w:val="24"/>
          <w:szCs w:val="24"/>
        </w:rPr>
        <w:t xml:space="preserve">основни макроикономически </w:t>
      </w:r>
      <w:r w:rsidRPr="00DA0515">
        <w:rPr>
          <w:rFonts w:ascii="Times New Roman" w:hAnsi="Times New Roman" w:cs="Times New Roman"/>
          <w:sz w:val="24"/>
          <w:szCs w:val="24"/>
        </w:rPr>
        <w:t>и бюджет</w:t>
      </w:r>
      <w:r w:rsidR="00554A95" w:rsidRPr="00DA0515">
        <w:rPr>
          <w:rFonts w:ascii="Times New Roman" w:hAnsi="Times New Roman" w:cs="Times New Roman"/>
          <w:sz w:val="24"/>
          <w:szCs w:val="24"/>
        </w:rPr>
        <w:t>ни показатели</w:t>
      </w:r>
      <w:r w:rsidRPr="00DA0515">
        <w:rPr>
          <w:rFonts w:ascii="Times New Roman" w:hAnsi="Times New Roman" w:cs="Times New Roman"/>
          <w:sz w:val="24"/>
          <w:szCs w:val="24"/>
        </w:rPr>
        <w:t>;</w:t>
      </w:r>
    </w:p>
    <w:p w14:paraId="4D9DEFBD" w14:textId="3147915D" w:rsidR="004E0746" w:rsidRPr="00DA0515" w:rsidRDefault="006F05A8">
      <w:pPr>
        <w:numPr>
          <w:ilvl w:val="0"/>
          <w:numId w:val="2"/>
        </w:numPr>
        <w:spacing w:after="120"/>
        <w:ind w:left="714" w:hanging="43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  <w:u w:val="single"/>
        </w:rPr>
        <w:t>Специфична цел 2</w:t>
      </w:r>
      <w:r w:rsidRPr="00DA0515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="00460BE0">
        <w:rPr>
          <w:rFonts w:ascii="Times New Roman" w:hAnsi="Times New Roman" w:cs="Times New Roman"/>
          <w:sz w:val="24"/>
          <w:szCs w:val="24"/>
        </w:rPr>
        <w:t>Повишаване</w:t>
      </w:r>
      <w:r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="004D67AD">
        <w:rPr>
          <w:rFonts w:ascii="Times New Roman" w:hAnsi="Times New Roman" w:cs="Times New Roman"/>
          <w:sz w:val="24"/>
          <w:szCs w:val="24"/>
        </w:rPr>
        <w:t xml:space="preserve">на </w:t>
      </w:r>
      <w:r w:rsidRPr="00DA0515">
        <w:rPr>
          <w:rFonts w:ascii="Times New Roman" w:hAnsi="Times New Roman" w:cs="Times New Roman"/>
          <w:sz w:val="24"/>
          <w:szCs w:val="24"/>
        </w:rPr>
        <w:t>капацитета на Възложителя за извършване на анализ на чувствителността на макроикономическия и бюджетния сценарии.</w:t>
      </w:r>
    </w:p>
    <w:p w14:paraId="3F02F336" w14:textId="77777777" w:rsidR="004E0746" w:rsidRPr="00DA0515" w:rsidRDefault="006F05A8">
      <w:pPr>
        <w:pStyle w:val="ListParagraph"/>
        <w:spacing w:before="120" w:after="12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Предвидените дейности в обхвата на </w:t>
      </w:r>
      <w:r w:rsidR="00D85D4F" w:rsidRPr="00DA0515">
        <w:rPr>
          <w:rFonts w:ascii="Times New Roman" w:hAnsi="Times New Roman" w:cs="Times New Roman"/>
          <w:sz w:val="24"/>
          <w:szCs w:val="24"/>
        </w:rPr>
        <w:t>поръчката</w:t>
      </w:r>
      <w:r w:rsidRPr="00DA0515">
        <w:rPr>
          <w:rFonts w:ascii="Times New Roman" w:hAnsi="Times New Roman" w:cs="Times New Roman"/>
          <w:sz w:val="24"/>
          <w:szCs w:val="24"/>
        </w:rPr>
        <w:t>, с които се обезпечава изпълнението на поставените цели, са представени в две основни направления:</w:t>
      </w:r>
    </w:p>
    <w:p w14:paraId="6F393861" w14:textId="21A07BDF" w:rsidR="004E0746" w:rsidRPr="00DA0515" w:rsidRDefault="006F05A8">
      <w:pPr>
        <w:numPr>
          <w:ilvl w:val="0"/>
          <w:numId w:val="3"/>
        </w:numPr>
        <w:spacing w:after="120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  <w:u w:val="single"/>
        </w:rPr>
        <w:t>Дейност 1</w:t>
      </w:r>
      <w:r w:rsidRPr="00DA0515">
        <w:rPr>
          <w:rFonts w:ascii="Times New Roman" w:hAnsi="Times New Roman" w:cs="Times New Roman"/>
          <w:sz w:val="24"/>
          <w:szCs w:val="24"/>
        </w:rPr>
        <w:t xml:space="preserve">: </w:t>
      </w:r>
      <w:r w:rsidR="005E1119">
        <w:rPr>
          <w:rFonts w:ascii="Times New Roman" w:hAnsi="Times New Roman" w:cs="Times New Roman"/>
          <w:sz w:val="24"/>
          <w:szCs w:val="24"/>
        </w:rPr>
        <w:t>Създаване</w:t>
      </w:r>
      <w:r w:rsidR="005E1119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Pr="00DA0515">
        <w:rPr>
          <w:rFonts w:ascii="Times New Roman" w:hAnsi="Times New Roman" w:cs="Times New Roman"/>
          <w:sz w:val="24"/>
          <w:szCs w:val="24"/>
        </w:rPr>
        <w:t xml:space="preserve">на макроикономически модел за 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симулационен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 анализ;</w:t>
      </w:r>
    </w:p>
    <w:p w14:paraId="0134D24F" w14:textId="77777777" w:rsidR="004E0746" w:rsidRPr="00DA0515" w:rsidRDefault="006F05A8">
      <w:pPr>
        <w:pStyle w:val="ListParagraph"/>
        <w:spacing w:before="120" w:after="12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Изпълнението на тази дейност следва да се осъществи с помощта на 4 под</w:t>
      </w:r>
      <w:r w:rsidR="00F668CE" w:rsidRPr="00DA0515">
        <w:rPr>
          <w:rFonts w:ascii="Times New Roman" w:hAnsi="Times New Roman" w:cs="Times New Roman"/>
          <w:sz w:val="24"/>
          <w:szCs w:val="24"/>
        </w:rPr>
        <w:t>-</w:t>
      </w:r>
      <w:r w:rsidRPr="00DA0515">
        <w:rPr>
          <w:rFonts w:ascii="Times New Roman" w:hAnsi="Times New Roman" w:cs="Times New Roman"/>
          <w:sz w:val="24"/>
          <w:szCs w:val="24"/>
        </w:rPr>
        <w:t>дейности:</w:t>
      </w:r>
    </w:p>
    <w:p w14:paraId="6274D7EB" w14:textId="7D06C4D8" w:rsidR="004E0746" w:rsidRPr="00DA0515" w:rsidRDefault="006F05A8">
      <w:pPr>
        <w:numPr>
          <w:ilvl w:val="1"/>
          <w:numId w:val="3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Под</w:t>
      </w:r>
      <w:r w:rsidR="00F668CE" w:rsidRPr="00DA0515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DA0515">
        <w:rPr>
          <w:rFonts w:ascii="Times New Roman" w:hAnsi="Times New Roman" w:cs="Times New Roman"/>
          <w:b/>
          <w:sz w:val="24"/>
          <w:szCs w:val="24"/>
          <w:u w:val="single"/>
        </w:rPr>
        <w:t>дейност 1.1</w:t>
      </w:r>
      <w:r w:rsidRPr="00DA0515">
        <w:rPr>
          <w:rFonts w:ascii="Times New Roman" w:hAnsi="Times New Roman" w:cs="Times New Roman"/>
          <w:b/>
          <w:sz w:val="24"/>
          <w:szCs w:val="24"/>
        </w:rPr>
        <w:t>:</w:t>
      </w:r>
      <w:r w:rsidRPr="00DA0515">
        <w:rPr>
          <w:rFonts w:ascii="Times New Roman" w:hAnsi="Times New Roman" w:cs="Times New Roman"/>
          <w:sz w:val="24"/>
          <w:szCs w:val="24"/>
        </w:rPr>
        <w:t xml:space="preserve"> Събиране и обработка на статистическа информация, необходима за захранване на модела;</w:t>
      </w:r>
    </w:p>
    <w:p w14:paraId="378C4D8E" w14:textId="77777777" w:rsidR="004E0746" w:rsidRPr="00DA0515" w:rsidRDefault="006F05A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На този етап Изпълнителят следва да събере и обработи необходимата първична информация, с помощта на която ще се изследват връзките и зависимостите в модела.</w:t>
      </w:r>
    </w:p>
    <w:p w14:paraId="1C881735" w14:textId="07BA7AEC" w:rsidR="004E0746" w:rsidRPr="00DA0515" w:rsidRDefault="006F05A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Възложителят се ангажира да предостави наличната в МФ статистическа макроикономическа информация за възможно най-дълъг период от време. Ще бъде предоставена и информация относно провежданите и планираните политики в публичния сектор на икономиката, както и допусканията, използвани в наличния към момента инструментариум за </w:t>
      </w:r>
      <w:r w:rsidR="00635168">
        <w:rPr>
          <w:rFonts w:ascii="Times New Roman" w:hAnsi="Times New Roman" w:cs="Times New Roman"/>
          <w:sz w:val="24"/>
          <w:szCs w:val="24"/>
        </w:rPr>
        <w:t>създаване</w:t>
      </w:r>
      <w:r w:rsidR="00635168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Pr="00DA0515">
        <w:rPr>
          <w:rFonts w:ascii="Times New Roman" w:hAnsi="Times New Roman" w:cs="Times New Roman"/>
          <w:sz w:val="24"/>
          <w:szCs w:val="24"/>
        </w:rPr>
        <w:t>на макроикономически сценарии.</w:t>
      </w:r>
    </w:p>
    <w:p w14:paraId="2BEEFED5" w14:textId="77777777" w:rsidR="004E0746" w:rsidRPr="00DA0515" w:rsidRDefault="006F05A8">
      <w:pPr>
        <w:numPr>
          <w:ilvl w:val="1"/>
          <w:numId w:val="3"/>
        </w:numPr>
        <w:spacing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  <w:u w:val="single"/>
        </w:rPr>
        <w:t>Под</w:t>
      </w:r>
      <w:r w:rsidR="00F668CE" w:rsidRPr="00DA0515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DA0515">
        <w:rPr>
          <w:rFonts w:ascii="Times New Roman" w:hAnsi="Times New Roman" w:cs="Times New Roman"/>
          <w:b/>
          <w:sz w:val="24"/>
          <w:szCs w:val="24"/>
          <w:u w:val="single"/>
        </w:rPr>
        <w:t>дейност 1.2:</w:t>
      </w:r>
      <w:r w:rsidRPr="00DA05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0515">
        <w:rPr>
          <w:rFonts w:ascii="Times New Roman" w:hAnsi="Times New Roman" w:cs="Times New Roman"/>
          <w:sz w:val="24"/>
          <w:szCs w:val="24"/>
        </w:rPr>
        <w:t>Създаване на макроикономически модел за симулации;</w:t>
      </w:r>
    </w:p>
    <w:p w14:paraId="0AB2FC29" w14:textId="62BD9294" w:rsidR="004E0746" w:rsidRPr="00DA0515" w:rsidRDefault="006F05A8">
      <w:pPr>
        <w:pStyle w:val="ListParagraph"/>
        <w:spacing w:before="120" w:after="120"/>
        <w:ind w:left="709"/>
        <w:jc w:val="both"/>
      </w:pPr>
      <w:r w:rsidRPr="00DA0515">
        <w:rPr>
          <w:rFonts w:ascii="Times New Roman" w:hAnsi="Times New Roman" w:cs="Times New Roman"/>
          <w:sz w:val="24"/>
          <w:szCs w:val="24"/>
        </w:rPr>
        <w:t>Чрез тази под</w:t>
      </w:r>
      <w:r w:rsidR="00F668CE" w:rsidRPr="00DA0515">
        <w:rPr>
          <w:rFonts w:ascii="Times New Roman" w:hAnsi="Times New Roman" w:cs="Times New Roman"/>
          <w:sz w:val="24"/>
          <w:szCs w:val="24"/>
        </w:rPr>
        <w:t>-</w:t>
      </w:r>
      <w:r w:rsidRPr="00DA0515">
        <w:rPr>
          <w:rFonts w:ascii="Times New Roman" w:hAnsi="Times New Roman" w:cs="Times New Roman"/>
          <w:sz w:val="24"/>
          <w:szCs w:val="24"/>
        </w:rPr>
        <w:t xml:space="preserve">дейност следва да се </w:t>
      </w:r>
      <w:r w:rsidR="00635168">
        <w:rPr>
          <w:rFonts w:ascii="Times New Roman" w:hAnsi="Times New Roman" w:cs="Times New Roman"/>
          <w:sz w:val="24"/>
          <w:szCs w:val="24"/>
        </w:rPr>
        <w:t>из</w:t>
      </w:r>
      <w:r w:rsidRPr="00DA0515">
        <w:rPr>
          <w:rFonts w:ascii="Times New Roman" w:hAnsi="Times New Roman" w:cs="Times New Roman"/>
          <w:sz w:val="24"/>
          <w:szCs w:val="24"/>
        </w:rPr>
        <w:t>работи макроикономически сценарий, с помощта на система от уравнения, калибрирани с подходящ инструментариум (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иконометрични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 оценки, посредством използването на ясно установени стойности от други изследвания, на база на икономическата теория и пр.)</w:t>
      </w:r>
      <w:r w:rsidR="00C30BE4">
        <w:rPr>
          <w:rFonts w:ascii="Times New Roman" w:hAnsi="Times New Roman" w:cs="Times New Roman"/>
          <w:sz w:val="24"/>
          <w:szCs w:val="24"/>
        </w:rPr>
        <w:t xml:space="preserve"> и реализирани в специализирана софтуерна среда (</w:t>
      </w:r>
      <w:proofErr w:type="spellStart"/>
      <w:r w:rsidR="00C30BE4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="00C30B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30BE4">
        <w:rPr>
          <w:rFonts w:ascii="Times New Roman" w:hAnsi="Times New Roman" w:cs="Times New Roman"/>
          <w:sz w:val="24"/>
          <w:szCs w:val="24"/>
          <w:lang w:val="en-US"/>
        </w:rPr>
        <w:t>EViews</w:t>
      </w:r>
      <w:proofErr w:type="spellEnd"/>
      <w:r w:rsidR="00C30BE4">
        <w:rPr>
          <w:rFonts w:ascii="Times New Roman" w:hAnsi="Times New Roman" w:cs="Times New Roman"/>
          <w:sz w:val="24"/>
          <w:szCs w:val="24"/>
          <w:lang w:val="en-US"/>
        </w:rPr>
        <w:t xml:space="preserve">, Python, R </w:t>
      </w:r>
      <w:r w:rsidR="00C30BE4">
        <w:rPr>
          <w:rFonts w:ascii="Times New Roman" w:hAnsi="Times New Roman" w:cs="Times New Roman"/>
          <w:sz w:val="24"/>
          <w:szCs w:val="24"/>
        </w:rPr>
        <w:t>и др.</w:t>
      </w:r>
      <w:r w:rsidR="00D06738">
        <w:rPr>
          <w:rFonts w:ascii="Times New Roman" w:hAnsi="Times New Roman" w:cs="Times New Roman"/>
          <w:sz w:val="24"/>
          <w:szCs w:val="24"/>
        </w:rPr>
        <w:t xml:space="preserve"> средства за създаване на </w:t>
      </w:r>
      <w:r w:rsidR="00597F32">
        <w:rPr>
          <w:rFonts w:ascii="Times New Roman" w:hAnsi="Times New Roman" w:cs="Times New Roman"/>
          <w:sz w:val="24"/>
          <w:szCs w:val="24"/>
        </w:rPr>
        <w:t>статистически</w:t>
      </w:r>
      <w:r w:rsidR="00D06738">
        <w:rPr>
          <w:rFonts w:ascii="Times New Roman" w:hAnsi="Times New Roman" w:cs="Times New Roman"/>
          <w:sz w:val="24"/>
          <w:szCs w:val="24"/>
        </w:rPr>
        <w:t xml:space="preserve"> модели</w:t>
      </w:r>
      <w:r w:rsidR="00460BE0">
        <w:rPr>
          <w:rFonts w:ascii="Times New Roman" w:hAnsi="Times New Roman" w:cs="Times New Roman"/>
          <w:sz w:val="24"/>
          <w:szCs w:val="24"/>
        </w:rPr>
        <w:t>, съвместими с наличните при Възложителя продукти и среда</w:t>
      </w:r>
      <w:r w:rsidR="00D06738">
        <w:rPr>
          <w:rFonts w:ascii="Times New Roman" w:hAnsi="Times New Roman" w:cs="Times New Roman"/>
          <w:sz w:val="24"/>
          <w:szCs w:val="24"/>
        </w:rPr>
        <w:t>.</w:t>
      </w:r>
      <w:r w:rsidR="00C30BE4">
        <w:rPr>
          <w:rFonts w:ascii="Times New Roman" w:hAnsi="Times New Roman" w:cs="Times New Roman"/>
          <w:sz w:val="24"/>
          <w:szCs w:val="24"/>
        </w:rPr>
        <w:t>)</w:t>
      </w:r>
      <w:r w:rsidRPr="00DA0515">
        <w:rPr>
          <w:rFonts w:ascii="Times New Roman" w:hAnsi="Times New Roman" w:cs="Times New Roman"/>
          <w:sz w:val="24"/>
          <w:szCs w:val="24"/>
        </w:rPr>
        <w:t xml:space="preserve"> Структурата на модела следва да отразява реалистично структурата на българската икономика, като възпроизвежда взаимовръзките между отделните променливи в дефинираните сектори на икономиката – външен сектор, реален сектор (вкл. пазар на труда), финансов сектор и фискален сектор. Във всеки от секторите на модела следва да могат да се задават стойности на екзогенните променливи, с шокове върху които да се правят симулации както поотделно, така и в съвкупност. Резултатите от симулациите следва да обхващат средносрочен период най-малко от 4 години напред, считано от текущата година, както и да предоставят оценки за големината и посоката на ефектите от промените в екзогенните променливи.</w:t>
      </w:r>
    </w:p>
    <w:p w14:paraId="0F806F03" w14:textId="77777777" w:rsidR="004E0746" w:rsidRPr="00DA0515" w:rsidRDefault="006F05A8">
      <w:pPr>
        <w:numPr>
          <w:ilvl w:val="1"/>
          <w:numId w:val="3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  <w:u w:val="single"/>
        </w:rPr>
        <w:t>Под</w:t>
      </w:r>
      <w:r w:rsidR="00F668CE" w:rsidRPr="00DA0515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DA0515">
        <w:rPr>
          <w:rFonts w:ascii="Times New Roman" w:hAnsi="Times New Roman" w:cs="Times New Roman"/>
          <w:b/>
          <w:sz w:val="24"/>
          <w:szCs w:val="24"/>
          <w:u w:val="single"/>
        </w:rPr>
        <w:t>дейност 1.3</w:t>
      </w:r>
      <w:r w:rsidRPr="00DA0515">
        <w:rPr>
          <w:rFonts w:ascii="Times New Roman" w:hAnsi="Times New Roman" w:cs="Times New Roman"/>
          <w:sz w:val="24"/>
          <w:szCs w:val="24"/>
        </w:rPr>
        <w:t>: Прилагане на модела и анализ на резултатите;</w:t>
      </w:r>
    </w:p>
    <w:p w14:paraId="4D2F8FD2" w14:textId="1DAD28AF" w:rsidR="004E0746" w:rsidRPr="00DA0515" w:rsidRDefault="006F05A8">
      <w:pPr>
        <w:pStyle w:val="ListParagraph"/>
        <w:spacing w:before="120" w:after="120"/>
        <w:ind w:left="709"/>
        <w:jc w:val="both"/>
      </w:pPr>
      <w:r w:rsidRPr="00DA0515">
        <w:rPr>
          <w:rFonts w:ascii="Times New Roman" w:hAnsi="Times New Roman" w:cs="Times New Roman"/>
          <w:sz w:val="24"/>
          <w:szCs w:val="24"/>
        </w:rPr>
        <w:t xml:space="preserve">Този етап предвижда практическото прилагане на </w:t>
      </w:r>
      <w:r w:rsidR="00635168">
        <w:rPr>
          <w:rFonts w:ascii="Times New Roman" w:hAnsi="Times New Roman" w:cs="Times New Roman"/>
          <w:sz w:val="24"/>
          <w:szCs w:val="24"/>
        </w:rPr>
        <w:t>из</w:t>
      </w:r>
      <w:r w:rsidR="00635168" w:rsidRPr="00DA0515">
        <w:rPr>
          <w:rFonts w:ascii="Times New Roman" w:hAnsi="Times New Roman" w:cs="Times New Roman"/>
          <w:sz w:val="24"/>
          <w:szCs w:val="24"/>
        </w:rPr>
        <w:t xml:space="preserve">работения </w:t>
      </w:r>
      <w:r w:rsidRPr="00DA0515">
        <w:rPr>
          <w:rFonts w:ascii="Times New Roman" w:hAnsi="Times New Roman" w:cs="Times New Roman"/>
          <w:sz w:val="24"/>
          <w:szCs w:val="24"/>
        </w:rPr>
        <w:t xml:space="preserve">модел, с оглед анализиране на получените резултати и на причинно-следствените връзки между отделните променливи и сектори. Необходимо е да се тестват алтернативни сценарии както с шокове върху отделни променливи, така и върху група променливи, а така също да бъдат направени проверки относно надеждността на получените резултати, с оглед отстраняване на евентуални </w:t>
      </w:r>
      <w:r w:rsidR="00452D7B" w:rsidRPr="00DA0515">
        <w:rPr>
          <w:rFonts w:ascii="Times New Roman" w:hAnsi="Times New Roman" w:cs="Times New Roman"/>
          <w:sz w:val="24"/>
          <w:szCs w:val="24"/>
        </w:rPr>
        <w:t>рискове</w:t>
      </w:r>
      <w:r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="00452D7B" w:rsidRPr="00DA0515">
        <w:rPr>
          <w:rFonts w:ascii="Times New Roman" w:hAnsi="Times New Roman" w:cs="Times New Roman"/>
          <w:sz w:val="24"/>
          <w:szCs w:val="24"/>
        </w:rPr>
        <w:t>за</w:t>
      </w:r>
      <w:r w:rsidRPr="00DA0515">
        <w:rPr>
          <w:rFonts w:ascii="Times New Roman" w:hAnsi="Times New Roman" w:cs="Times New Roman"/>
          <w:sz w:val="24"/>
          <w:szCs w:val="24"/>
        </w:rPr>
        <w:t xml:space="preserve"> модела.</w:t>
      </w:r>
    </w:p>
    <w:p w14:paraId="34AD3AF0" w14:textId="3F1334E6" w:rsidR="004E0746" w:rsidRPr="00C56971" w:rsidRDefault="006F05A8">
      <w:pPr>
        <w:numPr>
          <w:ilvl w:val="1"/>
          <w:numId w:val="3"/>
        </w:numPr>
        <w:spacing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272D">
        <w:rPr>
          <w:rFonts w:ascii="Times New Roman" w:hAnsi="Times New Roman" w:cs="Times New Roman"/>
          <w:b/>
          <w:sz w:val="24"/>
          <w:szCs w:val="24"/>
          <w:u w:val="single"/>
        </w:rPr>
        <w:t>Под</w:t>
      </w:r>
      <w:r w:rsidR="00F668CE" w:rsidRPr="00C56971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C56971">
        <w:rPr>
          <w:rFonts w:ascii="Times New Roman" w:hAnsi="Times New Roman" w:cs="Times New Roman"/>
          <w:b/>
          <w:sz w:val="24"/>
          <w:szCs w:val="24"/>
          <w:u w:val="single"/>
        </w:rPr>
        <w:t>дейност 1.4</w:t>
      </w:r>
      <w:r w:rsidRPr="00C5697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56971">
        <w:rPr>
          <w:rFonts w:ascii="Times New Roman" w:hAnsi="Times New Roman" w:cs="Times New Roman"/>
          <w:sz w:val="24"/>
          <w:szCs w:val="24"/>
        </w:rPr>
        <w:t>Създаване на Ръководство за работа</w:t>
      </w:r>
      <w:r w:rsidR="00982CB9">
        <w:rPr>
          <w:rFonts w:ascii="Times New Roman" w:hAnsi="Times New Roman" w:cs="Times New Roman"/>
          <w:sz w:val="24"/>
          <w:szCs w:val="24"/>
        </w:rPr>
        <w:t xml:space="preserve"> </w:t>
      </w:r>
      <w:r w:rsidR="00635168" w:rsidRPr="00C56971">
        <w:rPr>
          <w:rFonts w:ascii="Times New Roman" w:hAnsi="Times New Roman" w:cs="Times New Roman"/>
          <w:sz w:val="24"/>
          <w:szCs w:val="24"/>
        </w:rPr>
        <w:t xml:space="preserve">и </w:t>
      </w:r>
      <w:r w:rsidR="001E10F4">
        <w:rPr>
          <w:rFonts w:ascii="Times New Roman" w:hAnsi="Times New Roman" w:cs="Times New Roman"/>
          <w:sz w:val="24"/>
          <w:szCs w:val="24"/>
        </w:rPr>
        <w:t>т</w:t>
      </w:r>
      <w:r w:rsidR="00635168" w:rsidRPr="00C56971">
        <w:rPr>
          <w:rFonts w:ascii="Times New Roman" w:hAnsi="Times New Roman" w:cs="Times New Roman"/>
          <w:sz w:val="24"/>
          <w:szCs w:val="24"/>
        </w:rPr>
        <w:t>ехническа документация, детайлно описваща модела</w:t>
      </w:r>
      <w:r w:rsidRPr="00C56971">
        <w:rPr>
          <w:rFonts w:ascii="Times New Roman" w:hAnsi="Times New Roman" w:cs="Times New Roman"/>
          <w:sz w:val="24"/>
          <w:szCs w:val="24"/>
        </w:rPr>
        <w:t>.</w:t>
      </w:r>
    </w:p>
    <w:p w14:paraId="74BAE63F" w14:textId="641A359B" w:rsidR="004E0746" w:rsidRPr="00DA0515" w:rsidRDefault="00635168">
      <w:pPr>
        <w:pStyle w:val="ListParagraph"/>
        <w:spacing w:before="120" w:after="12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Документите следва да са </w:t>
      </w:r>
      <w:r w:rsidR="006F05A8" w:rsidRPr="00DA0515">
        <w:rPr>
          <w:rFonts w:ascii="Times New Roman" w:hAnsi="Times New Roman" w:cs="Times New Roman"/>
          <w:sz w:val="24"/>
          <w:szCs w:val="24"/>
        </w:rPr>
        <w:t>разработ</w:t>
      </w:r>
      <w:r>
        <w:rPr>
          <w:rFonts w:ascii="Times New Roman" w:hAnsi="Times New Roman" w:cs="Times New Roman"/>
          <w:sz w:val="24"/>
          <w:szCs w:val="24"/>
        </w:rPr>
        <w:t>ен</w:t>
      </w:r>
      <w:r w:rsidR="006F05A8" w:rsidRPr="00DA0515">
        <w:rPr>
          <w:rFonts w:ascii="Times New Roman" w:hAnsi="Times New Roman" w:cs="Times New Roman"/>
          <w:sz w:val="24"/>
          <w:szCs w:val="24"/>
        </w:rPr>
        <w:t xml:space="preserve">и на български език. </w:t>
      </w:r>
      <w:r>
        <w:rPr>
          <w:rFonts w:ascii="Times New Roman" w:hAnsi="Times New Roman" w:cs="Times New Roman"/>
          <w:sz w:val="24"/>
          <w:szCs w:val="24"/>
        </w:rPr>
        <w:t xml:space="preserve">Ръководството </w:t>
      </w:r>
      <w:r w:rsidR="006F05A8" w:rsidRPr="00DA0515">
        <w:rPr>
          <w:rFonts w:ascii="Times New Roman" w:hAnsi="Times New Roman" w:cs="Times New Roman"/>
          <w:sz w:val="24"/>
          <w:szCs w:val="24"/>
        </w:rPr>
        <w:t xml:space="preserve">трябва да включва подробно описание на </w:t>
      </w:r>
      <w:r>
        <w:rPr>
          <w:rFonts w:ascii="Times New Roman" w:hAnsi="Times New Roman" w:cs="Times New Roman"/>
          <w:sz w:val="24"/>
          <w:szCs w:val="24"/>
        </w:rPr>
        <w:t>организацията и начините за работа с модела.</w:t>
      </w:r>
      <w:r w:rsidR="008F46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Техническата документация </w:t>
      </w:r>
      <w:r w:rsidR="007D5743">
        <w:rPr>
          <w:rFonts w:ascii="Times New Roman" w:hAnsi="Times New Roman" w:cs="Times New Roman"/>
          <w:sz w:val="24"/>
          <w:szCs w:val="24"/>
        </w:rPr>
        <w:t xml:space="preserve">следва да </w:t>
      </w:r>
      <w:r>
        <w:rPr>
          <w:rFonts w:ascii="Times New Roman" w:hAnsi="Times New Roman" w:cs="Times New Roman"/>
          <w:sz w:val="24"/>
          <w:szCs w:val="24"/>
        </w:rPr>
        <w:t xml:space="preserve">съдържа детайлно описание на </w:t>
      </w:r>
      <w:r w:rsidR="006F05A8" w:rsidRPr="00DA0515">
        <w:rPr>
          <w:rFonts w:ascii="Times New Roman" w:hAnsi="Times New Roman" w:cs="Times New Roman"/>
          <w:sz w:val="24"/>
          <w:szCs w:val="24"/>
        </w:rPr>
        <w:t xml:space="preserve">използваната методология за </w:t>
      </w:r>
      <w:r w:rsidR="00753EF4">
        <w:rPr>
          <w:rFonts w:ascii="Times New Roman" w:hAnsi="Times New Roman" w:cs="Times New Roman"/>
          <w:sz w:val="24"/>
          <w:szCs w:val="24"/>
        </w:rPr>
        <w:t xml:space="preserve">създаването </w:t>
      </w:r>
      <w:r w:rsidR="006F05A8" w:rsidRPr="00DA0515">
        <w:rPr>
          <w:rFonts w:ascii="Times New Roman" w:hAnsi="Times New Roman" w:cs="Times New Roman"/>
          <w:sz w:val="24"/>
          <w:szCs w:val="24"/>
        </w:rPr>
        <w:t xml:space="preserve">на модела, входните данни, </w:t>
      </w:r>
      <w:r w:rsidR="006F05A8" w:rsidRPr="00DA0515">
        <w:rPr>
          <w:rFonts w:ascii="Times New Roman" w:hAnsi="Times New Roman" w:cs="Times New Roman"/>
          <w:sz w:val="24"/>
          <w:szCs w:val="24"/>
        </w:rPr>
        <w:lastRenderedPageBreak/>
        <w:t>структурата и основните характеристики на модела</w:t>
      </w:r>
      <w:r w:rsidR="008F4626">
        <w:rPr>
          <w:rFonts w:ascii="Times New Roman" w:hAnsi="Times New Roman" w:cs="Times New Roman"/>
          <w:sz w:val="24"/>
          <w:szCs w:val="24"/>
        </w:rPr>
        <w:t>,</w:t>
      </w:r>
      <w:r w:rsidR="006F05A8" w:rsidRPr="00DA0515">
        <w:rPr>
          <w:rFonts w:ascii="Times New Roman" w:hAnsi="Times New Roman" w:cs="Times New Roman"/>
          <w:sz w:val="24"/>
          <w:szCs w:val="24"/>
        </w:rPr>
        <w:t xml:space="preserve"> избрания подход за моделиране, техническа информация за </w:t>
      </w:r>
      <w:proofErr w:type="spellStart"/>
      <w:r w:rsidR="006F05A8" w:rsidRPr="00DA0515">
        <w:rPr>
          <w:rFonts w:ascii="Times New Roman" w:hAnsi="Times New Roman" w:cs="Times New Roman"/>
          <w:sz w:val="24"/>
          <w:szCs w:val="24"/>
        </w:rPr>
        <w:t>иконометричната</w:t>
      </w:r>
      <w:proofErr w:type="spellEnd"/>
      <w:r w:rsidR="006F05A8" w:rsidRPr="00DA0515">
        <w:rPr>
          <w:rFonts w:ascii="Times New Roman" w:hAnsi="Times New Roman" w:cs="Times New Roman"/>
          <w:sz w:val="24"/>
          <w:szCs w:val="24"/>
        </w:rPr>
        <w:t xml:space="preserve"> оценка на икономическите зависимости</w:t>
      </w:r>
      <w:r w:rsidR="00FC7E79">
        <w:rPr>
          <w:rFonts w:ascii="Times New Roman" w:hAnsi="Times New Roman" w:cs="Times New Roman"/>
          <w:sz w:val="24"/>
          <w:szCs w:val="24"/>
        </w:rPr>
        <w:t>,</w:t>
      </w:r>
      <w:r w:rsidR="006F05A8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="006F05A8" w:rsidRPr="008F7DDD">
        <w:rPr>
          <w:rFonts w:ascii="Times New Roman" w:hAnsi="Times New Roman" w:cs="Times New Roman"/>
          <w:sz w:val="24"/>
          <w:szCs w:val="24"/>
        </w:rPr>
        <w:t>програмен код</w:t>
      </w:r>
      <w:r w:rsidR="00FC7E79" w:rsidRPr="00115084">
        <w:rPr>
          <w:rFonts w:ascii="Times New Roman" w:hAnsi="Times New Roman" w:cs="Times New Roman"/>
          <w:sz w:val="24"/>
          <w:szCs w:val="24"/>
        </w:rPr>
        <w:t xml:space="preserve">, съдържащ </w:t>
      </w:r>
      <w:r w:rsidR="00FC7E79" w:rsidRPr="008F7DDD">
        <w:rPr>
          <w:rFonts w:ascii="Times New Roman" w:hAnsi="Times New Roman" w:cs="Times New Roman"/>
          <w:sz w:val="24"/>
          <w:szCs w:val="24"/>
        </w:rPr>
        <w:t>използвания</w:t>
      </w:r>
      <w:r w:rsidR="00FC7E79">
        <w:rPr>
          <w:rFonts w:ascii="Times New Roman" w:hAnsi="Times New Roman" w:cs="Times New Roman"/>
          <w:sz w:val="24"/>
          <w:szCs w:val="24"/>
        </w:rPr>
        <w:t xml:space="preserve"> </w:t>
      </w:r>
      <w:r w:rsidR="007D5743">
        <w:rPr>
          <w:rFonts w:ascii="Times New Roman" w:hAnsi="Times New Roman" w:cs="Times New Roman"/>
          <w:sz w:val="24"/>
          <w:szCs w:val="24"/>
        </w:rPr>
        <w:t>алгоритъм за формулиране на икономическите зависимости, извършване на изчисленията и представяне на резултатите</w:t>
      </w:r>
      <w:r w:rsidR="007D5743" w:rsidRPr="00115084" w:rsidDel="007D5743">
        <w:rPr>
          <w:rFonts w:ascii="Times New Roman" w:hAnsi="Times New Roman" w:cs="Times New Roman"/>
          <w:sz w:val="24"/>
          <w:szCs w:val="24"/>
        </w:rPr>
        <w:t xml:space="preserve"> </w:t>
      </w:r>
      <w:r w:rsidR="006F05A8" w:rsidRPr="00DA0515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6F05A8" w:rsidRPr="00DA0515">
        <w:rPr>
          <w:rFonts w:ascii="Times New Roman" w:hAnsi="Times New Roman" w:cs="Times New Roman"/>
          <w:sz w:val="24"/>
          <w:szCs w:val="24"/>
        </w:rPr>
        <w:t>резултатите</w:t>
      </w:r>
      <w:proofErr w:type="spellEnd"/>
      <w:r w:rsidR="006F05A8" w:rsidRPr="00DA0515">
        <w:rPr>
          <w:rFonts w:ascii="Times New Roman" w:hAnsi="Times New Roman" w:cs="Times New Roman"/>
          <w:sz w:val="24"/>
          <w:szCs w:val="24"/>
        </w:rPr>
        <w:t xml:space="preserve"> от извършените оценки и </w:t>
      </w:r>
      <w:proofErr w:type="spellStart"/>
      <w:r w:rsidR="006F05A8" w:rsidRPr="00DA0515">
        <w:rPr>
          <w:rFonts w:ascii="Times New Roman" w:hAnsi="Times New Roman" w:cs="Times New Roman"/>
          <w:sz w:val="24"/>
          <w:szCs w:val="24"/>
        </w:rPr>
        <w:t>иконометричните</w:t>
      </w:r>
      <w:proofErr w:type="spellEnd"/>
      <w:r w:rsidR="006F05A8" w:rsidRPr="00DA0515">
        <w:rPr>
          <w:rFonts w:ascii="Times New Roman" w:hAnsi="Times New Roman" w:cs="Times New Roman"/>
          <w:sz w:val="24"/>
          <w:szCs w:val="24"/>
        </w:rPr>
        <w:t xml:space="preserve"> тестове, процедурите за тестване на чувствителността и </w:t>
      </w:r>
      <w:proofErr w:type="spellStart"/>
      <w:r w:rsidR="006F05A8" w:rsidRPr="00DA0515">
        <w:rPr>
          <w:rFonts w:ascii="Times New Roman" w:hAnsi="Times New Roman" w:cs="Times New Roman"/>
          <w:sz w:val="24"/>
          <w:szCs w:val="24"/>
        </w:rPr>
        <w:t>валидиране</w:t>
      </w:r>
      <w:proofErr w:type="spellEnd"/>
      <w:r w:rsidR="006F05A8" w:rsidRPr="00DA0515">
        <w:rPr>
          <w:rFonts w:ascii="Times New Roman" w:hAnsi="Times New Roman" w:cs="Times New Roman"/>
          <w:sz w:val="24"/>
          <w:szCs w:val="24"/>
        </w:rPr>
        <w:t xml:space="preserve"> на модела.</w:t>
      </w:r>
    </w:p>
    <w:p w14:paraId="411FEFA7" w14:textId="77777777" w:rsidR="004E0746" w:rsidRPr="00DA0515" w:rsidRDefault="006F05A8">
      <w:pPr>
        <w:numPr>
          <w:ilvl w:val="0"/>
          <w:numId w:val="3"/>
        </w:numPr>
        <w:spacing w:after="120"/>
        <w:ind w:hanging="43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>Дейност 2 – Обучение на екипа на Възложителя</w:t>
      </w:r>
    </w:p>
    <w:p w14:paraId="0139C1BF" w14:textId="54CA4321" w:rsidR="004E0746" w:rsidRPr="00DA0515" w:rsidRDefault="006F05A8" w:rsidP="00095500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В рамките на посочената дейност е необходимо Изпълнителят на </w:t>
      </w:r>
      <w:r w:rsidR="00D85D4F" w:rsidRPr="00DA0515">
        <w:rPr>
          <w:rFonts w:ascii="Times New Roman" w:hAnsi="Times New Roman" w:cs="Times New Roman"/>
          <w:sz w:val="24"/>
          <w:szCs w:val="24"/>
        </w:rPr>
        <w:t>поръчката</w:t>
      </w:r>
      <w:r w:rsidRPr="00DA0515">
        <w:rPr>
          <w:rFonts w:ascii="Times New Roman" w:hAnsi="Times New Roman" w:cs="Times New Roman"/>
          <w:sz w:val="24"/>
          <w:szCs w:val="24"/>
        </w:rPr>
        <w:t xml:space="preserve"> да проведе обучение на екипа на </w:t>
      </w:r>
      <w:r w:rsidR="00D85D4F" w:rsidRPr="00DA0515">
        <w:rPr>
          <w:rFonts w:ascii="Times New Roman" w:hAnsi="Times New Roman" w:cs="Times New Roman"/>
          <w:sz w:val="24"/>
          <w:szCs w:val="24"/>
        </w:rPr>
        <w:t>Възложителя</w:t>
      </w:r>
      <w:r w:rsidRPr="00DA0515">
        <w:rPr>
          <w:rFonts w:ascii="Times New Roman" w:hAnsi="Times New Roman" w:cs="Times New Roman"/>
          <w:sz w:val="24"/>
          <w:szCs w:val="24"/>
        </w:rPr>
        <w:t xml:space="preserve"> за работа с макроикономическия </w:t>
      </w:r>
      <w:proofErr w:type="spellStart"/>
      <w:r w:rsidRPr="007D5743">
        <w:rPr>
          <w:rFonts w:ascii="Times New Roman" w:hAnsi="Times New Roman" w:cs="Times New Roman"/>
          <w:sz w:val="24"/>
          <w:szCs w:val="24"/>
        </w:rPr>
        <w:t>симулационен</w:t>
      </w:r>
      <w:proofErr w:type="spellEnd"/>
      <w:r w:rsidRPr="007D5743">
        <w:rPr>
          <w:rFonts w:ascii="Times New Roman" w:hAnsi="Times New Roman" w:cs="Times New Roman"/>
          <w:sz w:val="24"/>
          <w:szCs w:val="24"/>
        </w:rPr>
        <w:t xml:space="preserve"> модел. Обучението следва да </w:t>
      </w:r>
      <w:r w:rsidR="0036232C">
        <w:rPr>
          <w:rFonts w:ascii="Times New Roman" w:hAnsi="Times New Roman" w:cs="Times New Roman"/>
          <w:sz w:val="24"/>
          <w:szCs w:val="24"/>
        </w:rPr>
        <w:t>се</w:t>
      </w:r>
      <w:r w:rsidR="0036232C" w:rsidRPr="007D5743">
        <w:rPr>
          <w:rFonts w:ascii="Times New Roman" w:hAnsi="Times New Roman" w:cs="Times New Roman"/>
          <w:sz w:val="24"/>
          <w:szCs w:val="24"/>
        </w:rPr>
        <w:t xml:space="preserve"> </w:t>
      </w:r>
      <w:r w:rsidR="0036232C">
        <w:rPr>
          <w:rFonts w:ascii="Times New Roman" w:hAnsi="Times New Roman" w:cs="Times New Roman"/>
          <w:sz w:val="24"/>
          <w:szCs w:val="24"/>
        </w:rPr>
        <w:t>провежда</w:t>
      </w:r>
      <w:r w:rsidR="0036232C" w:rsidRPr="007D5743">
        <w:rPr>
          <w:rFonts w:ascii="Times New Roman" w:hAnsi="Times New Roman" w:cs="Times New Roman"/>
          <w:sz w:val="24"/>
          <w:szCs w:val="24"/>
        </w:rPr>
        <w:t xml:space="preserve"> </w:t>
      </w:r>
      <w:r w:rsidR="00FE2FE8" w:rsidRPr="007D5743">
        <w:rPr>
          <w:rFonts w:ascii="Times New Roman" w:hAnsi="Times New Roman" w:cs="Times New Roman"/>
          <w:sz w:val="24"/>
          <w:szCs w:val="24"/>
        </w:rPr>
        <w:t>по график, предварително съгласуван с Възложителя</w:t>
      </w:r>
      <w:r w:rsidR="007D5743">
        <w:rPr>
          <w:rFonts w:ascii="Times New Roman" w:hAnsi="Times New Roman" w:cs="Times New Roman"/>
          <w:sz w:val="24"/>
          <w:szCs w:val="24"/>
        </w:rPr>
        <w:t>.</w:t>
      </w:r>
      <w:r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="0036232C">
        <w:rPr>
          <w:rFonts w:ascii="Times New Roman" w:hAnsi="Times New Roman" w:cs="Times New Roman"/>
          <w:sz w:val="24"/>
          <w:szCs w:val="24"/>
        </w:rPr>
        <w:t>Обучението следва да се извършва</w:t>
      </w:r>
      <w:r w:rsidR="00585923">
        <w:rPr>
          <w:rFonts w:ascii="Times New Roman" w:hAnsi="Times New Roman" w:cs="Times New Roman"/>
          <w:sz w:val="24"/>
          <w:szCs w:val="24"/>
        </w:rPr>
        <w:t xml:space="preserve"> </w:t>
      </w:r>
      <w:r w:rsidR="0036232C">
        <w:rPr>
          <w:rFonts w:ascii="Times New Roman" w:hAnsi="Times New Roman" w:cs="Times New Roman"/>
          <w:sz w:val="24"/>
          <w:szCs w:val="24"/>
        </w:rPr>
        <w:t>в реалната работна среда на Възложителя, с цел практическа подготовка на екипа за работа с модела и извършване на симулации.</w:t>
      </w:r>
    </w:p>
    <w:p w14:paraId="1FCA7B54" w14:textId="77777777" w:rsidR="004E0746" w:rsidRPr="00DA0515" w:rsidRDefault="006F05A8" w:rsidP="00AD28FD">
      <w:pPr>
        <w:pStyle w:val="ListParagraph"/>
        <w:numPr>
          <w:ilvl w:val="0"/>
          <w:numId w:val="1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>Очаквани резултати и изисквания към модела</w:t>
      </w:r>
    </w:p>
    <w:p w14:paraId="35EA0F2C" w14:textId="77777777" w:rsidR="004E0746" w:rsidRPr="00DA0515" w:rsidRDefault="006F05A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515">
        <w:rPr>
          <w:rFonts w:ascii="Times New Roman" w:hAnsi="Times New Roman" w:cs="Times New Roman"/>
          <w:b/>
          <w:sz w:val="24"/>
          <w:szCs w:val="24"/>
          <w:u w:val="single"/>
        </w:rPr>
        <w:t>По специфична цел 1:</w:t>
      </w:r>
    </w:p>
    <w:p w14:paraId="6F54DF2A" w14:textId="096D165F" w:rsidR="004E0746" w:rsidRPr="00260B50" w:rsidRDefault="004255EB">
      <w:pPr>
        <w:pStyle w:val="ListParagraph"/>
        <w:numPr>
          <w:ilvl w:val="0"/>
          <w:numId w:val="5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0B50">
        <w:rPr>
          <w:rFonts w:ascii="Times New Roman" w:hAnsi="Times New Roman" w:cs="Times New Roman"/>
          <w:sz w:val="24"/>
          <w:szCs w:val="24"/>
        </w:rPr>
        <w:t>Одобрен от Възложителя</w:t>
      </w:r>
      <w:r w:rsidR="005E1119" w:rsidRPr="00260B50">
        <w:rPr>
          <w:rFonts w:ascii="Times New Roman" w:hAnsi="Times New Roman" w:cs="Times New Roman"/>
          <w:sz w:val="24"/>
          <w:szCs w:val="24"/>
        </w:rPr>
        <w:t xml:space="preserve"> </w:t>
      </w:r>
      <w:r w:rsidR="00260B50">
        <w:rPr>
          <w:rFonts w:ascii="Times New Roman" w:hAnsi="Times New Roman" w:cs="Times New Roman"/>
          <w:sz w:val="24"/>
          <w:szCs w:val="24"/>
        </w:rPr>
        <w:t xml:space="preserve">макроикономически </w:t>
      </w:r>
      <w:r w:rsidR="005E1119" w:rsidRPr="00260B50">
        <w:rPr>
          <w:rFonts w:ascii="Times New Roman" w:hAnsi="Times New Roman" w:cs="Times New Roman"/>
          <w:sz w:val="24"/>
          <w:szCs w:val="24"/>
        </w:rPr>
        <w:t xml:space="preserve">модел за </w:t>
      </w:r>
      <w:r w:rsidR="00260B50">
        <w:rPr>
          <w:rFonts w:ascii="Times New Roman" w:hAnsi="Times New Roman" w:cs="Times New Roman"/>
          <w:sz w:val="24"/>
          <w:szCs w:val="24"/>
        </w:rPr>
        <w:t xml:space="preserve">оценка на ефекти върху основни макроикономически и бюджетни показатели, </w:t>
      </w:r>
      <w:r w:rsidR="005E1119" w:rsidRPr="00260B50">
        <w:rPr>
          <w:rFonts w:ascii="Times New Roman" w:hAnsi="Times New Roman" w:cs="Times New Roman"/>
          <w:sz w:val="24"/>
          <w:szCs w:val="24"/>
        </w:rPr>
        <w:t xml:space="preserve">с инструментариум </w:t>
      </w:r>
      <w:r w:rsidR="006F05A8" w:rsidRPr="00260B50">
        <w:rPr>
          <w:rFonts w:ascii="Times New Roman" w:hAnsi="Times New Roman" w:cs="Times New Roman"/>
          <w:sz w:val="24"/>
          <w:szCs w:val="24"/>
        </w:rPr>
        <w:t>за автоматизирани симулации</w:t>
      </w:r>
      <w:r w:rsidR="00B71CBD" w:rsidRPr="00260B50">
        <w:rPr>
          <w:rFonts w:ascii="Times New Roman" w:hAnsi="Times New Roman" w:cs="Times New Roman"/>
          <w:sz w:val="24"/>
          <w:szCs w:val="24"/>
        </w:rPr>
        <w:t>. Осигурена работоспособност на създадения модел в среда на МФ</w:t>
      </w:r>
      <w:r w:rsidR="000B27D1" w:rsidRPr="00260B50">
        <w:rPr>
          <w:rFonts w:ascii="Times New Roman" w:hAnsi="Times New Roman" w:cs="Times New Roman"/>
          <w:sz w:val="24"/>
          <w:szCs w:val="24"/>
        </w:rPr>
        <w:t>, а за продукти, различни от Е</w:t>
      </w:r>
      <w:r w:rsidR="00982CB9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Start"/>
      <w:r w:rsidR="000B27D1" w:rsidRPr="00260B50">
        <w:rPr>
          <w:rFonts w:ascii="Times New Roman" w:hAnsi="Times New Roman" w:cs="Times New Roman"/>
          <w:sz w:val="24"/>
          <w:szCs w:val="24"/>
        </w:rPr>
        <w:t>iews</w:t>
      </w:r>
      <w:proofErr w:type="spellEnd"/>
      <w:r w:rsidR="000B27D1" w:rsidRPr="00260B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B27D1" w:rsidRPr="00260B50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spellStart"/>
      <w:r w:rsidR="000B27D1" w:rsidRPr="00260B50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="000B27D1" w:rsidRPr="00260B50">
        <w:rPr>
          <w:rFonts w:ascii="Times New Roman" w:hAnsi="Times New Roman" w:cs="Times New Roman"/>
          <w:sz w:val="24"/>
          <w:szCs w:val="24"/>
        </w:rPr>
        <w:t xml:space="preserve"> включва съдействие при инсталиране и въвеждане в експлоатация.</w:t>
      </w:r>
      <w:r w:rsidR="006F05A8" w:rsidRPr="00260B50">
        <w:rPr>
          <w:rFonts w:ascii="Times New Roman" w:hAnsi="Times New Roman" w:cs="Times New Roman"/>
          <w:sz w:val="24"/>
          <w:szCs w:val="24"/>
        </w:rPr>
        <w:t>;</w:t>
      </w:r>
    </w:p>
    <w:p w14:paraId="26023E0D" w14:textId="302E1288" w:rsidR="004E0746" w:rsidRPr="00115084" w:rsidRDefault="006F05A8" w:rsidP="00260B50">
      <w:pPr>
        <w:pStyle w:val="ListParagraph"/>
        <w:numPr>
          <w:ilvl w:val="0"/>
          <w:numId w:val="5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0B50">
        <w:rPr>
          <w:rFonts w:ascii="Times New Roman" w:hAnsi="Times New Roman" w:cs="Times New Roman"/>
          <w:sz w:val="24"/>
          <w:szCs w:val="24"/>
        </w:rPr>
        <w:t>Ръководство за работа с модела</w:t>
      </w:r>
      <w:r w:rsidR="00260B50">
        <w:rPr>
          <w:rFonts w:ascii="Times New Roman" w:hAnsi="Times New Roman" w:cs="Times New Roman"/>
          <w:sz w:val="24"/>
          <w:szCs w:val="24"/>
        </w:rPr>
        <w:t xml:space="preserve"> и детайлна техническа документация, включваща програмен код на модела. </w:t>
      </w:r>
      <w:r w:rsidR="005E1119" w:rsidRPr="00115084">
        <w:rPr>
          <w:rFonts w:ascii="Times New Roman" w:hAnsi="Times New Roman" w:cs="Times New Roman"/>
          <w:sz w:val="24"/>
          <w:szCs w:val="24"/>
        </w:rPr>
        <w:t>При използване на продукт, различен от Е</w:t>
      </w:r>
      <w:r w:rsidR="00982CB9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Start"/>
      <w:r w:rsidR="005E1119" w:rsidRPr="00115084">
        <w:rPr>
          <w:rFonts w:ascii="Times New Roman" w:hAnsi="Times New Roman" w:cs="Times New Roman"/>
          <w:sz w:val="24"/>
          <w:szCs w:val="24"/>
        </w:rPr>
        <w:t>iews</w:t>
      </w:r>
      <w:proofErr w:type="spellEnd"/>
      <w:r w:rsidR="005E1119" w:rsidRPr="001150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E1119" w:rsidRPr="00115084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spellStart"/>
      <w:r w:rsidR="005E1119" w:rsidRPr="00115084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="005E1119" w:rsidRPr="00115084">
        <w:rPr>
          <w:rFonts w:ascii="Times New Roman" w:hAnsi="Times New Roman" w:cs="Times New Roman"/>
          <w:sz w:val="24"/>
          <w:szCs w:val="24"/>
        </w:rPr>
        <w:t xml:space="preserve">, техническата документация </w:t>
      </w:r>
      <w:r w:rsidR="006A7386" w:rsidRPr="00115084">
        <w:rPr>
          <w:rFonts w:ascii="Times New Roman" w:hAnsi="Times New Roman" w:cs="Times New Roman"/>
          <w:sz w:val="24"/>
          <w:szCs w:val="24"/>
        </w:rPr>
        <w:t xml:space="preserve">следва </w:t>
      </w:r>
      <w:r w:rsidR="005E1119" w:rsidRPr="00115084">
        <w:rPr>
          <w:rFonts w:ascii="Times New Roman" w:hAnsi="Times New Roman" w:cs="Times New Roman"/>
          <w:sz w:val="24"/>
          <w:szCs w:val="24"/>
        </w:rPr>
        <w:t xml:space="preserve">да включва </w:t>
      </w:r>
      <w:r w:rsidR="006A7386" w:rsidRPr="00115084">
        <w:rPr>
          <w:rFonts w:ascii="Times New Roman" w:hAnsi="Times New Roman" w:cs="Times New Roman"/>
          <w:sz w:val="24"/>
          <w:szCs w:val="24"/>
        </w:rPr>
        <w:t xml:space="preserve">и </w:t>
      </w:r>
      <w:r w:rsidR="005E1119" w:rsidRPr="00115084">
        <w:rPr>
          <w:rFonts w:ascii="Times New Roman" w:hAnsi="Times New Roman" w:cs="Times New Roman"/>
          <w:sz w:val="24"/>
          <w:szCs w:val="24"/>
        </w:rPr>
        <w:t>версията</w:t>
      </w:r>
      <w:r w:rsidR="006A7386" w:rsidRPr="00115084">
        <w:rPr>
          <w:rFonts w:ascii="Times New Roman" w:hAnsi="Times New Roman" w:cs="Times New Roman"/>
          <w:sz w:val="24"/>
          <w:szCs w:val="24"/>
        </w:rPr>
        <w:t xml:space="preserve"> на продукта, с</w:t>
      </w:r>
      <w:r w:rsidR="005E1119" w:rsidRPr="00115084">
        <w:rPr>
          <w:rFonts w:ascii="Times New Roman" w:hAnsi="Times New Roman" w:cs="Times New Roman"/>
          <w:sz w:val="24"/>
          <w:szCs w:val="24"/>
        </w:rPr>
        <w:t xml:space="preserve"> линк</w:t>
      </w:r>
      <w:r w:rsidR="006A7386" w:rsidRPr="0011508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A7386" w:rsidRPr="0011508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5E1119" w:rsidRPr="00115084">
        <w:rPr>
          <w:rFonts w:ascii="Times New Roman" w:hAnsi="Times New Roman" w:cs="Times New Roman"/>
          <w:sz w:val="24"/>
          <w:szCs w:val="24"/>
        </w:rPr>
        <w:t xml:space="preserve"> за сваляне</w:t>
      </w:r>
      <w:r w:rsidR="006A7386" w:rsidRPr="00115084">
        <w:rPr>
          <w:rFonts w:ascii="Times New Roman" w:hAnsi="Times New Roman" w:cs="Times New Roman"/>
          <w:sz w:val="24"/>
          <w:szCs w:val="24"/>
        </w:rPr>
        <w:t xml:space="preserve">то и инсталирането му на определени работни места в дирекция </w:t>
      </w:r>
      <w:r w:rsidR="00260B50">
        <w:rPr>
          <w:rFonts w:ascii="Times New Roman" w:hAnsi="Times New Roman" w:cs="Times New Roman"/>
          <w:sz w:val="24"/>
          <w:szCs w:val="24"/>
        </w:rPr>
        <w:t>„</w:t>
      </w:r>
      <w:r w:rsidR="006A7386" w:rsidRPr="00115084">
        <w:rPr>
          <w:rFonts w:ascii="Times New Roman" w:hAnsi="Times New Roman" w:cs="Times New Roman"/>
          <w:sz w:val="24"/>
          <w:szCs w:val="24"/>
        </w:rPr>
        <w:t>И</w:t>
      </w:r>
      <w:r w:rsidR="00260B50">
        <w:rPr>
          <w:rFonts w:ascii="Times New Roman" w:hAnsi="Times New Roman" w:cs="Times New Roman"/>
          <w:sz w:val="24"/>
          <w:szCs w:val="24"/>
        </w:rPr>
        <w:t>кономическа и финансова политика“</w:t>
      </w:r>
      <w:r w:rsidR="006A7386" w:rsidRPr="00115084">
        <w:rPr>
          <w:rFonts w:ascii="Times New Roman" w:hAnsi="Times New Roman" w:cs="Times New Roman"/>
          <w:sz w:val="24"/>
          <w:szCs w:val="24"/>
        </w:rPr>
        <w:t xml:space="preserve"> на МФ, в т.ч. описание на нужните конфигурации и настройки за безпроблемната му работа в среда на МФ. Изпълнителят следва да съобрази избора си на продукт за създаване на модела с наличната в МФ ИТ среда</w:t>
      </w:r>
      <w:r w:rsidR="008F4626" w:rsidRPr="00115084">
        <w:rPr>
          <w:rFonts w:ascii="Times New Roman" w:hAnsi="Times New Roman" w:cs="Times New Roman"/>
          <w:sz w:val="24"/>
          <w:szCs w:val="24"/>
        </w:rPr>
        <w:t>, базирана на MS Windows 7</w:t>
      </w:r>
      <w:r w:rsidR="008F4626" w:rsidRPr="00115084">
        <w:rPr>
          <w:rFonts w:ascii="Times New Roman" w:hAnsi="Times New Roman"/>
          <w:sz w:val="24"/>
          <w:szCs w:val="24"/>
        </w:rPr>
        <w:t>/10</w:t>
      </w:r>
      <w:r w:rsidR="008F4626" w:rsidRPr="00115084">
        <w:rPr>
          <w:rFonts w:ascii="Times New Roman" w:hAnsi="Times New Roman" w:cs="Times New Roman"/>
          <w:sz w:val="24"/>
          <w:szCs w:val="24"/>
        </w:rPr>
        <w:t xml:space="preserve">, </w:t>
      </w:r>
      <w:r w:rsidR="008F4626" w:rsidRPr="00115084">
        <w:rPr>
          <w:rFonts w:ascii="Times New Roman" w:hAnsi="Times New Roman"/>
          <w:sz w:val="24"/>
          <w:szCs w:val="24"/>
        </w:rPr>
        <w:t>Windows Server 2008/2012 R2</w:t>
      </w:r>
      <w:r w:rsidR="007A3B48" w:rsidRPr="00115084">
        <w:rPr>
          <w:rFonts w:ascii="Times New Roman" w:hAnsi="Times New Roman" w:cs="Times New Roman"/>
          <w:sz w:val="24"/>
          <w:szCs w:val="24"/>
        </w:rPr>
        <w:t>.</w:t>
      </w:r>
    </w:p>
    <w:p w14:paraId="3F1352DD" w14:textId="77777777" w:rsidR="004E0746" w:rsidRPr="00DA0515" w:rsidRDefault="006F05A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515">
        <w:rPr>
          <w:rFonts w:ascii="Times New Roman" w:hAnsi="Times New Roman" w:cs="Times New Roman"/>
          <w:b/>
          <w:sz w:val="24"/>
          <w:szCs w:val="24"/>
          <w:u w:val="single"/>
        </w:rPr>
        <w:t>По специфична цел 2:</w:t>
      </w:r>
    </w:p>
    <w:p w14:paraId="635EAF77" w14:textId="2EBE68A4" w:rsidR="004E0746" w:rsidRPr="00DA0515" w:rsidRDefault="006F05A8" w:rsidP="000116CB">
      <w:pPr>
        <w:pStyle w:val="ListParagraph"/>
        <w:numPr>
          <w:ilvl w:val="0"/>
          <w:numId w:val="5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Проведени обучения на </w:t>
      </w:r>
      <w:r w:rsidR="00564C07" w:rsidRPr="00260B50">
        <w:rPr>
          <w:rFonts w:ascii="Times New Roman" w:hAnsi="Times New Roman" w:cs="Times New Roman"/>
          <w:sz w:val="24"/>
          <w:szCs w:val="24"/>
        </w:rPr>
        <w:t>посочени</w:t>
      </w:r>
      <w:r w:rsidRPr="00260B50">
        <w:rPr>
          <w:rFonts w:ascii="Times New Roman" w:hAnsi="Times New Roman" w:cs="Times New Roman"/>
          <w:sz w:val="24"/>
          <w:szCs w:val="24"/>
        </w:rPr>
        <w:t xml:space="preserve"> </w:t>
      </w:r>
      <w:r w:rsidR="00564C07" w:rsidRPr="00260B50">
        <w:rPr>
          <w:rFonts w:ascii="Times New Roman" w:hAnsi="Times New Roman" w:cs="Times New Roman"/>
          <w:sz w:val="24"/>
          <w:szCs w:val="24"/>
        </w:rPr>
        <w:t xml:space="preserve">от </w:t>
      </w:r>
      <w:r w:rsidRPr="00260B50">
        <w:rPr>
          <w:rFonts w:ascii="Times New Roman" w:hAnsi="Times New Roman" w:cs="Times New Roman"/>
          <w:sz w:val="24"/>
          <w:szCs w:val="24"/>
        </w:rPr>
        <w:t xml:space="preserve">Възложителя </w:t>
      </w:r>
      <w:r w:rsidR="00564C07" w:rsidRPr="00260B50">
        <w:rPr>
          <w:rFonts w:ascii="Times New Roman" w:hAnsi="Times New Roman" w:cs="Times New Roman"/>
          <w:sz w:val="24"/>
          <w:szCs w:val="24"/>
        </w:rPr>
        <w:t>служители</w:t>
      </w:r>
      <w:r w:rsidR="00260B50">
        <w:rPr>
          <w:rFonts w:ascii="Times New Roman" w:hAnsi="Times New Roman" w:cs="Times New Roman"/>
          <w:sz w:val="24"/>
          <w:szCs w:val="24"/>
        </w:rPr>
        <w:t xml:space="preserve"> (до 11 души)</w:t>
      </w:r>
      <w:r w:rsidR="00564C07">
        <w:rPr>
          <w:rFonts w:ascii="Times New Roman" w:hAnsi="Times New Roman" w:cs="Times New Roman"/>
          <w:sz w:val="24"/>
          <w:szCs w:val="24"/>
        </w:rPr>
        <w:t xml:space="preserve"> </w:t>
      </w:r>
      <w:r w:rsidRPr="00DA0515">
        <w:rPr>
          <w:rFonts w:ascii="Times New Roman" w:hAnsi="Times New Roman" w:cs="Times New Roman"/>
          <w:sz w:val="24"/>
          <w:szCs w:val="24"/>
        </w:rPr>
        <w:t>за работа с</w:t>
      </w:r>
      <w:r w:rsidR="00753EF4">
        <w:rPr>
          <w:rFonts w:ascii="Times New Roman" w:hAnsi="Times New Roman" w:cs="Times New Roman"/>
          <w:sz w:val="24"/>
          <w:szCs w:val="24"/>
        </w:rPr>
        <w:t>ъс</w:t>
      </w:r>
      <w:r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="00753EF4">
        <w:rPr>
          <w:rFonts w:ascii="Times New Roman" w:hAnsi="Times New Roman" w:cs="Times New Roman"/>
          <w:sz w:val="24"/>
          <w:szCs w:val="24"/>
        </w:rPr>
        <w:t>създадения</w:t>
      </w:r>
      <w:r w:rsidR="00753EF4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Pr="00DA0515">
        <w:rPr>
          <w:rFonts w:ascii="Times New Roman" w:hAnsi="Times New Roman" w:cs="Times New Roman"/>
          <w:sz w:val="24"/>
          <w:szCs w:val="24"/>
        </w:rPr>
        <w:t>модел, както и проведени симулации с модела.</w:t>
      </w:r>
    </w:p>
    <w:p w14:paraId="427E5780" w14:textId="77777777" w:rsidR="004E0746" w:rsidRPr="00DA0515" w:rsidRDefault="006F05A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>Резултатите от настоящата поръчка ще допринесат за:</w:t>
      </w:r>
    </w:p>
    <w:p w14:paraId="03EF993A" w14:textId="77777777" w:rsidR="004E0746" w:rsidRPr="00DA0515" w:rsidRDefault="006F05A8">
      <w:pPr>
        <w:pStyle w:val="ListParagraph"/>
        <w:numPr>
          <w:ilvl w:val="0"/>
          <w:numId w:val="4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подобряване на оценките за ефектите от реализиране на различни рискови сценарии върху макроикономическите и бюджетните прогнози; </w:t>
      </w:r>
    </w:p>
    <w:p w14:paraId="19D603BD" w14:textId="77777777" w:rsidR="004E0746" w:rsidRPr="00DA0515" w:rsidRDefault="006F05A8">
      <w:pPr>
        <w:pStyle w:val="ListParagraph"/>
        <w:numPr>
          <w:ilvl w:val="0"/>
          <w:numId w:val="4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разширяване на възможностите за оценка и анализиране на въздействието на различни шокове върху икономиката;</w:t>
      </w:r>
    </w:p>
    <w:p w14:paraId="425A2FF1" w14:textId="53FC9EE9" w:rsidR="004E0746" w:rsidRPr="00DA0515" w:rsidRDefault="006F05A8" w:rsidP="000116CB">
      <w:pPr>
        <w:pStyle w:val="ListParagraph"/>
        <w:numPr>
          <w:ilvl w:val="0"/>
          <w:numId w:val="4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lastRenderedPageBreak/>
        <w:t>подобряване на процеса на изготвяне на прогнози чрез извършване на анализ на чувствителността и оттук, намаляване на риска от нарушаване на бюджетната дисциплина поради грешки в прогнозирането.</w:t>
      </w:r>
    </w:p>
    <w:p w14:paraId="18EE18EE" w14:textId="77777777" w:rsidR="004E0746" w:rsidRPr="00DA0515" w:rsidRDefault="006F05A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>Изисквания към модела:</w:t>
      </w:r>
    </w:p>
    <w:p w14:paraId="013F16EA" w14:textId="39AEF569" w:rsidR="004E0746" w:rsidRPr="00635168" w:rsidRDefault="007A3B48" w:rsidP="00635168">
      <w:pPr>
        <w:pStyle w:val="ListParagraph"/>
        <w:numPr>
          <w:ilvl w:val="0"/>
          <w:numId w:val="6"/>
        </w:numPr>
        <w:spacing w:before="120" w:after="120"/>
        <w:ind w:left="709" w:hanging="425"/>
        <w:contextualSpacing w:val="0"/>
        <w:jc w:val="both"/>
      </w:pPr>
      <w:r w:rsidRPr="00635168">
        <w:rPr>
          <w:rFonts w:ascii="Times New Roman" w:hAnsi="Times New Roman" w:cs="Times New Roman"/>
          <w:sz w:val="24"/>
          <w:szCs w:val="24"/>
        </w:rPr>
        <w:t>да се използва</w:t>
      </w:r>
      <w:r w:rsidR="006F05A8" w:rsidRPr="00635168">
        <w:rPr>
          <w:rFonts w:ascii="Times New Roman" w:hAnsi="Times New Roman" w:cs="Times New Roman"/>
          <w:sz w:val="24"/>
          <w:szCs w:val="24"/>
        </w:rPr>
        <w:t xml:space="preserve"> </w:t>
      </w:r>
      <w:r w:rsidRPr="00635168">
        <w:rPr>
          <w:rFonts w:ascii="Times New Roman" w:hAnsi="Times New Roman" w:cs="Times New Roman"/>
          <w:sz w:val="24"/>
          <w:szCs w:val="24"/>
        </w:rPr>
        <w:t xml:space="preserve">чрез </w:t>
      </w:r>
      <w:r w:rsidR="00597F32" w:rsidRPr="00635168">
        <w:rPr>
          <w:rFonts w:ascii="Times New Roman" w:hAnsi="Times New Roman" w:cs="Times New Roman"/>
          <w:sz w:val="24"/>
          <w:szCs w:val="24"/>
        </w:rPr>
        <w:t xml:space="preserve">наличните в МФ </w:t>
      </w:r>
      <w:r w:rsidR="006F05A8" w:rsidRPr="00635168">
        <w:rPr>
          <w:rFonts w:ascii="Times New Roman" w:hAnsi="Times New Roman" w:cs="Times New Roman"/>
          <w:sz w:val="24"/>
          <w:szCs w:val="24"/>
        </w:rPr>
        <w:t>Е</w:t>
      </w:r>
      <w:r w:rsidR="00982CB9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Start"/>
      <w:r w:rsidR="006F05A8" w:rsidRPr="00635168">
        <w:rPr>
          <w:rFonts w:ascii="Times New Roman" w:hAnsi="Times New Roman" w:cs="Times New Roman"/>
          <w:sz w:val="24"/>
          <w:szCs w:val="24"/>
        </w:rPr>
        <w:t>iews</w:t>
      </w:r>
      <w:proofErr w:type="spellEnd"/>
      <w:r w:rsidRPr="00635168">
        <w:rPr>
          <w:rFonts w:ascii="Times New Roman" w:hAnsi="Times New Roman" w:cs="Times New Roman"/>
          <w:sz w:val="24"/>
          <w:szCs w:val="24"/>
        </w:rPr>
        <w:t xml:space="preserve"> </w:t>
      </w:r>
      <w:r w:rsidR="00FE6B97">
        <w:rPr>
          <w:rFonts w:ascii="Times New Roman" w:hAnsi="Times New Roman" w:cs="Times New Roman"/>
          <w:sz w:val="24"/>
          <w:szCs w:val="24"/>
        </w:rPr>
        <w:t>и/</w:t>
      </w:r>
      <w:r w:rsidRPr="00635168">
        <w:rPr>
          <w:rFonts w:ascii="Times New Roman" w:hAnsi="Times New Roman" w:cs="Times New Roman"/>
          <w:sz w:val="24"/>
          <w:szCs w:val="24"/>
        </w:rPr>
        <w:t>или</w:t>
      </w:r>
      <w:r w:rsidR="006F05A8" w:rsidRPr="006351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05A8" w:rsidRPr="00635168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635168">
        <w:rPr>
          <w:rFonts w:ascii="Times New Roman" w:hAnsi="Times New Roman" w:cs="Times New Roman"/>
          <w:sz w:val="24"/>
          <w:szCs w:val="24"/>
        </w:rPr>
        <w:t>, в последни актуални версии</w:t>
      </w:r>
      <w:r w:rsidR="006F05A8" w:rsidRPr="00635168">
        <w:rPr>
          <w:rFonts w:ascii="Times New Roman" w:hAnsi="Times New Roman" w:cs="Times New Roman"/>
          <w:sz w:val="24"/>
          <w:szCs w:val="24"/>
        </w:rPr>
        <w:t xml:space="preserve">; допуска се използването и на </w:t>
      </w:r>
      <w:r w:rsidR="00597F32" w:rsidRPr="00635168">
        <w:rPr>
          <w:rFonts w:ascii="Times New Roman" w:hAnsi="Times New Roman" w:cs="Times New Roman"/>
          <w:sz w:val="24"/>
          <w:szCs w:val="24"/>
        </w:rPr>
        <w:t xml:space="preserve">друг </w:t>
      </w:r>
      <w:r w:rsidR="006F05A8" w:rsidRPr="00635168">
        <w:rPr>
          <w:rFonts w:ascii="Times New Roman" w:hAnsi="Times New Roman" w:cs="Times New Roman"/>
          <w:sz w:val="24"/>
          <w:szCs w:val="24"/>
        </w:rPr>
        <w:t>софтуер с отворен код, за който не се изискв</w:t>
      </w:r>
      <w:r w:rsidR="00AD28FD" w:rsidRPr="00635168">
        <w:rPr>
          <w:rFonts w:ascii="Times New Roman" w:hAnsi="Times New Roman" w:cs="Times New Roman"/>
          <w:sz w:val="24"/>
          <w:szCs w:val="24"/>
        </w:rPr>
        <w:t>а заплащане на лицензни такси</w:t>
      </w:r>
      <w:r w:rsidRPr="00635168">
        <w:rPr>
          <w:rFonts w:ascii="Times New Roman" w:hAnsi="Times New Roman" w:cs="Times New Roman"/>
          <w:sz w:val="24"/>
          <w:szCs w:val="24"/>
        </w:rPr>
        <w:t xml:space="preserve"> и който може безпроблемно да бъде </w:t>
      </w:r>
      <w:r w:rsidR="006857CF" w:rsidRPr="00635168">
        <w:rPr>
          <w:rFonts w:ascii="Times New Roman" w:hAnsi="Times New Roman" w:cs="Times New Roman"/>
          <w:sz w:val="24"/>
          <w:szCs w:val="24"/>
        </w:rPr>
        <w:t>инсталиран</w:t>
      </w:r>
      <w:r w:rsidRPr="00635168">
        <w:rPr>
          <w:rFonts w:ascii="Times New Roman" w:hAnsi="Times New Roman" w:cs="Times New Roman"/>
          <w:sz w:val="24"/>
          <w:szCs w:val="24"/>
        </w:rPr>
        <w:t xml:space="preserve"> в ИТ среда</w:t>
      </w:r>
      <w:r w:rsidR="008F4626">
        <w:rPr>
          <w:rFonts w:ascii="Times New Roman" w:hAnsi="Times New Roman" w:cs="Times New Roman"/>
          <w:sz w:val="24"/>
          <w:szCs w:val="24"/>
        </w:rPr>
        <w:t>та</w:t>
      </w:r>
      <w:r w:rsidRPr="008F4626">
        <w:rPr>
          <w:rFonts w:ascii="Times New Roman" w:hAnsi="Times New Roman" w:cs="Times New Roman"/>
          <w:sz w:val="24"/>
          <w:szCs w:val="24"/>
        </w:rPr>
        <w:t xml:space="preserve"> на МФ</w:t>
      </w:r>
      <w:r w:rsidR="00597F32" w:rsidRPr="008F4626">
        <w:rPr>
          <w:rFonts w:ascii="Times New Roman" w:hAnsi="Times New Roman"/>
          <w:sz w:val="24"/>
          <w:szCs w:val="24"/>
        </w:rPr>
        <w:t xml:space="preserve"> (</w:t>
      </w:r>
      <w:r w:rsidR="00597F32" w:rsidRPr="00635168">
        <w:rPr>
          <w:rFonts w:ascii="Times New Roman" w:hAnsi="Times New Roman" w:cs="Times New Roman"/>
          <w:sz w:val="24"/>
          <w:szCs w:val="24"/>
        </w:rPr>
        <w:t>MS Windows 7</w:t>
      </w:r>
      <w:r w:rsidR="00597F32" w:rsidRPr="00635168">
        <w:rPr>
          <w:rFonts w:ascii="Times New Roman" w:hAnsi="Times New Roman"/>
          <w:sz w:val="24"/>
          <w:szCs w:val="24"/>
        </w:rPr>
        <w:t>/10</w:t>
      </w:r>
      <w:r w:rsidR="00597F32" w:rsidRPr="00635168">
        <w:rPr>
          <w:rFonts w:ascii="Times New Roman" w:hAnsi="Times New Roman" w:cs="Times New Roman"/>
          <w:sz w:val="24"/>
          <w:szCs w:val="24"/>
        </w:rPr>
        <w:t xml:space="preserve">, </w:t>
      </w:r>
      <w:r w:rsidR="00597F32" w:rsidRPr="00635168">
        <w:rPr>
          <w:rFonts w:ascii="Times New Roman" w:hAnsi="Times New Roman"/>
          <w:sz w:val="24"/>
          <w:szCs w:val="24"/>
        </w:rPr>
        <w:t>Windows Server 2008/2012 R2</w:t>
      </w:r>
      <w:r w:rsidR="00635168" w:rsidRPr="00635168">
        <w:rPr>
          <w:rFonts w:ascii="Times New Roman" w:hAnsi="Times New Roman"/>
          <w:sz w:val="24"/>
          <w:szCs w:val="24"/>
        </w:rPr>
        <w:t>)</w:t>
      </w:r>
      <w:r w:rsidR="00AD28FD" w:rsidRPr="00635168">
        <w:rPr>
          <w:rFonts w:ascii="Times New Roman" w:hAnsi="Times New Roman" w:cs="Times New Roman"/>
          <w:sz w:val="24"/>
          <w:szCs w:val="24"/>
        </w:rPr>
        <w:t>;</w:t>
      </w:r>
    </w:p>
    <w:p w14:paraId="6C5EC82D" w14:textId="77777777" w:rsidR="00916265" w:rsidRPr="00DA0515" w:rsidRDefault="006F05A8" w:rsidP="00916265">
      <w:pPr>
        <w:pStyle w:val="ListParagraph"/>
        <w:numPr>
          <w:ilvl w:val="0"/>
          <w:numId w:val="6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да дава възможност за анализ на чувствителността на средносрочните прогнози на МФ към шокове, които отразяват възможни рискове, свързани с промени във външната и вътрешната сред</w:t>
      </w:r>
      <w:r w:rsidR="00916265" w:rsidRPr="00DA0515">
        <w:rPr>
          <w:rFonts w:ascii="Times New Roman" w:hAnsi="Times New Roman" w:cs="Times New Roman"/>
          <w:sz w:val="24"/>
          <w:szCs w:val="24"/>
        </w:rPr>
        <w:t>а, или в провежданите политики.</w:t>
      </w:r>
    </w:p>
    <w:p w14:paraId="0B3256E5" w14:textId="2231896E" w:rsidR="004E0746" w:rsidRPr="00DA0515" w:rsidRDefault="00916265" w:rsidP="00916265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По-долу е </w:t>
      </w:r>
      <w:r w:rsidR="00BA4DD6" w:rsidRPr="00DA0515">
        <w:rPr>
          <w:rFonts w:ascii="Times New Roman" w:hAnsi="Times New Roman" w:cs="Times New Roman"/>
          <w:sz w:val="24"/>
          <w:szCs w:val="24"/>
        </w:rPr>
        <w:t>приложен</w:t>
      </w:r>
      <w:r w:rsidRPr="00DA0515">
        <w:rPr>
          <w:rFonts w:ascii="Times New Roman" w:hAnsi="Times New Roman" w:cs="Times New Roman"/>
          <w:sz w:val="24"/>
          <w:szCs w:val="24"/>
        </w:rPr>
        <w:t xml:space="preserve"> списък с индикативни </w:t>
      </w:r>
      <w:r w:rsidR="00BE2BBB" w:rsidRPr="00DA0515">
        <w:rPr>
          <w:rFonts w:ascii="Times New Roman" w:hAnsi="Times New Roman" w:cs="Times New Roman"/>
          <w:sz w:val="24"/>
          <w:szCs w:val="24"/>
        </w:rPr>
        <w:t xml:space="preserve">екзогенни </w:t>
      </w:r>
      <w:r w:rsidRPr="00DA0515">
        <w:rPr>
          <w:rFonts w:ascii="Times New Roman" w:hAnsi="Times New Roman" w:cs="Times New Roman"/>
          <w:sz w:val="24"/>
          <w:szCs w:val="24"/>
        </w:rPr>
        <w:t>променливи, върху които могат да се модел</w:t>
      </w:r>
      <w:r w:rsidR="00BA4DD6" w:rsidRPr="00DA0515">
        <w:rPr>
          <w:rFonts w:ascii="Times New Roman" w:hAnsi="Times New Roman" w:cs="Times New Roman"/>
          <w:sz w:val="24"/>
          <w:szCs w:val="24"/>
        </w:rPr>
        <w:t xml:space="preserve">ират шокове в отделните сектори, като той може да бъде доуточняван в хода на изпълнение на </w:t>
      </w:r>
      <w:r w:rsidR="0021116D">
        <w:rPr>
          <w:rFonts w:ascii="Times New Roman" w:hAnsi="Times New Roman" w:cs="Times New Roman"/>
          <w:sz w:val="24"/>
          <w:szCs w:val="24"/>
        </w:rPr>
        <w:t>поръчката</w:t>
      </w:r>
      <w:r w:rsidR="00BA4DD6" w:rsidRPr="00DA0515">
        <w:rPr>
          <w:rFonts w:ascii="Times New Roman" w:hAnsi="Times New Roman" w:cs="Times New Roman"/>
          <w:sz w:val="24"/>
          <w:szCs w:val="24"/>
        </w:rPr>
        <w:t xml:space="preserve"> и промените в него следва да стават само с одобрението на Възложителя:</w:t>
      </w:r>
    </w:p>
    <w:p w14:paraId="253C4777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DA0515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Външен сектор</w:t>
      </w:r>
    </w:p>
    <w:p w14:paraId="148E6385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0515">
        <w:rPr>
          <w:rFonts w:ascii="Times New Roman" w:eastAsia="Times New Roman" w:hAnsi="Times New Roman" w:cs="Times New Roman"/>
          <w:sz w:val="24"/>
          <w:szCs w:val="20"/>
        </w:rPr>
        <w:t>Валутен курс</w:t>
      </w:r>
    </w:p>
    <w:p w14:paraId="358C9D24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0515">
        <w:rPr>
          <w:rFonts w:ascii="Times New Roman" w:eastAsia="Times New Roman" w:hAnsi="Times New Roman" w:cs="Times New Roman"/>
          <w:sz w:val="24"/>
          <w:szCs w:val="20"/>
        </w:rPr>
        <w:t>Международни цени на петрола</w:t>
      </w:r>
    </w:p>
    <w:p w14:paraId="6E752DEA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0515">
        <w:rPr>
          <w:rFonts w:ascii="Times New Roman" w:eastAsia="Times New Roman" w:hAnsi="Times New Roman" w:cs="Times New Roman"/>
          <w:sz w:val="24"/>
          <w:szCs w:val="20"/>
        </w:rPr>
        <w:t>Международни цени на храните</w:t>
      </w:r>
    </w:p>
    <w:p w14:paraId="206F60EC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0515">
        <w:rPr>
          <w:rFonts w:ascii="Times New Roman" w:eastAsia="Times New Roman" w:hAnsi="Times New Roman" w:cs="Times New Roman"/>
          <w:sz w:val="24"/>
          <w:szCs w:val="20"/>
        </w:rPr>
        <w:t>Международни цени на металите</w:t>
      </w:r>
    </w:p>
    <w:p w14:paraId="6BE5FB66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0515">
        <w:rPr>
          <w:rFonts w:ascii="Times New Roman" w:eastAsia="Times New Roman" w:hAnsi="Times New Roman" w:cs="Times New Roman"/>
          <w:sz w:val="24"/>
          <w:szCs w:val="20"/>
        </w:rPr>
        <w:t>Индикатор за външно търсене</w:t>
      </w:r>
    </w:p>
    <w:p w14:paraId="70EA64B3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DA0515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Реален сектор (вкл. пазар на труда)</w:t>
      </w:r>
    </w:p>
    <w:p w14:paraId="6B260F8D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0515">
        <w:rPr>
          <w:rFonts w:ascii="Times New Roman" w:eastAsia="Times New Roman" w:hAnsi="Times New Roman" w:cs="Times New Roman"/>
          <w:sz w:val="24"/>
          <w:szCs w:val="20"/>
        </w:rPr>
        <w:t>Доверие на потребителите или на бизнеса</w:t>
      </w:r>
    </w:p>
    <w:p w14:paraId="2E2F7D0C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0515">
        <w:rPr>
          <w:rFonts w:ascii="Times New Roman" w:eastAsia="Times New Roman" w:hAnsi="Times New Roman" w:cs="Times New Roman"/>
          <w:sz w:val="24"/>
          <w:szCs w:val="20"/>
        </w:rPr>
        <w:t>Цени на жилища</w:t>
      </w:r>
    </w:p>
    <w:p w14:paraId="6EDD13B1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0515">
        <w:rPr>
          <w:rFonts w:ascii="Times New Roman" w:eastAsia="Times New Roman" w:hAnsi="Times New Roman" w:cs="Times New Roman"/>
          <w:sz w:val="24"/>
          <w:szCs w:val="20"/>
        </w:rPr>
        <w:t>Минимална работна заплата</w:t>
      </w:r>
    </w:p>
    <w:p w14:paraId="32496171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0515">
        <w:rPr>
          <w:rFonts w:ascii="Times New Roman" w:eastAsia="Times New Roman" w:hAnsi="Times New Roman" w:cs="Times New Roman"/>
          <w:sz w:val="24"/>
          <w:szCs w:val="20"/>
        </w:rPr>
        <w:t>Предлагане на труд (работна сила)</w:t>
      </w:r>
    </w:p>
    <w:p w14:paraId="442BF482" w14:textId="1C69D76F" w:rsidR="00BA4DD6" w:rsidRPr="00DA0515" w:rsidRDefault="0063175B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Производителност на труда (о</w:t>
      </w:r>
      <w:r w:rsidR="00BA4DD6" w:rsidRPr="00DA0515">
        <w:rPr>
          <w:rFonts w:ascii="Times New Roman" w:eastAsia="Times New Roman" w:hAnsi="Times New Roman" w:cs="Times New Roman"/>
          <w:sz w:val="24"/>
          <w:szCs w:val="20"/>
        </w:rPr>
        <w:t>бща факторна производителност)</w:t>
      </w:r>
    </w:p>
    <w:p w14:paraId="654FEB80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DA0515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Финансов сектор</w:t>
      </w:r>
    </w:p>
    <w:p w14:paraId="460A8A41" w14:textId="77777777" w:rsidR="00BA4DD6" w:rsidRPr="00DA0515" w:rsidRDefault="00205F4A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515">
        <w:rPr>
          <w:rFonts w:ascii="Times New Roman" w:eastAsia="Times New Roman" w:hAnsi="Times New Roman" w:cs="Times New Roman"/>
          <w:sz w:val="24"/>
          <w:szCs w:val="24"/>
        </w:rPr>
        <w:t>LIBOR</w:t>
      </w:r>
    </w:p>
    <w:p w14:paraId="1D66CA04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515">
        <w:rPr>
          <w:rFonts w:ascii="Times New Roman" w:eastAsia="Times New Roman" w:hAnsi="Times New Roman" w:cs="Times New Roman"/>
          <w:sz w:val="24"/>
          <w:szCs w:val="24"/>
        </w:rPr>
        <w:t>Лихвен процент по депозитно улеснение на ЕЦБ</w:t>
      </w:r>
    </w:p>
    <w:p w14:paraId="0B60AC3C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DA0515">
        <w:rPr>
          <w:rFonts w:ascii="Times New Roman" w:eastAsia="Times New Roman" w:hAnsi="Times New Roman" w:cs="Times New Roman"/>
          <w:sz w:val="24"/>
          <w:szCs w:val="24"/>
        </w:rPr>
        <w:t>Парично предлагане (М3) в еврозоната</w:t>
      </w:r>
    </w:p>
    <w:p w14:paraId="16BC36CB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DA0515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lastRenderedPageBreak/>
        <w:t>Фискален сектор</w:t>
      </w:r>
    </w:p>
    <w:p w14:paraId="4D8EB7AD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0515">
        <w:rPr>
          <w:rFonts w:ascii="Times New Roman" w:eastAsia="Times New Roman" w:hAnsi="Times New Roman" w:cs="Times New Roman"/>
          <w:sz w:val="24"/>
          <w:szCs w:val="20"/>
        </w:rPr>
        <w:t>Правителствени инвестиции</w:t>
      </w:r>
    </w:p>
    <w:p w14:paraId="77294EF2" w14:textId="77777777" w:rsidR="00BA4DD6" w:rsidRPr="00DA0515" w:rsidRDefault="00BA4DD6" w:rsidP="00BA4DD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0515">
        <w:rPr>
          <w:rFonts w:ascii="Times New Roman" w:eastAsia="Times New Roman" w:hAnsi="Times New Roman" w:cs="Times New Roman"/>
          <w:sz w:val="24"/>
          <w:szCs w:val="20"/>
        </w:rPr>
        <w:t>Компенсации на наетите/Средства за работна заплата</w:t>
      </w:r>
    </w:p>
    <w:p w14:paraId="06C697B9" w14:textId="77777777" w:rsidR="00C13D08" w:rsidRPr="00DA0515" w:rsidRDefault="00C13D08" w:rsidP="00C13D08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0515">
        <w:rPr>
          <w:rFonts w:ascii="Times New Roman" w:eastAsia="Times New Roman" w:hAnsi="Times New Roman" w:cs="Times New Roman"/>
          <w:sz w:val="24"/>
          <w:szCs w:val="20"/>
        </w:rPr>
        <w:t>Правителствено потребление.</w:t>
      </w:r>
    </w:p>
    <w:p w14:paraId="0BB746CA" w14:textId="0D0AB5AD" w:rsidR="00023E21" w:rsidRPr="00DA0515" w:rsidRDefault="0076680D" w:rsidP="00023E21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По-долу е приложен и с</w:t>
      </w:r>
      <w:r w:rsidR="00023E21" w:rsidRPr="00DA0515">
        <w:rPr>
          <w:rFonts w:ascii="Times New Roman" w:hAnsi="Times New Roman" w:cs="Times New Roman"/>
          <w:sz w:val="24"/>
          <w:szCs w:val="24"/>
        </w:rPr>
        <w:t xml:space="preserve">писък с индикативни </w:t>
      </w:r>
      <w:r w:rsidR="00BE2BBB" w:rsidRPr="00DA0515">
        <w:rPr>
          <w:rFonts w:ascii="Times New Roman" w:hAnsi="Times New Roman" w:cs="Times New Roman"/>
          <w:sz w:val="24"/>
          <w:szCs w:val="24"/>
        </w:rPr>
        <w:t xml:space="preserve">ендогенни </w:t>
      </w:r>
      <w:r w:rsidR="00023E21" w:rsidRPr="00DA0515">
        <w:rPr>
          <w:rFonts w:ascii="Times New Roman" w:hAnsi="Times New Roman" w:cs="Times New Roman"/>
          <w:sz w:val="24"/>
          <w:szCs w:val="24"/>
        </w:rPr>
        <w:t xml:space="preserve">променливи, </w:t>
      </w:r>
      <w:r w:rsidRPr="00DA0515">
        <w:rPr>
          <w:rFonts w:ascii="Times New Roman" w:hAnsi="Times New Roman" w:cs="Times New Roman"/>
          <w:sz w:val="24"/>
          <w:szCs w:val="24"/>
        </w:rPr>
        <w:t xml:space="preserve">върху </w:t>
      </w:r>
      <w:r w:rsidR="00023E21" w:rsidRPr="00DA0515">
        <w:rPr>
          <w:rFonts w:ascii="Times New Roman" w:hAnsi="Times New Roman" w:cs="Times New Roman"/>
          <w:sz w:val="24"/>
          <w:szCs w:val="24"/>
        </w:rPr>
        <w:t xml:space="preserve">които </w:t>
      </w:r>
      <w:r w:rsidRPr="00DA0515">
        <w:rPr>
          <w:rFonts w:ascii="Times New Roman" w:hAnsi="Times New Roman" w:cs="Times New Roman"/>
          <w:sz w:val="24"/>
          <w:szCs w:val="24"/>
        </w:rPr>
        <w:t xml:space="preserve">може </w:t>
      </w:r>
      <w:r w:rsidR="00023E21" w:rsidRPr="00DA0515">
        <w:rPr>
          <w:rFonts w:ascii="Times New Roman" w:hAnsi="Times New Roman" w:cs="Times New Roman"/>
          <w:sz w:val="24"/>
          <w:szCs w:val="24"/>
        </w:rPr>
        <w:t xml:space="preserve">да се </w:t>
      </w:r>
      <w:r w:rsidRPr="00DA0515">
        <w:rPr>
          <w:rFonts w:ascii="Times New Roman" w:hAnsi="Times New Roman" w:cs="Times New Roman"/>
          <w:sz w:val="24"/>
          <w:szCs w:val="24"/>
        </w:rPr>
        <w:t>изследва</w:t>
      </w:r>
      <w:r w:rsidR="00804A9A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="00915E75" w:rsidRPr="00DA0515">
        <w:rPr>
          <w:rFonts w:ascii="Times New Roman" w:hAnsi="Times New Roman" w:cs="Times New Roman"/>
          <w:sz w:val="24"/>
          <w:szCs w:val="24"/>
        </w:rPr>
        <w:t>влиянието на</w:t>
      </w:r>
      <w:r w:rsidR="00023E21" w:rsidRPr="00DA0515">
        <w:rPr>
          <w:rFonts w:ascii="Times New Roman" w:hAnsi="Times New Roman" w:cs="Times New Roman"/>
          <w:sz w:val="24"/>
          <w:szCs w:val="24"/>
        </w:rPr>
        <w:t xml:space="preserve"> шокове</w:t>
      </w:r>
      <w:r w:rsidR="00915E75" w:rsidRPr="00DA0515">
        <w:rPr>
          <w:rFonts w:ascii="Times New Roman" w:hAnsi="Times New Roman" w:cs="Times New Roman"/>
          <w:sz w:val="24"/>
          <w:szCs w:val="24"/>
        </w:rPr>
        <w:t>те</w:t>
      </w:r>
      <w:r w:rsidR="00023E21" w:rsidRPr="00DA0515">
        <w:rPr>
          <w:rFonts w:ascii="Times New Roman" w:hAnsi="Times New Roman" w:cs="Times New Roman"/>
          <w:sz w:val="24"/>
          <w:szCs w:val="24"/>
        </w:rPr>
        <w:t xml:space="preserve"> в отделните сектори</w:t>
      </w:r>
      <w:r w:rsidR="00915E75" w:rsidRPr="00DA0515">
        <w:rPr>
          <w:rFonts w:ascii="Times New Roman" w:hAnsi="Times New Roman" w:cs="Times New Roman"/>
          <w:sz w:val="24"/>
          <w:szCs w:val="24"/>
        </w:rPr>
        <w:t>.</w:t>
      </w:r>
      <w:r w:rsidR="00023E21" w:rsidRPr="00DA0515">
        <w:rPr>
          <w:rFonts w:ascii="Times New Roman" w:hAnsi="Times New Roman" w:cs="Times New Roman"/>
          <w:sz w:val="24"/>
          <w:szCs w:val="24"/>
        </w:rPr>
        <w:t xml:space="preserve"> </w:t>
      </w:r>
      <w:r w:rsidR="00915E75" w:rsidRPr="00DA0515">
        <w:rPr>
          <w:rFonts w:ascii="Times New Roman" w:hAnsi="Times New Roman" w:cs="Times New Roman"/>
          <w:sz w:val="24"/>
          <w:szCs w:val="24"/>
        </w:rPr>
        <w:t>Този списък</w:t>
      </w:r>
      <w:r w:rsidR="00023E21" w:rsidRPr="00DA0515">
        <w:rPr>
          <w:rFonts w:ascii="Times New Roman" w:hAnsi="Times New Roman" w:cs="Times New Roman"/>
          <w:sz w:val="24"/>
          <w:szCs w:val="24"/>
        </w:rPr>
        <w:t xml:space="preserve"> може да бъде доуточняван в хода на изпълнение на </w:t>
      </w:r>
      <w:r w:rsidR="0063175B">
        <w:rPr>
          <w:rFonts w:ascii="Times New Roman" w:hAnsi="Times New Roman" w:cs="Times New Roman"/>
          <w:sz w:val="24"/>
          <w:szCs w:val="24"/>
        </w:rPr>
        <w:t>поръчката</w:t>
      </w:r>
      <w:r w:rsidR="00023E21" w:rsidRPr="00DA0515">
        <w:rPr>
          <w:rFonts w:ascii="Times New Roman" w:hAnsi="Times New Roman" w:cs="Times New Roman"/>
          <w:sz w:val="24"/>
          <w:szCs w:val="24"/>
        </w:rPr>
        <w:t xml:space="preserve"> и промените в него следва да стават само с одобрението на Възложителя:</w:t>
      </w:r>
    </w:p>
    <w:p w14:paraId="112357CD" w14:textId="77777777" w:rsidR="000D64BD" w:rsidRPr="00DA0515" w:rsidRDefault="000D64BD" w:rsidP="000D64BD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БВП по компоненти (текущи и постоянни цени)</w:t>
      </w:r>
    </w:p>
    <w:p w14:paraId="13EC1197" w14:textId="77777777" w:rsidR="000D64BD" w:rsidRPr="00DA0515" w:rsidRDefault="000D64BD" w:rsidP="000D64BD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0515">
        <w:rPr>
          <w:rFonts w:ascii="Times New Roman" w:hAnsi="Times New Roman" w:cs="Times New Roman"/>
          <w:sz w:val="24"/>
          <w:szCs w:val="24"/>
        </w:rPr>
        <w:t>Дефлатор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 на БВП по компоненти</w:t>
      </w:r>
    </w:p>
    <w:p w14:paraId="626B9795" w14:textId="77777777" w:rsidR="000D64BD" w:rsidRPr="00DA0515" w:rsidRDefault="000D64BD" w:rsidP="000D64BD">
      <w:pPr>
        <w:pStyle w:val="ListParagraph"/>
        <w:numPr>
          <w:ilvl w:val="0"/>
          <w:numId w:val="8"/>
        </w:numPr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Текуща сметка</w:t>
      </w:r>
    </w:p>
    <w:p w14:paraId="54A32524" w14:textId="77777777" w:rsidR="000D64BD" w:rsidRPr="00DA0515" w:rsidRDefault="000D64BD" w:rsidP="000D64BD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Инфлация</w:t>
      </w:r>
    </w:p>
    <w:p w14:paraId="11D4B324" w14:textId="08099257" w:rsidR="000D64BD" w:rsidRPr="00DA0515" w:rsidRDefault="000D64BD" w:rsidP="000D64BD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Търсене на труд (заетост)</w:t>
      </w:r>
    </w:p>
    <w:p w14:paraId="27E9367C" w14:textId="77777777" w:rsidR="000D64BD" w:rsidRPr="00DA0515" w:rsidRDefault="000D64BD" w:rsidP="000D64BD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Безработица </w:t>
      </w:r>
    </w:p>
    <w:p w14:paraId="38DBF4AF" w14:textId="77777777" w:rsidR="000D64BD" w:rsidRPr="00DA0515" w:rsidRDefault="000D64BD" w:rsidP="000D64BD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Работна заплата</w:t>
      </w:r>
    </w:p>
    <w:p w14:paraId="6946BBE8" w14:textId="15F98B1D" w:rsidR="000D64BD" w:rsidRPr="00DA0515" w:rsidRDefault="000D64BD" w:rsidP="00FD6406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Основни приходни групи</w:t>
      </w:r>
      <w:r w:rsidR="00F35B96" w:rsidRPr="00DA0515">
        <w:rPr>
          <w:rFonts w:ascii="Times New Roman" w:hAnsi="Times New Roman" w:cs="Times New Roman"/>
          <w:sz w:val="24"/>
          <w:szCs w:val="24"/>
        </w:rPr>
        <w:t xml:space="preserve"> от бюджета</w:t>
      </w:r>
      <w:r w:rsidRPr="00DA0515">
        <w:rPr>
          <w:rFonts w:ascii="Times New Roman" w:hAnsi="Times New Roman" w:cs="Times New Roman"/>
          <w:sz w:val="24"/>
          <w:szCs w:val="24"/>
        </w:rPr>
        <w:t>: преки данъци (</w:t>
      </w:r>
      <w:r w:rsidR="0063175B">
        <w:rPr>
          <w:rFonts w:ascii="Times New Roman" w:hAnsi="Times New Roman" w:cs="Times New Roman"/>
          <w:sz w:val="24"/>
          <w:szCs w:val="24"/>
        </w:rPr>
        <w:t>корпоративен данък</w:t>
      </w:r>
      <w:r w:rsidRPr="00DA0515">
        <w:rPr>
          <w:rFonts w:ascii="Times New Roman" w:hAnsi="Times New Roman" w:cs="Times New Roman"/>
          <w:sz w:val="24"/>
          <w:szCs w:val="24"/>
        </w:rPr>
        <w:t xml:space="preserve">, </w:t>
      </w:r>
      <w:r w:rsidR="0063175B">
        <w:rPr>
          <w:rFonts w:ascii="Times New Roman" w:hAnsi="Times New Roman" w:cs="Times New Roman"/>
          <w:sz w:val="24"/>
          <w:szCs w:val="24"/>
        </w:rPr>
        <w:t>данък върху доходите на физическите лица (</w:t>
      </w:r>
      <w:r w:rsidRPr="00DA0515">
        <w:rPr>
          <w:rFonts w:ascii="Times New Roman" w:hAnsi="Times New Roman" w:cs="Times New Roman"/>
          <w:sz w:val="24"/>
          <w:szCs w:val="24"/>
        </w:rPr>
        <w:t>ДДФЛ)</w:t>
      </w:r>
      <w:r w:rsidR="0063175B">
        <w:rPr>
          <w:rFonts w:ascii="Times New Roman" w:hAnsi="Times New Roman" w:cs="Times New Roman"/>
          <w:sz w:val="24"/>
          <w:szCs w:val="24"/>
        </w:rPr>
        <w:t>)</w:t>
      </w:r>
      <w:r w:rsidR="00F35B96" w:rsidRPr="00DA0515">
        <w:rPr>
          <w:rFonts w:ascii="Times New Roman" w:hAnsi="Times New Roman" w:cs="Times New Roman"/>
          <w:sz w:val="24"/>
          <w:szCs w:val="24"/>
        </w:rPr>
        <w:t>,</w:t>
      </w:r>
      <w:r w:rsidRPr="00DA0515">
        <w:rPr>
          <w:rFonts w:ascii="Times New Roman" w:hAnsi="Times New Roman" w:cs="Times New Roman"/>
          <w:sz w:val="24"/>
          <w:szCs w:val="24"/>
        </w:rPr>
        <w:t xml:space="preserve"> косвени данъци (ДДС, акцизи, мита)</w:t>
      </w:r>
    </w:p>
    <w:p w14:paraId="59A3A76B" w14:textId="77777777" w:rsidR="000D64BD" w:rsidRPr="00DA0515" w:rsidRDefault="000D64BD" w:rsidP="007E57D5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Бюджетни разходи</w:t>
      </w:r>
    </w:p>
    <w:p w14:paraId="765AA28A" w14:textId="77777777" w:rsidR="000D64BD" w:rsidRPr="00DA0515" w:rsidRDefault="000D64BD" w:rsidP="007E57D5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Разходи за лихви</w:t>
      </w:r>
    </w:p>
    <w:p w14:paraId="0E1A6CD7" w14:textId="696CA7BD" w:rsidR="000D64BD" w:rsidRPr="00DA0515" w:rsidRDefault="000D64BD" w:rsidP="00E81242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Бюджетно салдо</w:t>
      </w:r>
    </w:p>
    <w:p w14:paraId="26CE2C61" w14:textId="77777777" w:rsidR="000D64BD" w:rsidRPr="00DA0515" w:rsidRDefault="000D64BD" w:rsidP="00E81242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Дълг на сектор „Държавно управление“</w:t>
      </w:r>
    </w:p>
    <w:p w14:paraId="4E894886" w14:textId="77777777" w:rsidR="000D64BD" w:rsidRPr="00DA0515" w:rsidRDefault="000D64BD" w:rsidP="00E81242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Дългосрочен лихвен процент за оценка на степента на конвергенция в България</w:t>
      </w:r>
    </w:p>
    <w:p w14:paraId="03B01ADE" w14:textId="77777777" w:rsidR="000D64BD" w:rsidRPr="00DA0515" w:rsidRDefault="000D64BD" w:rsidP="00E81242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Лихвен процент на междубанков паричен пазар</w:t>
      </w:r>
    </w:p>
    <w:p w14:paraId="1603767D" w14:textId="77777777" w:rsidR="000D64BD" w:rsidRPr="00DA0515" w:rsidRDefault="000D64BD" w:rsidP="00E81242">
      <w:pPr>
        <w:pStyle w:val="ListParagraph"/>
        <w:numPr>
          <w:ilvl w:val="0"/>
          <w:numId w:val="8"/>
        </w:numPr>
        <w:ind w:left="850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Пазарен лихвен процент по кредити.</w:t>
      </w:r>
    </w:p>
    <w:p w14:paraId="1DE569F6" w14:textId="77777777" w:rsidR="004E0746" w:rsidRPr="00DA0515" w:rsidRDefault="006F05A8">
      <w:pPr>
        <w:pStyle w:val="ListParagraph"/>
        <w:numPr>
          <w:ilvl w:val="0"/>
          <w:numId w:val="6"/>
        </w:numPr>
        <w:spacing w:before="120" w:after="120"/>
        <w:ind w:left="709" w:hanging="425"/>
        <w:contextualSpacing w:val="0"/>
        <w:jc w:val="both"/>
      </w:pPr>
      <w:r w:rsidRPr="00DA0515">
        <w:rPr>
          <w:rFonts w:ascii="Times New Roman" w:hAnsi="Times New Roman" w:cs="Times New Roman"/>
          <w:sz w:val="24"/>
          <w:szCs w:val="24"/>
        </w:rPr>
        <w:t>в допълнение към възможността за изследване на влиянието на отделни шокове, да дава възможност на Възложителя да изготвя комбинирани алтернативни сценарии – с ефекти от едновременното въздействие на повече от един шок;</w:t>
      </w:r>
    </w:p>
    <w:p w14:paraId="051EBFF6" w14:textId="77777777" w:rsidR="004E0746" w:rsidRPr="00DA0515" w:rsidRDefault="006F05A8">
      <w:pPr>
        <w:pStyle w:val="ListParagraph"/>
        <w:numPr>
          <w:ilvl w:val="0"/>
          <w:numId w:val="6"/>
        </w:numPr>
        <w:spacing w:before="120" w:after="120"/>
        <w:ind w:left="709" w:hanging="425"/>
        <w:contextualSpacing w:val="0"/>
        <w:jc w:val="both"/>
      </w:pPr>
      <w:r w:rsidRPr="00DA0515">
        <w:rPr>
          <w:rFonts w:ascii="Times New Roman" w:hAnsi="Times New Roman" w:cs="Times New Roman"/>
          <w:sz w:val="24"/>
          <w:szCs w:val="24"/>
        </w:rPr>
        <w:t>да осигурява логическа свързаност със средносрочния модел за прогнозиране на МФ и с бюджетните прогнози;</w:t>
      </w:r>
    </w:p>
    <w:p w14:paraId="07B6FFAF" w14:textId="086BEE5B" w:rsidR="004E0746" w:rsidRPr="00043562" w:rsidRDefault="006F05A8" w:rsidP="00043562">
      <w:pPr>
        <w:pStyle w:val="ListParagraph"/>
        <w:numPr>
          <w:ilvl w:val="0"/>
          <w:numId w:val="6"/>
        </w:numPr>
        <w:spacing w:after="120" w:line="240" w:lineRule="auto"/>
        <w:ind w:left="709" w:hanging="425"/>
        <w:contextualSpacing w:val="0"/>
        <w:jc w:val="both"/>
      </w:pPr>
      <w:r w:rsidRPr="00DA0515">
        <w:rPr>
          <w:rFonts w:ascii="Times New Roman" w:hAnsi="Times New Roman" w:cs="Times New Roman"/>
          <w:sz w:val="24"/>
          <w:szCs w:val="24"/>
        </w:rPr>
        <w:lastRenderedPageBreak/>
        <w:t>да позволява анализ на чувствителността на макроикономическите и бюджетните прогнози, като се представят измененията спрямо официалните прогнози на МФ или избран базов сценарий за основните макроикономически променливи от секторите реален (вкл. пазар на труда), външен, финансов и на основните фискални променливи</w:t>
      </w:r>
      <w:r w:rsidR="00125650">
        <w:rPr>
          <w:rFonts w:ascii="Times New Roman" w:hAnsi="Times New Roman" w:cs="Times New Roman"/>
          <w:sz w:val="24"/>
          <w:szCs w:val="24"/>
        </w:rPr>
        <w:t>;</w:t>
      </w:r>
    </w:p>
    <w:p w14:paraId="77C5C345" w14:textId="723FDB3C" w:rsidR="00125650" w:rsidRPr="00FA3B93" w:rsidRDefault="001B383E" w:rsidP="00043562">
      <w:pPr>
        <w:pStyle w:val="ListParagraph"/>
        <w:numPr>
          <w:ilvl w:val="0"/>
          <w:numId w:val="6"/>
        </w:numPr>
        <w:spacing w:after="120" w:line="240" w:lineRule="auto"/>
        <w:ind w:left="709" w:hanging="425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авторските</w:t>
      </w:r>
      <w:r w:rsidR="00125650">
        <w:rPr>
          <w:rFonts w:ascii="Times New Roman" w:hAnsi="Times New Roman" w:cs="Times New Roman"/>
          <w:sz w:val="24"/>
          <w:szCs w:val="24"/>
        </w:rPr>
        <w:t xml:space="preserve"> права върху </w:t>
      </w:r>
      <w:r w:rsidR="00635168">
        <w:rPr>
          <w:rFonts w:ascii="Times New Roman" w:hAnsi="Times New Roman" w:cs="Times New Roman"/>
          <w:sz w:val="24"/>
          <w:szCs w:val="24"/>
        </w:rPr>
        <w:t xml:space="preserve">създадения </w:t>
      </w:r>
      <w:r w:rsidR="00125650">
        <w:rPr>
          <w:rFonts w:ascii="Times New Roman" w:hAnsi="Times New Roman" w:cs="Times New Roman"/>
          <w:sz w:val="24"/>
          <w:szCs w:val="24"/>
        </w:rPr>
        <w:t xml:space="preserve">макроикономически модел за оценка на ефекти върху основни макроикономически и бюджетни показатели </w:t>
      </w:r>
      <w:r>
        <w:rPr>
          <w:rFonts w:ascii="Times New Roman" w:hAnsi="Times New Roman" w:cs="Times New Roman"/>
          <w:sz w:val="24"/>
          <w:szCs w:val="24"/>
        </w:rPr>
        <w:t>преминават</w:t>
      </w:r>
      <w:r w:rsidR="001256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върху</w:t>
      </w:r>
      <w:r w:rsidR="00125650">
        <w:rPr>
          <w:rFonts w:ascii="Times New Roman" w:hAnsi="Times New Roman" w:cs="Times New Roman"/>
          <w:sz w:val="24"/>
          <w:szCs w:val="24"/>
        </w:rPr>
        <w:t xml:space="preserve"> Възложителя</w:t>
      </w:r>
      <w:r>
        <w:rPr>
          <w:rFonts w:ascii="Times New Roman" w:hAnsi="Times New Roman" w:cs="Times New Roman"/>
          <w:sz w:val="24"/>
          <w:szCs w:val="24"/>
        </w:rPr>
        <w:t xml:space="preserve"> от момента на приемането му от Възложителя.</w:t>
      </w:r>
    </w:p>
    <w:p w14:paraId="2E421151" w14:textId="77777777" w:rsidR="00A27A8E" w:rsidRPr="00DA0515" w:rsidRDefault="00A27A8E" w:rsidP="00FA3B93">
      <w:pPr>
        <w:pStyle w:val="ListParagraph"/>
        <w:spacing w:after="0" w:line="240" w:lineRule="auto"/>
        <w:ind w:left="709"/>
        <w:contextualSpacing w:val="0"/>
        <w:jc w:val="both"/>
      </w:pPr>
    </w:p>
    <w:p w14:paraId="677E32F5" w14:textId="77777777" w:rsidR="00490D6C" w:rsidRDefault="00490D6C" w:rsidP="00043562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>Форма и представяне на резултатите от изпълнението</w:t>
      </w:r>
    </w:p>
    <w:p w14:paraId="5BCB9BBF" w14:textId="77777777" w:rsidR="00A27A8E" w:rsidRPr="00DA0515" w:rsidRDefault="00A27A8E" w:rsidP="00043562">
      <w:pPr>
        <w:pStyle w:val="ListParagraph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6F75CAF3" w14:textId="77777777" w:rsidR="00490D6C" w:rsidRPr="00DA0515" w:rsidRDefault="00490D6C" w:rsidP="00D85D4F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Изпълнителят се задължава да предостави следните документи (на хартиен и електронен носител):</w:t>
      </w:r>
    </w:p>
    <w:p w14:paraId="14F7C657" w14:textId="16CA7F84" w:rsidR="00490D6C" w:rsidRPr="00DA0515" w:rsidRDefault="00490D6C" w:rsidP="00D85D4F">
      <w:pPr>
        <w:pStyle w:val="ListParagraph"/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•</w:t>
      </w:r>
      <w:r w:rsidRPr="00DA0515">
        <w:rPr>
          <w:rFonts w:ascii="Times New Roman" w:hAnsi="Times New Roman" w:cs="Times New Roman"/>
          <w:sz w:val="24"/>
          <w:szCs w:val="24"/>
        </w:rPr>
        <w:tab/>
        <w:t xml:space="preserve">Встъпителен доклад, съдържащ </w:t>
      </w:r>
      <w:r w:rsidR="007366EC">
        <w:rPr>
          <w:rFonts w:ascii="Times New Roman" w:hAnsi="Times New Roman" w:cs="Times New Roman"/>
          <w:sz w:val="24"/>
          <w:szCs w:val="24"/>
        </w:rPr>
        <w:t xml:space="preserve">подробен </w:t>
      </w:r>
      <w:r w:rsidRPr="00DA0515">
        <w:rPr>
          <w:rFonts w:ascii="Times New Roman" w:hAnsi="Times New Roman" w:cs="Times New Roman"/>
          <w:sz w:val="24"/>
          <w:szCs w:val="24"/>
        </w:rPr>
        <w:t>план за работа</w:t>
      </w:r>
      <w:r w:rsidR="007366EC">
        <w:rPr>
          <w:rFonts w:ascii="Times New Roman" w:hAnsi="Times New Roman" w:cs="Times New Roman"/>
          <w:sz w:val="24"/>
          <w:szCs w:val="24"/>
        </w:rPr>
        <w:t>, с посочени срокове за изпълнение на дейностите</w:t>
      </w:r>
      <w:r w:rsidRPr="00DA0515">
        <w:rPr>
          <w:rFonts w:ascii="Times New Roman" w:hAnsi="Times New Roman" w:cs="Times New Roman"/>
          <w:sz w:val="24"/>
          <w:szCs w:val="24"/>
        </w:rPr>
        <w:t xml:space="preserve">, който следва да бъде представен с 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приемо-предавателен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 протокол за одобрение от Възложителя до 10 работни дни след провеждане на Встъпителната среща. Встъпителна среща се провежда до 5 работни дни след подписване на договора. Възложителят разполага с до 5 работни дни за разглеждане и представяне на коментари, които Изпълнителят следва да отрази в срок до 5 работни дни. Докладът се одобрява с двустранно подписан констативен протокол.</w:t>
      </w:r>
    </w:p>
    <w:p w14:paraId="0080A70A" w14:textId="6E76AD6C" w:rsidR="00490D6C" w:rsidRPr="00DA0515" w:rsidRDefault="00490D6C" w:rsidP="00D85D4F">
      <w:pPr>
        <w:pStyle w:val="ListParagraph"/>
        <w:spacing w:before="120" w:after="120"/>
        <w:ind w:left="709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>•</w:t>
      </w:r>
      <w:r w:rsidRPr="00DA0515">
        <w:rPr>
          <w:rFonts w:ascii="Times New Roman" w:hAnsi="Times New Roman" w:cs="Times New Roman"/>
          <w:sz w:val="24"/>
          <w:szCs w:val="24"/>
        </w:rPr>
        <w:tab/>
        <w:t>Окончателен доклад, съдържащ описание на резултатите от всички извършени дейности, както и приложен</w:t>
      </w:r>
      <w:r w:rsidR="005443CF">
        <w:rPr>
          <w:rFonts w:ascii="Times New Roman" w:hAnsi="Times New Roman" w:cs="Times New Roman"/>
          <w:sz w:val="24"/>
          <w:szCs w:val="24"/>
        </w:rPr>
        <w:t>и</w:t>
      </w:r>
      <w:r w:rsidRPr="00DA0515">
        <w:rPr>
          <w:rFonts w:ascii="Times New Roman" w:hAnsi="Times New Roman" w:cs="Times New Roman"/>
          <w:sz w:val="24"/>
          <w:szCs w:val="24"/>
        </w:rPr>
        <w:t xml:space="preserve"> към него Ръководство за работа с модела</w:t>
      </w:r>
      <w:r w:rsidR="005443CF">
        <w:rPr>
          <w:rFonts w:ascii="Times New Roman" w:hAnsi="Times New Roman" w:cs="Times New Roman"/>
          <w:sz w:val="24"/>
          <w:szCs w:val="24"/>
        </w:rPr>
        <w:t xml:space="preserve"> и техническа документация, детайлно описваща модела. Окончателният доклад</w:t>
      </w:r>
      <w:r w:rsidRPr="00DA0515">
        <w:rPr>
          <w:rFonts w:ascii="Times New Roman" w:hAnsi="Times New Roman" w:cs="Times New Roman"/>
          <w:sz w:val="24"/>
          <w:szCs w:val="24"/>
        </w:rPr>
        <w:t xml:space="preserve"> следва да бъде представен с </w:t>
      </w:r>
      <w:proofErr w:type="spellStart"/>
      <w:r w:rsidRPr="00DA0515">
        <w:rPr>
          <w:rFonts w:ascii="Times New Roman" w:hAnsi="Times New Roman" w:cs="Times New Roman"/>
          <w:sz w:val="24"/>
          <w:szCs w:val="24"/>
        </w:rPr>
        <w:t>приемо-предавателен</w:t>
      </w:r>
      <w:proofErr w:type="spellEnd"/>
      <w:r w:rsidRPr="00DA0515">
        <w:rPr>
          <w:rFonts w:ascii="Times New Roman" w:hAnsi="Times New Roman" w:cs="Times New Roman"/>
          <w:sz w:val="24"/>
          <w:szCs w:val="24"/>
        </w:rPr>
        <w:t xml:space="preserve"> протокол за одобрение от Възложителя в срок не по-късно от 25 дни преди изтичане</w:t>
      </w:r>
      <w:r w:rsidR="00076A55">
        <w:rPr>
          <w:rFonts w:ascii="Times New Roman" w:hAnsi="Times New Roman" w:cs="Times New Roman"/>
          <w:sz w:val="24"/>
          <w:szCs w:val="24"/>
        </w:rPr>
        <w:t xml:space="preserve"> срока</w:t>
      </w:r>
      <w:r w:rsidRPr="00DA0515">
        <w:rPr>
          <w:rFonts w:ascii="Times New Roman" w:hAnsi="Times New Roman" w:cs="Times New Roman"/>
          <w:sz w:val="24"/>
          <w:szCs w:val="24"/>
        </w:rPr>
        <w:t xml:space="preserve"> на договора. Възложителят разполага със срок до 5 работни дни за разглеждане и представяне на коментари по предоставените документи, които Изпълнителят следва да отрази в срок до 3 работни дни. Окончателният доклад и Ръководството се одобряват с двустранно подписан констативен протокол. </w:t>
      </w:r>
    </w:p>
    <w:p w14:paraId="6294DD48" w14:textId="77777777" w:rsidR="004E0746" w:rsidRPr="00DA0515" w:rsidRDefault="006F05A8" w:rsidP="009528EC">
      <w:pPr>
        <w:pStyle w:val="ListParagraph"/>
        <w:numPr>
          <w:ilvl w:val="0"/>
          <w:numId w:val="1"/>
        </w:numPr>
        <w:spacing w:after="120"/>
        <w:ind w:left="709" w:hanging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515">
        <w:rPr>
          <w:rFonts w:ascii="Times New Roman" w:hAnsi="Times New Roman" w:cs="Times New Roman"/>
          <w:b/>
          <w:sz w:val="24"/>
          <w:szCs w:val="24"/>
        </w:rPr>
        <w:t>Срок за изпълнение</w:t>
      </w:r>
    </w:p>
    <w:p w14:paraId="62CFF86D" w14:textId="7B494349" w:rsidR="005C1950" w:rsidRPr="00DA0515" w:rsidRDefault="009528EC" w:rsidP="009528EC">
      <w:pPr>
        <w:pStyle w:val="ListParagraph"/>
        <w:spacing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515">
        <w:rPr>
          <w:rFonts w:ascii="Times New Roman" w:hAnsi="Times New Roman" w:cs="Times New Roman"/>
          <w:sz w:val="24"/>
          <w:szCs w:val="24"/>
        </w:rPr>
        <w:t xml:space="preserve">Периодът на изпълнение на поръчката е до </w:t>
      </w:r>
      <w:r w:rsidR="00A309C8" w:rsidRPr="00DA0515">
        <w:rPr>
          <w:rFonts w:ascii="Times New Roman" w:hAnsi="Times New Roman" w:cs="Times New Roman"/>
          <w:sz w:val="24"/>
          <w:szCs w:val="24"/>
        </w:rPr>
        <w:t>12</w:t>
      </w:r>
      <w:r w:rsidRPr="00DA0515">
        <w:rPr>
          <w:rFonts w:ascii="Times New Roman" w:hAnsi="Times New Roman" w:cs="Times New Roman"/>
          <w:sz w:val="24"/>
          <w:szCs w:val="24"/>
        </w:rPr>
        <w:t xml:space="preserve"> месеца от подписването на договора.</w:t>
      </w:r>
    </w:p>
    <w:sectPr w:rsidR="005C1950" w:rsidRPr="00DA0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3E85D" w14:textId="77777777" w:rsidR="00206FC2" w:rsidRDefault="00206FC2">
      <w:pPr>
        <w:spacing w:after="0" w:line="240" w:lineRule="auto"/>
      </w:pPr>
      <w:r>
        <w:separator/>
      </w:r>
    </w:p>
  </w:endnote>
  <w:endnote w:type="continuationSeparator" w:id="0">
    <w:p w14:paraId="52B07E7D" w14:textId="77777777" w:rsidR="00206FC2" w:rsidRDefault="00206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026D4" w14:textId="77777777" w:rsidR="00255582" w:rsidRDefault="002555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18456"/>
      <w:docPartObj>
        <w:docPartGallery w:val="Page Numbers (Bottom of Page)"/>
        <w:docPartUnique/>
      </w:docPartObj>
    </w:sdtPr>
    <w:sdtEndPr/>
    <w:sdtContent>
      <w:p w14:paraId="2C6BCCBC" w14:textId="5F2B4DC0" w:rsidR="007637FD" w:rsidRDefault="007637FD">
        <w:pPr>
          <w:pStyle w:val="Footer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255582">
          <w:rPr>
            <w:noProof/>
          </w:rPr>
          <w:t>1</w:t>
        </w:r>
        <w:r>
          <w:fldChar w:fldCharType="end"/>
        </w:r>
      </w:p>
    </w:sdtContent>
  </w:sdt>
  <w:p w14:paraId="3E9A0EF4" w14:textId="77777777" w:rsidR="007637FD" w:rsidRDefault="007637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D5EE7" w14:textId="77777777" w:rsidR="00255582" w:rsidRDefault="002555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209D66" w14:textId="77777777" w:rsidR="00206FC2" w:rsidRDefault="00206FC2">
      <w:pPr>
        <w:spacing w:after="0" w:line="240" w:lineRule="auto"/>
      </w:pPr>
      <w:r>
        <w:separator/>
      </w:r>
    </w:p>
  </w:footnote>
  <w:footnote w:type="continuationSeparator" w:id="0">
    <w:p w14:paraId="2FB5D059" w14:textId="77777777" w:rsidR="00206FC2" w:rsidRDefault="00206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9CFCE" w14:textId="77777777" w:rsidR="00255582" w:rsidRDefault="002555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B6335" w14:textId="766D2359" w:rsidR="007637FD" w:rsidRPr="00255582" w:rsidRDefault="00255582">
    <w:pPr>
      <w:pStyle w:val="Header"/>
      <w:jc w:val="right"/>
      <w:rPr>
        <w:rFonts w:ascii="Times New Roman" w:hAnsi="Times New Roman" w:cs="Times New Roman"/>
        <w:b/>
        <w:i/>
        <w:sz w:val="24"/>
        <w:szCs w:val="24"/>
      </w:rPr>
    </w:pPr>
    <w:r w:rsidRPr="008068CB">
      <w:rPr>
        <w:rFonts w:ascii="Times New Roman" w:hAnsi="Times New Roman"/>
        <w:b/>
        <w:i/>
      </w:rPr>
      <w:t>Образец</w:t>
    </w:r>
    <w:r w:rsidRPr="00255582">
      <w:rPr>
        <w:rFonts w:ascii="Times New Roman" w:hAnsi="Times New Roman" w:cs="Times New Roman"/>
        <w:b/>
        <w:i/>
        <w:sz w:val="24"/>
        <w:szCs w:val="24"/>
      </w:rPr>
      <w:t xml:space="preserve"> </w:t>
    </w:r>
    <w:r>
      <w:rPr>
        <w:rFonts w:ascii="Times New Roman" w:hAnsi="Times New Roman" w:cs="Times New Roman"/>
        <w:b/>
        <w:i/>
        <w:sz w:val="24"/>
        <w:szCs w:val="24"/>
      </w:rPr>
      <w:t xml:space="preserve">                                                                                                          </w:t>
    </w:r>
    <w:bookmarkStart w:id="0" w:name="_GoBack"/>
    <w:bookmarkEnd w:id="0"/>
    <w:r w:rsidR="00A27A8E" w:rsidRPr="00255582">
      <w:rPr>
        <w:rFonts w:ascii="Times New Roman" w:hAnsi="Times New Roman" w:cs="Times New Roman"/>
        <w:b/>
        <w:i/>
        <w:sz w:val="24"/>
        <w:szCs w:val="24"/>
      </w:rPr>
      <w:t xml:space="preserve">Приложение № 1 </w:t>
    </w:r>
  </w:p>
  <w:p w14:paraId="2509A1E0" w14:textId="77777777" w:rsidR="007637FD" w:rsidRDefault="007637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A6F62" w14:textId="77777777" w:rsidR="00255582" w:rsidRDefault="002555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AD6"/>
    <w:multiLevelType w:val="hybridMultilevel"/>
    <w:tmpl w:val="948C4B26"/>
    <w:lvl w:ilvl="0" w:tplc="0402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F01486C"/>
    <w:multiLevelType w:val="multilevel"/>
    <w:tmpl w:val="3864B4F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138D2BFD"/>
    <w:multiLevelType w:val="multilevel"/>
    <w:tmpl w:val="841A7DE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29920EDD"/>
    <w:multiLevelType w:val="multilevel"/>
    <w:tmpl w:val="D05AC1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9A14444"/>
    <w:multiLevelType w:val="multilevel"/>
    <w:tmpl w:val="9AA099F8"/>
    <w:lvl w:ilvl="0">
      <w:start w:val="1"/>
      <w:numFmt w:val="upperRoman"/>
      <w:lvlText w:val="%1."/>
      <w:lvlJc w:val="right"/>
      <w:pPr>
        <w:ind w:left="1080" w:hanging="720"/>
      </w:pPr>
    </w:lvl>
    <w:lvl w:ilvl="1">
      <w:start w:val="1"/>
      <w:numFmt w:val="bullet"/>
      <w:lvlText w:val="•"/>
      <w:lvlJc w:val="left"/>
      <w:pPr>
        <w:ind w:left="1785" w:hanging="705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84472"/>
    <w:multiLevelType w:val="multilevel"/>
    <w:tmpl w:val="0974E9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CD135F2"/>
    <w:multiLevelType w:val="hybridMultilevel"/>
    <w:tmpl w:val="A6F6D574"/>
    <w:lvl w:ilvl="0" w:tplc="69102B9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BBB240F"/>
    <w:multiLevelType w:val="multilevel"/>
    <w:tmpl w:val="0A3CFE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42F036F"/>
    <w:multiLevelType w:val="hybridMultilevel"/>
    <w:tmpl w:val="CE7AC9A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72819EC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EE146FC"/>
    <w:multiLevelType w:val="multilevel"/>
    <w:tmpl w:val="C90A276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46"/>
    <w:rsid w:val="00001170"/>
    <w:rsid w:val="000116CB"/>
    <w:rsid w:val="000125CE"/>
    <w:rsid w:val="00023E21"/>
    <w:rsid w:val="000269AF"/>
    <w:rsid w:val="00036B32"/>
    <w:rsid w:val="00043562"/>
    <w:rsid w:val="0004693A"/>
    <w:rsid w:val="00076A55"/>
    <w:rsid w:val="000924C5"/>
    <w:rsid w:val="00095500"/>
    <w:rsid w:val="000A712E"/>
    <w:rsid w:val="000B27D1"/>
    <w:rsid w:val="000B737A"/>
    <w:rsid w:val="000D64BD"/>
    <w:rsid w:val="00115084"/>
    <w:rsid w:val="0012228D"/>
    <w:rsid w:val="00125650"/>
    <w:rsid w:val="0015298E"/>
    <w:rsid w:val="00157187"/>
    <w:rsid w:val="00176132"/>
    <w:rsid w:val="00181B2F"/>
    <w:rsid w:val="0018442D"/>
    <w:rsid w:val="0018628B"/>
    <w:rsid w:val="00187F3A"/>
    <w:rsid w:val="0019356E"/>
    <w:rsid w:val="001B383E"/>
    <w:rsid w:val="001B4191"/>
    <w:rsid w:val="001B5444"/>
    <w:rsid w:val="001E10F4"/>
    <w:rsid w:val="001F648A"/>
    <w:rsid w:val="00201AF6"/>
    <w:rsid w:val="00205F4A"/>
    <w:rsid w:val="00206FC2"/>
    <w:rsid w:val="0021116D"/>
    <w:rsid w:val="00223430"/>
    <w:rsid w:val="00253465"/>
    <w:rsid w:val="002535FC"/>
    <w:rsid w:val="002537C2"/>
    <w:rsid w:val="00255582"/>
    <w:rsid w:val="00260B50"/>
    <w:rsid w:val="0026105C"/>
    <w:rsid w:val="00274B0D"/>
    <w:rsid w:val="00283FB4"/>
    <w:rsid w:val="002870D5"/>
    <w:rsid w:val="002A272D"/>
    <w:rsid w:val="002A3507"/>
    <w:rsid w:val="00310026"/>
    <w:rsid w:val="00324942"/>
    <w:rsid w:val="003365EA"/>
    <w:rsid w:val="0036232C"/>
    <w:rsid w:val="00364A96"/>
    <w:rsid w:val="003712D1"/>
    <w:rsid w:val="003918A4"/>
    <w:rsid w:val="00394892"/>
    <w:rsid w:val="003A523F"/>
    <w:rsid w:val="003C5A8C"/>
    <w:rsid w:val="003F5813"/>
    <w:rsid w:val="00417D14"/>
    <w:rsid w:val="004255EB"/>
    <w:rsid w:val="00427AE8"/>
    <w:rsid w:val="004445DA"/>
    <w:rsid w:val="00452D7B"/>
    <w:rsid w:val="004560E4"/>
    <w:rsid w:val="00460BE0"/>
    <w:rsid w:val="004637F8"/>
    <w:rsid w:val="00490D6C"/>
    <w:rsid w:val="004A5BB6"/>
    <w:rsid w:val="004D4144"/>
    <w:rsid w:val="004D67AD"/>
    <w:rsid w:val="004E0746"/>
    <w:rsid w:val="00526363"/>
    <w:rsid w:val="00536B67"/>
    <w:rsid w:val="00542171"/>
    <w:rsid w:val="005443CF"/>
    <w:rsid w:val="0054644D"/>
    <w:rsid w:val="00554A95"/>
    <w:rsid w:val="00556400"/>
    <w:rsid w:val="00564C07"/>
    <w:rsid w:val="0057179C"/>
    <w:rsid w:val="00585923"/>
    <w:rsid w:val="00597F32"/>
    <w:rsid w:val="005B0495"/>
    <w:rsid w:val="005C1950"/>
    <w:rsid w:val="005C2B32"/>
    <w:rsid w:val="005E1119"/>
    <w:rsid w:val="00607800"/>
    <w:rsid w:val="0061151F"/>
    <w:rsid w:val="00613486"/>
    <w:rsid w:val="0063175B"/>
    <w:rsid w:val="00635168"/>
    <w:rsid w:val="00641C15"/>
    <w:rsid w:val="006546C2"/>
    <w:rsid w:val="00683510"/>
    <w:rsid w:val="006857CF"/>
    <w:rsid w:val="00691290"/>
    <w:rsid w:val="00694F84"/>
    <w:rsid w:val="00696912"/>
    <w:rsid w:val="006A0B07"/>
    <w:rsid w:val="006A7386"/>
    <w:rsid w:val="006D303C"/>
    <w:rsid w:val="006E1EBD"/>
    <w:rsid w:val="006E666D"/>
    <w:rsid w:val="006F05A8"/>
    <w:rsid w:val="006F341A"/>
    <w:rsid w:val="00721767"/>
    <w:rsid w:val="007366EC"/>
    <w:rsid w:val="00753EF4"/>
    <w:rsid w:val="007543DB"/>
    <w:rsid w:val="00763020"/>
    <w:rsid w:val="007637FD"/>
    <w:rsid w:val="0076680D"/>
    <w:rsid w:val="00782650"/>
    <w:rsid w:val="00783CA1"/>
    <w:rsid w:val="00790131"/>
    <w:rsid w:val="00796890"/>
    <w:rsid w:val="007A1081"/>
    <w:rsid w:val="007A3B48"/>
    <w:rsid w:val="007C3178"/>
    <w:rsid w:val="007C6845"/>
    <w:rsid w:val="007D5743"/>
    <w:rsid w:val="007E57D5"/>
    <w:rsid w:val="007E5AF3"/>
    <w:rsid w:val="00804A9A"/>
    <w:rsid w:val="0081617A"/>
    <w:rsid w:val="00823444"/>
    <w:rsid w:val="0089557F"/>
    <w:rsid w:val="008E31D1"/>
    <w:rsid w:val="008F2144"/>
    <w:rsid w:val="008F4162"/>
    <w:rsid w:val="008F4626"/>
    <w:rsid w:val="008F7DDD"/>
    <w:rsid w:val="00913D1C"/>
    <w:rsid w:val="00914968"/>
    <w:rsid w:val="00915E75"/>
    <w:rsid w:val="00916265"/>
    <w:rsid w:val="00923E40"/>
    <w:rsid w:val="00924FB7"/>
    <w:rsid w:val="009528EC"/>
    <w:rsid w:val="009536A4"/>
    <w:rsid w:val="00962234"/>
    <w:rsid w:val="00982CB9"/>
    <w:rsid w:val="00993273"/>
    <w:rsid w:val="009973B8"/>
    <w:rsid w:val="009B32D5"/>
    <w:rsid w:val="009D2B68"/>
    <w:rsid w:val="009D2B98"/>
    <w:rsid w:val="009D4A24"/>
    <w:rsid w:val="00A172C3"/>
    <w:rsid w:val="00A27A8E"/>
    <w:rsid w:val="00A309C8"/>
    <w:rsid w:val="00A36580"/>
    <w:rsid w:val="00A71E5A"/>
    <w:rsid w:val="00AA29A6"/>
    <w:rsid w:val="00AD28FD"/>
    <w:rsid w:val="00AE075C"/>
    <w:rsid w:val="00B26292"/>
    <w:rsid w:val="00B41E03"/>
    <w:rsid w:val="00B45D31"/>
    <w:rsid w:val="00B71CBD"/>
    <w:rsid w:val="00B90B86"/>
    <w:rsid w:val="00BA4DD6"/>
    <w:rsid w:val="00BD3832"/>
    <w:rsid w:val="00BE2BBB"/>
    <w:rsid w:val="00BE393A"/>
    <w:rsid w:val="00C13D08"/>
    <w:rsid w:val="00C30BE4"/>
    <w:rsid w:val="00C3170C"/>
    <w:rsid w:val="00C36983"/>
    <w:rsid w:val="00C44639"/>
    <w:rsid w:val="00C466BC"/>
    <w:rsid w:val="00C56971"/>
    <w:rsid w:val="00C613D0"/>
    <w:rsid w:val="00C6578A"/>
    <w:rsid w:val="00C71A5E"/>
    <w:rsid w:val="00CB283B"/>
    <w:rsid w:val="00CF11AA"/>
    <w:rsid w:val="00D06738"/>
    <w:rsid w:val="00D10BC5"/>
    <w:rsid w:val="00D30A49"/>
    <w:rsid w:val="00D353E0"/>
    <w:rsid w:val="00D743E5"/>
    <w:rsid w:val="00D85D4F"/>
    <w:rsid w:val="00DA0515"/>
    <w:rsid w:val="00DA7A08"/>
    <w:rsid w:val="00E25E8D"/>
    <w:rsid w:val="00E70F32"/>
    <w:rsid w:val="00E81242"/>
    <w:rsid w:val="00E81AE2"/>
    <w:rsid w:val="00E8524A"/>
    <w:rsid w:val="00E91FB4"/>
    <w:rsid w:val="00E92CAE"/>
    <w:rsid w:val="00E94518"/>
    <w:rsid w:val="00EB64B1"/>
    <w:rsid w:val="00EC2EAF"/>
    <w:rsid w:val="00ED3377"/>
    <w:rsid w:val="00EF1798"/>
    <w:rsid w:val="00F113EC"/>
    <w:rsid w:val="00F232D2"/>
    <w:rsid w:val="00F35B96"/>
    <w:rsid w:val="00F546BF"/>
    <w:rsid w:val="00F57240"/>
    <w:rsid w:val="00F645DA"/>
    <w:rsid w:val="00F668CE"/>
    <w:rsid w:val="00F95945"/>
    <w:rsid w:val="00FA2531"/>
    <w:rsid w:val="00FA3B93"/>
    <w:rsid w:val="00FC0CFD"/>
    <w:rsid w:val="00FC7E79"/>
    <w:rsid w:val="00FD6406"/>
    <w:rsid w:val="00FD76B9"/>
    <w:rsid w:val="00FE2FE8"/>
    <w:rsid w:val="00FE6B97"/>
    <w:rsid w:val="00FF13B6"/>
    <w:rsid w:val="00FF5FD5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EEE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86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16FC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52C29"/>
  </w:style>
  <w:style w:type="character" w:customStyle="1" w:styleId="FooterChar">
    <w:name w:val="Footer Char"/>
    <w:basedOn w:val="DefaultParagraphFont"/>
    <w:link w:val="Footer"/>
    <w:uiPriority w:val="99"/>
    <w:qFormat/>
    <w:rsid w:val="00B52C29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2C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116FC2"/>
    <w:rPr>
      <w:rFonts w:ascii="Cambria" w:eastAsia="Times New Roman" w:hAnsi="Cambria" w:cs="Times New Roman"/>
      <w:b/>
      <w:bCs/>
      <w:kern w:val="2"/>
      <w:sz w:val="32"/>
      <w:szCs w:val="3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74AA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74AA2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F6A6C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ascii="Times New Roman" w:hAnsi="Times New Roman" w:cs="Courier New"/>
      <w:b/>
      <w:sz w:val="24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2500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C29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52C29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2C2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174AA2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6F6A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86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16FC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52C29"/>
  </w:style>
  <w:style w:type="character" w:customStyle="1" w:styleId="FooterChar">
    <w:name w:val="Footer Char"/>
    <w:basedOn w:val="DefaultParagraphFont"/>
    <w:link w:val="Footer"/>
    <w:uiPriority w:val="99"/>
    <w:qFormat/>
    <w:rsid w:val="00B52C29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2C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116FC2"/>
    <w:rPr>
      <w:rFonts w:ascii="Cambria" w:eastAsia="Times New Roman" w:hAnsi="Cambria" w:cs="Times New Roman"/>
      <w:b/>
      <w:bCs/>
      <w:kern w:val="2"/>
      <w:sz w:val="32"/>
      <w:szCs w:val="3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74AA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74AA2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F6A6C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ascii="Times New Roman" w:hAnsi="Times New Roman" w:cs="Courier New"/>
      <w:b/>
      <w:sz w:val="24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2500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C29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52C29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2C2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174AA2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6F6A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0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B0955-E06D-4481-8E91-7B21E8BDB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2203</Words>
  <Characters>12562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Елеонора Христова</cp:lastModifiedBy>
  <cp:revision>10</cp:revision>
  <dcterms:created xsi:type="dcterms:W3CDTF">2018-06-25T07:22:00Z</dcterms:created>
  <dcterms:modified xsi:type="dcterms:W3CDTF">2018-06-26T13:38:00Z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